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1" w:rsidRPr="00DB5355" w:rsidRDefault="00B840A1" w:rsidP="00B840A1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r w:rsidRPr="00DB5355">
        <w:rPr>
          <w:color w:val="FFFFFF" w:themeColor="background1"/>
          <w:sz w:val="70"/>
          <w:szCs w:val="70"/>
        </w:rPr>
        <w:t>Czy na podstawie informacji o funkcjonowaniu rubryki ,,Wykres do przemyślenia” według stanu wiedzy na koniec danego kwartału można wybrać grupę 5 spółek, których średnia zmiana kursu w kwartale następnym będzie znacząco wyższa od procentowej zmiany indeksu WIG20 ?</w:t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Pr="00815C1B" w:rsidRDefault="00B840A1" w:rsidP="00B840A1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 xml:space="preserve">Opracował: Sławomir Kłusek, analityk giełdowy </w:t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  <w:lang w:eastAsia="pl-PL"/>
        </w:rPr>
        <w:drawing>
          <wp:inline distT="0" distB="0" distL="0" distR="0" wp14:anchorId="2DE22D60" wp14:editId="58F376EB">
            <wp:extent cx="923925" cy="1318133"/>
            <wp:effectExtent l="0" t="0" r="0" b="0"/>
            <wp:docPr id="6" name="Obraz 6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DF0977" w:rsidRDefault="00B840A1" w:rsidP="00B840A1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sesja III kwartału 2014 roku. Na początku hipotetyczny inwestor postanawia wypisać nazwy 5 spółek, które ostatnio (czyli do dnia 30 września 2014 roku) zostały wprowadzone do rubryki ,,Wykres do przemyślenia”. Są to: </w:t>
      </w:r>
      <w:r w:rsidRPr="008153F9">
        <w:rPr>
          <w:b/>
          <w:color w:val="000000" w:themeColor="text1"/>
          <w:sz w:val="34"/>
          <w:szCs w:val="34"/>
          <w:u w:val="single"/>
        </w:rPr>
        <w:t>Asseco Poland, CD Projekt, Sygnity, Capital Partners oraz IF Capital</w:t>
      </w:r>
      <w:r w:rsidRPr="008153F9">
        <w:rPr>
          <w:color w:val="000000" w:themeColor="text1"/>
          <w:sz w:val="34"/>
          <w:szCs w:val="34"/>
        </w:rPr>
        <w:t xml:space="preserve">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IV kwartale 2014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Asseco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Sygnity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-7,4</w:t>
            </w:r>
          </w:p>
        </w:tc>
      </w:tr>
    </w:tbl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8153F9" w:rsidRDefault="00B840A1" w:rsidP="00B840A1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,,Wykres do przemyślenia”. Są to: </w:t>
      </w:r>
      <w:r w:rsidRPr="008153F9">
        <w:rPr>
          <w:b/>
          <w:color w:val="000000" w:themeColor="text1"/>
          <w:sz w:val="34"/>
          <w:szCs w:val="34"/>
          <w:u w:val="single"/>
        </w:rPr>
        <w:t>Mercor, PKO  Bank Polski, Procad, Enea i Tesgas.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Mercor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Procad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+25,1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+3,5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A0012F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A0012F">
        <w:rPr>
          <w:b/>
          <w:sz w:val="34"/>
          <w:szCs w:val="34"/>
          <w:u w:val="single"/>
        </w:rPr>
        <w:t xml:space="preserve">Mostostal Warszawa, Atrem, Lubawa, Muza i Comarch.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10,34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Atrem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1,33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1,08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3,28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+2,6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-3,3</w:t>
            </w:r>
          </w:p>
        </w:tc>
      </w:tr>
    </w:tbl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Default="00B840A1" w:rsidP="00B840A1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A0012F">
        <w:rPr>
          <w:b/>
          <w:sz w:val="34"/>
          <w:szCs w:val="34"/>
          <w:u w:val="single"/>
        </w:rPr>
        <w:t>Polnord, Ceramika Nowa Gala, Mostostal Warszawa</w:t>
      </w:r>
      <w:r>
        <w:rPr>
          <w:b/>
          <w:sz w:val="34"/>
          <w:szCs w:val="34"/>
          <w:u w:val="single"/>
        </w:rPr>
        <w:t xml:space="preserve">, </w:t>
      </w:r>
      <w:r w:rsidRPr="00A0012F">
        <w:rPr>
          <w:b/>
          <w:sz w:val="34"/>
          <w:szCs w:val="34"/>
          <w:u w:val="single"/>
        </w:rPr>
        <w:t>Atrem</w:t>
      </w:r>
      <w:r>
        <w:rPr>
          <w:b/>
          <w:sz w:val="34"/>
          <w:szCs w:val="34"/>
          <w:u w:val="single"/>
        </w:rPr>
        <w:t xml:space="preserve"> i Lubawa</w:t>
      </w:r>
      <w:r w:rsidRPr="00A0012F">
        <w:rPr>
          <w:b/>
          <w:sz w:val="34"/>
          <w:szCs w:val="34"/>
          <w:u w:val="single"/>
        </w:rPr>
        <w:t>.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8,63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5,90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5,04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+6,2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37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-10,8</w:t>
            </w:r>
          </w:p>
        </w:tc>
      </w:tr>
    </w:tbl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88717F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88717F">
        <w:rPr>
          <w:b/>
          <w:sz w:val="34"/>
          <w:szCs w:val="34"/>
          <w:u w:val="single"/>
        </w:rPr>
        <w:t xml:space="preserve">BZ WBK, Agora, Eurocash, Ropczyce i Variant.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IV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11,84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+2,8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37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15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-10,0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296772">
        <w:rPr>
          <w:b/>
          <w:sz w:val="34"/>
          <w:szCs w:val="34"/>
          <w:u w:val="single"/>
        </w:rPr>
        <w:t xml:space="preserve">P.A. Nova, LC Corp, PeKaO, Asseco Poland i Alta.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a 11 marca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-15,2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LC Corp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1,78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PeKaO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Asseco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56,80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60,59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3,96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+16,8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1 910,87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+7,5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</w:t>
      </w:r>
      <w:r w:rsidR="007015D7">
        <w:rPr>
          <w:sz w:val="36"/>
          <w:szCs w:val="36"/>
          <w:u w:val="single"/>
        </w:rPr>
        <w:t>iódmy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8B1E86">
        <w:rPr>
          <w:b/>
          <w:sz w:val="34"/>
          <w:szCs w:val="34"/>
          <w:u w:val="single"/>
        </w:rPr>
        <w:t>Efekt, mBank, Tesgas, Comarch i Relpol.</w:t>
      </w:r>
      <w:r>
        <w:rPr>
          <w:sz w:val="34"/>
          <w:szCs w:val="34"/>
        </w:rPr>
        <w:t xml:space="preserve">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30 czerwca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19,32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mBank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-9,1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Tesgas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3,51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-10,8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9,18zł.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+3,7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-12,4</w:t>
            </w:r>
          </w:p>
        </w:tc>
      </w:tr>
    </w:tbl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7015D7">
        <w:rPr>
          <w:sz w:val="36"/>
          <w:szCs w:val="36"/>
          <w:u w:val="single"/>
        </w:rPr>
        <w:t>ósmy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>
        <w:rPr>
          <w:sz w:val="34"/>
          <w:szCs w:val="34"/>
        </w:rPr>
        <w:t xml:space="preserve">Orzeł Biały, Izolacja, Emperia Holding, Ceramika Nowa Gala oraz Muza. 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 czerwca a 30 września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1,74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Emperia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+28,0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1,22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3,70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+19,0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1 709,51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-2,4</w:t>
            </w:r>
          </w:p>
        </w:tc>
      </w:tr>
    </w:tbl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7015D7">
        <w:rPr>
          <w:sz w:val="36"/>
          <w:szCs w:val="36"/>
          <w:u w:val="single"/>
        </w:rPr>
        <w:t>dziewiąty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 xml:space="preserve">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>
        <w:rPr>
          <w:sz w:val="34"/>
          <w:szCs w:val="34"/>
        </w:rPr>
        <w:t xml:space="preserve">Lena, Mostostal Warszawa, Rafako, Stalprofil oraz Soho Development.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 w:rsidR="00931604">
        <w:rPr>
          <w:sz w:val="36"/>
          <w:szCs w:val="36"/>
        </w:rPr>
        <w:t>V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 września a </w:t>
      </w:r>
      <w:r w:rsidR="008A075A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 listopada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(uwaga – I</w:t>
      </w:r>
      <w:r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kwartał 2016 roku jeszcze się nie skończył !)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8A075A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.1</w:t>
            </w:r>
            <w:r w:rsidR="008A07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Lena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3,53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</w:t>
            </w:r>
            <w:r w:rsidR="008A075A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75A">
              <w:rPr>
                <w:sz w:val="28"/>
                <w:szCs w:val="28"/>
              </w:rPr>
              <w:t xml:space="preserve">  +3,4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</w:t>
            </w:r>
            <w:r w:rsidR="008A075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75A">
              <w:rPr>
                <w:sz w:val="28"/>
                <w:szCs w:val="28"/>
              </w:rPr>
              <w:t>+10,6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Rafako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8A075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07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-</w:t>
            </w:r>
            <w:r w:rsidR="008A07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A075A">
              <w:rPr>
                <w:sz w:val="28"/>
                <w:szCs w:val="28"/>
              </w:rPr>
              <w:t>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Stalprofil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</w:t>
            </w:r>
            <w:r w:rsidR="008A07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8A075A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40A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B8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Soho Development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8A075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7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="008A07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8A075A">
              <w:rPr>
                <w:sz w:val="28"/>
                <w:szCs w:val="28"/>
              </w:rPr>
              <w:t>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rFonts w:eastAsiaTheme="minorEastAsia"/>
                <w:b/>
                <w:color w:val="FF0000"/>
                <w:sz w:val="60"/>
                <w:szCs w:val="60"/>
              </w:rPr>
              <w:t>-</w:t>
            </w:r>
            <w:bookmarkStart w:id="0" w:name="_GoBack"/>
            <w:bookmarkEnd w:id="0"/>
            <w:r w:rsidR="008A075A">
              <w:rPr>
                <w:rFonts w:eastAsiaTheme="minorEastAsia"/>
                <w:b/>
                <w:color w:val="FF0000"/>
                <w:sz w:val="60"/>
                <w:szCs w:val="60"/>
              </w:rPr>
              <w:t>3</w:t>
            </w:r>
            <w:r>
              <w:rPr>
                <w:rFonts w:eastAsiaTheme="minorEastAsia"/>
                <w:b/>
                <w:color w:val="FF0000"/>
                <w:sz w:val="60"/>
                <w:szCs w:val="60"/>
              </w:rPr>
              <w:t>,</w:t>
            </w:r>
            <w:r w:rsidR="008A075A">
              <w:rPr>
                <w:rFonts w:eastAsiaTheme="minorEastAsia"/>
                <w:b/>
                <w:color w:val="FF0000"/>
                <w:sz w:val="60"/>
                <w:szCs w:val="60"/>
              </w:rPr>
              <w:t>6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8A07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8A075A">
              <w:rPr>
                <w:sz w:val="36"/>
                <w:szCs w:val="36"/>
              </w:rPr>
              <w:t>709</w:t>
            </w:r>
            <w:r w:rsidRPr="003E16C9">
              <w:rPr>
                <w:sz w:val="36"/>
                <w:szCs w:val="36"/>
              </w:rPr>
              <w:t>,</w:t>
            </w:r>
            <w:r w:rsidR="008A075A">
              <w:rPr>
                <w:sz w:val="36"/>
                <w:szCs w:val="36"/>
              </w:rPr>
              <w:t xml:space="preserve">51 </w:t>
            </w:r>
            <w:r>
              <w:rPr>
                <w:sz w:val="36"/>
                <w:szCs w:val="36"/>
              </w:rPr>
              <w:t>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8A07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1 </w:t>
            </w:r>
            <w:r w:rsidR="008A075A">
              <w:rPr>
                <w:sz w:val="36"/>
                <w:szCs w:val="36"/>
              </w:rPr>
              <w:t>742</w:t>
            </w:r>
            <w:r>
              <w:rPr>
                <w:sz w:val="36"/>
                <w:szCs w:val="36"/>
              </w:rPr>
              <w:t xml:space="preserve">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8A075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</w:t>
            </w:r>
            <w:r w:rsidR="008A075A">
              <w:rPr>
                <w:rFonts w:eastAsiaTheme="minorEastAsia"/>
                <w:sz w:val="36"/>
                <w:szCs w:val="36"/>
              </w:rPr>
              <w:t>1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8A075A">
              <w:rPr>
                <w:rFonts w:eastAsiaTheme="minorEastAsia"/>
                <w:sz w:val="36"/>
                <w:szCs w:val="36"/>
              </w:rPr>
              <w:t>9</w:t>
            </w:r>
          </w:p>
        </w:tc>
      </w:tr>
    </w:tbl>
    <w:p w:rsidR="00B840A1" w:rsidRPr="001865D9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</w:p>
    <w:p w:rsidR="00B840A1" w:rsidRDefault="007015D7" w:rsidP="00B840A1">
      <w:pPr>
        <w:pStyle w:val="Bezodstpw"/>
        <w:jc w:val="both"/>
        <w:rPr>
          <w:sz w:val="30"/>
          <w:szCs w:val="30"/>
        </w:rPr>
      </w:pPr>
      <w:r>
        <w:rPr>
          <w:sz w:val="30"/>
          <w:szCs w:val="30"/>
        </w:rPr>
        <w:t>Opierając się na analizie 8 przypadków w</w:t>
      </w:r>
      <w:r w:rsidR="00B840A1" w:rsidRPr="001865D9">
        <w:rPr>
          <w:sz w:val="30"/>
          <w:szCs w:val="30"/>
        </w:rPr>
        <w:t xml:space="preserve">ydaje się, że </w:t>
      </w:r>
      <w:r w:rsidR="00B840A1">
        <w:rPr>
          <w:sz w:val="30"/>
          <w:szCs w:val="30"/>
        </w:rPr>
        <w:t xml:space="preserve">w przeszłości </w:t>
      </w:r>
      <w:r w:rsidR="00B840A1" w:rsidRPr="001865D9">
        <w:rPr>
          <w:sz w:val="30"/>
          <w:szCs w:val="30"/>
        </w:rPr>
        <w:t xml:space="preserve">na podstawie informacji o funkcjonowaniu rubryki </w:t>
      </w:r>
      <w:r w:rsidR="00B840A1">
        <w:rPr>
          <w:sz w:val="30"/>
          <w:szCs w:val="30"/>
        </w:rPr>
        <w:t>,,</w:t>
      </w:r>
      <w:r w:rsidR="00B840A1" w:rsidRPr="001865D9">
        <w:rPr>
          <w:sz w:val="30"/>
          <w:szCs w:val="30"/>
        </w:rPr>
        <w:t xml:space="preserve">Wykres do przemyślenia” według stanu wiedzy na koniec danego kwartału można </w:t>
      </w:r>
      <w:r w:rsidR="00B840A1">
        <w:rPr>
          <w:sz w:val="30"/>
          <w:szCs w:val="30"/>
        </w:rPr>
        <w:t xml:space="preserve">było </w:t>
      </w:r>
      <w:r w:rsidR="00B840A1" w:rsidRPr="001865D9">
        <w:rPr>
          <w:sz w:val="30"/>
          <w:szCs w:val="30"/>
        </w:rPr>
        <w:t>wybrać grupę 5 spółek, których średnia zmiana kursu w kwartale następnym b</w:t>
      </w:r>
      <w:r w:rsidR="00B840A1">
        <w:rPr>
          <w:sz w:val="30"/>
          <w:szCs w:val="30"/>
        </w:rPr>
        <w:t xml:space="preserve">yła </w:t>
      </w:r>
      <w:r w:rsidR="00B840A1" w:rsidRPr="001865D9">
        <w:rPr>
          <w:sz w:val="30"/>
          <w:szCs w:val="30"/>
        </w:rPr>
        <w:t xml:space="preserve">znacząco wyższa od procentowej zmiany indeksu WIG20. </w:t>
      </w:r>
    </w:p>
    <w:p w:rsidR="007015D7" w:rsidRPr="001865D9" w:rsidRDefault="007015D7" w:rsidP="00B840A1">
      <w:pPr>
        <w:pStyle w:val="Bezodstpw"/>
        <w:jc w:val="both"/>
        <w:rPr>
          <w:sz w:val="30"/>
          <w:szCs w:val="30"/>
        </w:rPr>
      </w:pPr>
    </w:p>
    <w:p w:rsidR="00B840A1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7015D7" w:rsidRDefault="007015D7" w:rsidP="00B840A1">
      <w:pPr>
        <w:pStyle w:val="Bezodstpw"/>
        <w:jc w:val="both"/>
        <w:rPr>
          <w:sz w:val="30"/>
          <w:szCs w:val="30"/>
        </w:rPr>
      </w:pPr>
    </w:p>
    <w:p w:rsidR="007015D7" w:rsidRPr="008A075A" w:rsidRDefault="007015D7" w:rsidP="007015D7">
      <w:pPr>
        <w:pStyle w:val="Bezodstpw"/>
        <w:jc w:val="both"/>
        <w:rPr>
          <w:b/>
          <w:color w:val="FF0000"/>
          <w:sz w:val="30"/>
          <w:szCs w:val="30"/>
        </w:rPr>
      </w:pPr>
      <w:r w:rsidRPr="008A075A">
        <w:rPr>
          <w:b/>
          <w:color w:val="FF0000"/>
          <w:sz w:val="30"/>
          <w:szCs w:val="30"/>
        </w:rPr>
        <w:t xml:space="preserve">Analizy przypadku numer 9 można będzie dokonać dopiero po zakończeniu ostatniej sesji 2016 roku.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</w:t>
      </w:r>
      <w:r w:rsidR="007015D7">
        <w:rPr>
          <w:sz w:val="30"/>
          <w:szCs w:val="30"/>
        </w:rPr>
        <w:t xml:space="preserve">w 8 przypadkach </w:t>
      </w:r>
      <w:r w:rsidRPr="001865D9">
        <w:rPr>
          <w:sz w:val="30"/>
          <w:szCs w:val="30"/>
        </w:rPr>
        <w:t>prawidłowości b</w:t>
      </w:r>
      <w:r w:rsidR="007015D7">
        <w:rPr>
          <w:sz w:val="30"/>
          <w:szCs w:val="30"/>
        </w:rPr>
        <w:t xml:space="preserve">ędą występowały w przyszłości ?. </w:t>
      </w:r>
      <w:r w:rsidRPr="001865D9">
        <w:rPr>
          <w:sz w:val="30"/>
          <w:szCs w:val="30"/>
        </w:rPr>
        <w:t xml:space="preserve">Trudno powiedzieć. Czas pokaże. Będzie trzeba to zbadać.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>
        <w:rPr>
          <w:sz w:val="36"/>
          <w:szCs w:val="36"/>
          <w:u w:val="single"/>
        </w:rPr>
        <w:t>dzie</w:t>
      </w:r>
      <w:r w:rsidR="007015D7">
        <w:rPr>
          <w:sz w:val="36"/>
          <w:szCs w:val="36"/>
          <w:u w:val="single"/>
        </w:rPr>
        <w:t>siąty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 w:rsidR="00931604">
        <w:rPr>
          <w:b/>
          <w:sz w:val="36"/>
          <w:szCs w:val="36"/>
        </w:rPr>
        <w:t>7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B840A1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grudnia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0 grudnia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>
        <w:rPr>
          <w:sz w:val="34"/>
          <w:szCs w:val="34"/>
        </w:rPr>
        <w:t>……………..</w:t>
      </w:r>
    </w:p>
    <w:p w:rsidR="00B840A1" w:rsidRDefault="00B840A1" w:rsidP="00B840A1">
      <w:pPr>
        <w:pStyle w:val="Bezodstpw"/>
        <w:jc w:val="both"/>
        <w:rPr>
          <w:sz w:val="34"/>
          <w:szCs w:val="34"/>
        </w:rPr>
      </w:pPr>
    </w:p>
    <w:p w:rsidR="00B840A1" w:rsidRPr="001865D9" w:rsidRDefault="00B840A1" w:rsidP="00B840A1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1865D9">
        <w:rPr>
          <w:rFonts w:eastAsia="Times New Roman" w:cs="Times New Roman"/>
          <w:sz w:val="30"/>
          <w:szCs w:val="30"/>
          <w:lang w:eastAsia="pl-PL"/>
        </w:rPr>
        <w:t xml:space="preserve">Opracował: Sławomir Kłusek, </w:t>
      </w:r>
      <w:r w:rsidR="008A075A">
        <w:rPr>
          <w:rFonts w:eastAsia="Times New Roman" w:cs="Times New Roman"/>
          <w:sz w:val="30"/>
          <w:szCs w:val="30"/>
          <w:lang w:eastAsia="pl-PL"/>
        </w:rPr>
        <w:t>18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="008A075A">
        <w:rPr>
          <w:rFonts w:eastAsia="Times New Roman" w:cs="Times New Roman"/>
          <w:sz w:val="30"/>
          <w:szCs w:val="30"/>
          <w:lang w:eastAsia="pl-PL"/>
        </w:rPr>
        <w:t>listopada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1865D9">
        <w:rPr>
          <w:rFonts w:eastAsia="Times New Roman" w:cs="Times New Roman"/>
          <w:sz w:val="30"/>
          <w:szCs w:val="30"/>
          <w:lang w:eastAsia="pl-PL"/>
        </w:rPr>
        <w:t>2016 roku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opracowanie stanowi wyłącznie wyraz osobistych opinii autora. 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(Dz.U. z 2005 r. Nr 206, poz. 1715).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6B13" w:rsidRPr="00B840A1" w:rsidRDefault="00B840A1" w:rsidP="007015D7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1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sectPr w:rsidR="004E6B13" w:rsidRPr="00B840A1" w:rsidSect="00FF5F52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9F" w:rsidRDefault="00460F9F">
      <w:pPr>
        <w:spacing w:after="0" w:line="240" w:lineRule="auto"/>
      </w:pPr>
      <w:r>
        <w:separator/>
      </w:r>
    </w:p>
  </w:endnote>
  <w:endnote w:type="continuationSeparator" w:id="0">
    <w:p w:rsidR="00460F9F" w:rsidRDefault="0046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7015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5A">
          <w:rPr>
            <w:noProof/>
          </w:rPr>
          <w:t>10</w:t>
        </w:r>
        <w:r>
          <w:fldChar w:fldCharType="end"/>
        </w:r>
      </w:p>
    </w:sdtContent>
  </w:sdt>
  <w:p w:rsidR="00FF5F52" w:rsidRDefault="00460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9F" w:rsidRDefault="00460F9F">
      <w:pPr>
        <w:spacing w:after="0" w:line="240" w:lineRule="auto"/>
      </w:pPr>
      <w:r>
        <w:separator/>
      </w:r>
    </w:p>
  </w:footnote>
  <w:footnote w:type="continuationSeparator" w:id="0">
    <w:p w:rsidR="00460F9F" w:rsidRDefault="0046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1"/>
    <w:rsid w:val="00460F9F"/>
    <w:rsid w:val="004E6B13"/>
    <w:rsid w:val="007015D7"/>
    <w:rsid w:val="008A075A"/>
    <w:rsid w:val="00931604"/>
    <w:rsid w:val="00B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40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40A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8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0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40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40A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8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0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2016-11-18T07:13:00Z</dcterms:created>
  <dcterms:modified xsi:type="dcterms:W3CDTF">2016-11-18T07:13:00Z</dcterms:modified>
</cp:coreProperties>
</file>