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EB" w:rsidRPr="004E68EB" w:rsidRDefault="004E68EB" w:rsidP="004E68EB">
      <w:pPr>
        <w:spacing w:after="0" w:line="240" w:lineRule="auto"/>
        <w:jc w:val="both"/>
        <w:rPr>
          <w:color w:val="000000"/>
          <w:sz w:val="26"/>
          <w:szCs w:val="26"/>
        </w:rPr>
      </w:pPr>
    </w:p>
    <w:p w:rsidR="004E68EB" w:rsidRPr="004E68EB" w:rsidRDefault="004E68EB" w:rsidP="004E68EB">
      <w:pPr>
        <w:spacing w:after="0" w:line="240" w:lineRule="auto"/>
        <w:jc w:val="both"/>
        <w:rPr>
          <w:color w:val="000000"/>
          <w:sz w:val="26"/>
          <w:szCs w:val="26"/>
        </w:rPr>
      </w:pPr>
    </w:p>
    <w:p w:rsidR="004E68EB" w:rsidRPr="004E68EB" w:rsidRDefault="004E68EB" w:rsidP="004E68EB">
      <w:pPr>
        <w:spacing w:after="0" w:line="240" w:lineRule="auto"/>
        <w:jc w:val="both"/>
        <w:rPr>
          <w:color w:val="000000"/>
          <w:sz w:val="26"/>
          <w:szCs w:val="26"/>
        </w:rPr>
      </w:pPr>
    </w:p>
    <w:p w:rsidR="004E68EB" w:rsidRPr="004E68EB" w:rsidRDefault="004E68EB" w:rsidP="004E68EB">
      <w:pPr>
        <w:spacing w:after="0" w:line="240" w:lineRule="auto"/>
        <w:jc w:val="cente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pPr>
      <w:r w:rsidRPr="004E68EB">
        <w:rPr>
          <w:rFonts w:eastAsiaTheme="minorEastAsia"/>
          <w:color w:val="FF0000"/>
          <w:sz w:val="180"/>
          <w:szCs w:val="180"/>
          <w:lang w:eastAsia="pl-PL"/>
          <w14:shadow w14:blurRad="50800" w14:dist="38100" w14:dir="2700000" w14:sx="100000" w14:sy="100000" w14:kx="0" w14:ky="0" w14:algn="tl">
            <w14:srgbClr w14:val="000000">
              <w14:alpha w14:val="60000"/>
            </w14:srgbClr>
          </w14:shadow>
        </w:rPr>
        <w:t>Raport</w:t>
      </w:r>
    </w:p>
    <w:p w:rsidR="004E68EB" w:rsidRPr="004E68EB" w:rsidRDefault="004E68EB" w:rsidP="004E68EB">
      <w:pPr>
        <w:spacing w:after="0" w:line="240" w:lineRule="auto"/>
        <w:jc w:val="cente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pPr>
      <w:r w:rsidRPr="004E68EB">
        <w:rPr>
          <w:rFonts w:eastAsiaTheme="minorEastAsia"/>
          <w:color w:val="FF0000"/>
          <w:sz w:val="180"/>
          <w:szCs w:val="180"/>
          <w:lang w:eastAsia="pl-PL"/>
          <w14:shadow w14:blurRad="50800" w14:dist="38100" w14:dir="2700000" w14:sx="100000" w14:sy="100000" w14:kx="0" w14:ky="0" w14:algn="tl">
            <w14:srgbClr w14:val="000000">
              <w14:alpha w14:val="60000"/>
            </w14:srgbClr>
          </w14:shadow>
        </w:rPr>
        <w:t>Tygodniowy</w:t>
      </w:r>
    </w:p>
    <w:p w:rsidR="004E68EB" w:rsidRPr="004E68EB" w:rsidRDefault="004E68EB" w:rsidP="004E68EB">
      <w:pPr>
        <w:spacing w:after="0" w:line="240" w:lineRule="auto"/>
        <w:jc w:val="cente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pPr>
      <w:proofErr w:type="gramStart"/>
      <w:r w:rsidRPr="004E68EB">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o</w:t>
      </w:r>
      <w:proofErr w:type="gramEnd"/>
      <w:r w:rsidRPr="004E68EB">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 xml:space="preserve"> sytuacji na</w:t>
      </w:r>
    </w:p>
    <w:p w:rsidR="004E68EB" w:rsidRPr="004E68EB" w:rsidRDefault="004E68EB" w:rsidP="004E68EB">
      <w:pPr>
        <w:spacing w:after="0" w:line="240" w:lineRule="auto"/>
        <w:jc w:val="cente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pPr>
      <w:proofErr w:type="gramStart"/>
      <w:r w:rsidRPr="004E68EB">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rynkach</w:t>
      </w:r>
      <w:proofErr w:type="gramEnd"/>
      <w:r w:rsidRPr="004E68EB">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 xml:space="preserve"> finansowych</w:t>
      </w:r>
    </w:p>
    <w:p w:rsidR="004E68EB" w:rsidRPr="004E68EB" w:rsidRDefault="004E68EB" w:rsidP="004E68EB">
      <w:pPr>
        <w:spacing w:after="0" w:line="240" w:lineRule="auto"/>
        <w:jc w:val="center"/>
        <w:rPr>
          <w:rFonts w:eastAsiaTheme="minorEastAsia"/>
          <w:sz w:val="48"/>
          <w:szCs w:val="48"/>
          <w:lang w:eastAsia="pl-PL"/>
        </w:rPr>
      </w:pPr>
    </w:p>
    <w:p w:rsidR="004E68EB" w:rsidRPr="004E68EB" w:rsidRDefault="004E68EB" w:rsidP="004E68EB">
      <w:pPr>
        <w:spacing w:after="0" w:line="240" w:lineRule="auto"/>
        <w:jc w:val="center"/>
        <w:rPr>
          <w:rFonts w:eastAsiaTheme="minorEastAsia"/>
          <w:sz w:val="48"/>
          <w:szCs w:val="48"/>
          <w:lang w:eastAsia="pl-PL"/>
        </w:rPr>
      </w:pPr>
    </w:p>
    <w:p w:rsidR="004E68EB" w:rsidRPr="004E68EB" w:rsidRDefault="004E68EB" w:rsidP="004E68EB">
      <w:pPr>
        <w:spacing w:after="0" w:line="240" w:lineRule="auto"/>
        <w:jc w:val="center"/>
        <w:rPr>
          <w:rFonts w:eastAsiaTheme="minorEastAsia"/>
          <w:sz w:val="100"/>
          <w:szCs w:val="100"/>
          <w:u w:val="single"/>
          <w:lang w:eastAsia="pl-PL"/>
          <w14:shadow w14:blurRad="50800" w14:dist="38100" w14:dir="2700000" w14:sx="100000" w14:sy="100000" w14:kx="0" w14:ky="0" w14:algn="tl">
            <w14:srgbClr w14:val="000000">
              <w14:alpha w14:val="60000"/>
            </w14:srgbClr>
          </w14:shadow>
        </w:rPr>
      </w:pPr>
      <w:r w:rsidRPr="004E68EB">
        <w:rPr>
          <w:rFonts w:eastAsiaTheme="minorEastAsia"/>
          <w:sz w:val="100"/>
          <w:szCs w:val="100"/>
          <w:u w:val="single"/>
          <w:lang w:eastAsia="pl-PL"/>
          <w14:shadow w14:blurRad="50800" w14:dist="38100" w14:dir="2700000" w14:sx="100000" w14:sy="100000" w14:kx="0" w14:ky="0" w14:algn="tl">
            <w14:srgbClr w14:val="000000">
              <w14:alpha w14:val="60000"/>
            </w14:srgbClr>
          </w14:shadow>
        </w:rPr>
        <w:t>Rynek walutowy</w:t>
      </w:r>
    </w:p>
    <w:p w:rsidR="004E68EB" w:rsidRPr="004E68EB" w:rsidRDefault="004E68EB" w:rsidP="004E68EB">
      <w:pPr>
        <w:spacing w:after="0" w:line="240" w:lineRule="auto"/>
        <w:jc w:val="center"/>
        <w:rPr>
          <w:rFonts w:eastAsiaTheme="minorEastAsia"/>
          <w:sz w:val="100"/>
          <w:szCs w:val="100"/>
          <w:lang w:eastAsia="pl-PL"/>
          <w14:shadow w14:blurRad="50800" w14:dist="38100" w14:dir="2700000" w14:sx="100000" w14:sy="100000" w14:kx="0" w14:ky="0" w14:algn="tl">
            <w14:srgbClr w14:val="000000">
              <w14:alpha w14:val="60000"/>
            </w14:srgbClr>
          </w14:shadow>
        </w:rPr>
      </w:pPr>
    </w:p>
    <w:p w:rsidR="004E68EB" w:rsidRPr="004E68EB" w:rsidRDefault="004E68EB" w:rsidP="004E68EB">
      <w:pPr>
        <w:jc w:val="center"/>
        <w:rPr>
          <w:rFonts w:eastAsiaTheme="minorEastAsia"/>
          <w:lang w:eastAsia="pl-PL"/>
        </w:rPr>
      </w:pPr>
      <w:r w:rsidRPr="004E68EB">
        <w:rPr>
          <w:rFonts w:eastAsiaTheme="minorEastAsia"/>
          <w:sz w:val="100"/>
          <w:szCs w:val="100"/>
          <w:u w:val="single"/>
          <w:lang w:eastAsia="pl-PL"/>
          <w14:shadow w14:blurRad="50800" w14:dist="38100" w14:dir="2700000" w14:sx="100000" w14:sy="100000" w14:kx="0" w14:ky="0" w14:algn="tl">
            <w14:srgbClr w14:val="000000">
              <w14:alpha w14:val="60000"/>
            </w14:srgbClr>
          </w14:shadow>
        </w:rPr>
        <w:t>Rynek akcji</w:t>
      </w:r>
    </w:p>
    <w:p w:rsidR="004E68EB" w:rsidRPr="004E68EB" w:rsidRDefault="004E68EB" w:rsidP="004E68EB">
      <w:pPr>
        <w:spacing w:after="0" w:line="240" w:lineRule="auto"/>
        <w:jc w:val="both"/>
        <w:rPr>
          <w:rFonts w:eastAsiaTheme="minorEastAsia"/>
          <w:sz w:val="24"/>
          <w:szCs w:val="24"/>
          <w:lang w:eastAsia="pl-PL"/>
          <w14:shadow w14:blurRad="50800" w14:dist="38100" w14:dir="2700000" w14:sx="100000" w14:sy="100000" w14:kx="0" w14:ky="0" w14:algn="tl">
            <w14:srgbClr w14:val="000000">
              <w14:alpha w14:val="60000"/>
            </w14:srgbClr>
          </w14:shadow>
        </w:rPr>
      </w:pPr>
      <w:r w:rsidRPr="004E68EB">
        <w:rPr>
          <w:rFonts w:eastAsiaTheme="minorEastAsia"/>
          <w:sz w:val="24"/>
          <w:szCs w:val="24"/>
          <w:lang w:eastAsia="pl-PL"/>
          <w14:shadow w14:blurRad="50800" w14:dist="38100" w14:dir="2700000" w14:sx="100000" w14:sy="100000" w14:kx="0" w14:ky="0" w14:algn="tl">
            <w14:srgbClr w14:val="000000">
              <w14:alpha w14:val="60000"/>
            </w14:srgbClr>
          </w14:shadow>
        </w:rPr>
        <w:lastRenderedPageBreak/>
        <w:t>Poniedziałek, 28 grudnia 2015 roku</w:t>
      </w:r>
    </w:p>
    <w:p w:rsidR="004E68EB" w:rsidRPr="004E68EB" w:rsidRDefault="004E68EB" w:rsidP="004E68EB">
      <w:pPr>
        <w:pBdr>
          <w:top w:val="single" w:sz="4" w:space="1" w:color="auto"/>
          <w:left w:val="single" w:sz="4" w:space="4" w:color="auto"/>
          <w:bottom w:val="single" w:sz="4" w:space="1" w:color="auto"/>
          <w:right w:val="single" w:sz="4" w:space="4" w:color="auto"/>
        </w:pBdr>
        <w:spacing w:after="0" w:line="240" w:lineRule="auto"/>
        <w:jc w:val="center"/>
        <w:rPr>
          <w:rFonts w:eastAsiaTheme="minorEastAsia"/>
          <w:lang w:eastAsia="pl-PL"/>
        </w:rPr>
      </w:pPr>
      <w:r w:rsidRPr="004E68EB">
        <w:rPr>
          <w:rFonts w:eastAsiaTheme="minorEastAsia"/>
          <w:lang w:eastAsia="pl-PL"/>
        </w:rPr>
        <w:t>Kurs USD/PLN – perspektywa długoterminowa, kurs z 23 grudnia 2015 roku = 3,8705</w:t>
      </w:r>
    </w:p>
    <w:p w:rsidR="004E68EB" w:rsidRPr="004E68EB" w:rsidRDefault="004E68EB" w:rsidP="004E68EB">
      <w:pPr>
        <w:spacing w:after="0" w:line="240" w:lineRule="auto"/>
        <w:jc w:val="both"/>
        <w:rPr>
          <w:rFonts w:eastAsiaTheme="minorEastAsia"/>
          <w:lang w:eastAsia="pl-PL"/>
        </w:rPr>
      </w:pPr>
      <w:r w:rsidRPr="004E68EB">
        <w:rPr>
          <w:rFonts w:eastAsiaTheme="minorEastAsia"/>
          <w:noProof/>
          <w:lang w:eastAsia="pl-PL"/>
        </w:rPr>
        <w:drawing>
          <wp:inline distT="0" distB="0" distL="0" distR="0" wp14:anchorId="2D5631D6" wp14:editId="5EC297FC">
            <wp:extent cx="4829175" cy="29051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175" cy="2905125"/>
                    </a:xfrm>
                    <a:prstGeom prst="rect">
                      <a:avLst/>
                    </a:prstGeom>
                    <a:noFill/>
                  </pic:spPr>
                </pic:pic>
              </a:graphicData>
            </a:graphic>
          </wp:inline>
        </w:drawing>
      </w:r>
    </w:p>
    <w:p w:rsidR="004E68EB" w:rsidRPr="004E68EB" w:rsidRDefault="004E68EB" w:rsidP="004E68EB">
      <w:pPr>
        <w:spacing w:after="0" w:line="240" w:lineRule="auto"/>
        <w:jc w:val="both"/>
        <w:rPr>
          <w:rFonts w:eastAsiaTheme="minorEastAsia"/>
          <w:b/>
          <w:color w:val="FF0000"/>
          <w:lang w:eastAsia="pl-PL"/>
        </w:rPr>
      </w:pPr>
      <w:r w:rsidRPr="004E68EB">
        <w:rPr>
          <w:rFonts w:eastAsiaTheme="minorEastAsia"/>
          <w:lang w:eastAsia="pl-PL"/>
        </w:rPr>
        <w:t xml:space="preserve">Kurs dolara amerykańskiego (w złotych) przebił 52-tygodniowe maksimum, co było spowodowane zaprezentowaniem bardzo dobrych danych o sytuacji na rynku pracy w USA w piątek 6 listopada. Dzięki temu nastąpiło wybicie z nietypowej formacji podwójnego dna, co powinno skutkować wzrostem kursu dolara amerykańskiego </w:t>
      </w:r>
      <w:r w:rsidRPr="004E68EB">
        <w:rPr>
          <w:rFonts w:eastAsiaTheme="minorEastAsia"/>
          <w:b/>
          <w:color w:val="FF0000"/>
          <w:lang w:eastAsia="pl-PL"/>
        </w:rPr>
        <w:t xml:space="preserve">do 4,4252 zł. </w:t>
      </w:r>
    </w:p>
    <w:p w:rsidR="004E68EB" w:rsidRPr="004E68EB" w:rsidRDefault="004E68EB" w:rsidP="004E68EB">
      <w:pPr>
        <w:pBdr>
          <w:top w:val="single" w:sz="4" w:space="1" w:color="auto"/>
          <w:left w:val="single" w:sz="4" w:space="4" w:color="auto"/>
          <w:bottom w:val="single" w:sz="4" w:space="1" w:color="auto"/>
          <w:right w:val="single" w:sz="4" w:space="4" w:color="auto"/>
        </w:pBdr>
        <w:spacing w:after="0" w:line="240" w:lineRule="auto"/>
        <w:jc w:val="center"/>
        <w:rPr>
          <w:rFonts w:eastAsiaTheme="minorEastAsia"/>
          <w:lang w:eastAsia="pl-PL"/>
        </w:rPr>
      </w:pPr>
      <w:r w:rsidRPr="004E68EB">
        <w:rPr>
          <w:rFonts w:eastAsiaTheme="minorEastAsia"/>
          <w:lang w:eastAsia="pl-PL"/>
        </w:rPr>
        <w:t>Kurs EUR/PLN – perspektywa średniookresowa, kurs z 23 grudnia 2015 roku = 4,2389</w:t>
      </w:r>
    </w:p>
    <w:p w:rsidR="004E68EB" w:rsidRPr="004E68EB" w:rsidRDefault="004E68EB" w:rsidP="004E68EB">
      <w:pPr>
        <w:spacing w:after="0" w:line="240" w:lineRule="auto"/>
        <w:jc w:val="both"/>
        <w:rPr>
          <w:rFonts w:eastAsiaTheme="minorEastAsia"/>
          <w:lang w:eastAsia="pl-PL"/>
        </w:rPr>
      </w:pPr>
      <w:r w:rsidRPr="004E68EB">
        <w:rPr>
          <w:rFonts w:eastAsiaTheme="minorEastAsia"/>
          <w:noProof/>
          <w:lang w:eastAsia="pl-PL"/>
        </w:rPr>
        <w:drawing>
          <wp:inline distT="0" distB="0" distL="0" distR="0" wp14:anchorId="6A4D960E" wp14:editId="3D828C6D">
            <wp:extent cx="5429250" cy="3257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4E68EB" w:rsidRPr="004E68EB" w:rsidRDefault="004E68EB" w:rsidP="004E68EB">
      <w:pPr>
        <w:spacing w:after="0" w:line="240" w:lineRule="auto"/>
        <w:jc w:val="both"/>
        <w:rPr>
          <w:rFonts w:eastAsiaTheme="minorEastAsia"/>
          <w:color w:val="000000"/>
          <w:sz w:val="26"/>
          <w:szCs w:val="26"/>
          <w:lang w:eastAsia="pl-PL"/>
        </w:rPr>
      </w:pPr>
      <w:r w:rsidRPr="004E68EB">
        <w:rPr>
          <w:rFonts w:eastAsiaTheme="minorEastAsia"/>
          <w:lang w:eastAsia="pl-PL"/>
        </w:rPr>
        <w:t xml:space="preserve">Kurs euro (w złotych) od końca kwietnia 2015 roku znajduje się w trendzie wzrostowym. Generalnie rzecz biorąc powyższy proces (będący mówiąc inaczej synonimem osłabienia złotego wobec euro) wynikał prawdopodobnie z odpływu kapitału zagranicznego z wschodzących rynków finansowych. Na wykresie kursu euro (w złotych) doszło do wybicia z formacji nietypowej formacji podwójnego dna, </w:t>
      </w:r>
      <w:proofErr w:type="spellStart"/>
      <w:proofErr w:type="gramStart"/>
      <w:r w:rsidRPr="004E68EB">
        <w:rPr>
          <w:rFonts w:eastAsiaTheme="minorEastAsia"/>
          <w:lang w:eastAsia="pl-PL"/>
        </w:rPr>
        <w:t>zięki</w:t>
      </w:r>
      <w:proofErr w:type="spellEnd"/>
      <w:r w:rsidRPr="004E68EB">
        <w:rPr>
          <w:rFonts w:eastAsiaTheme="minorEastAsia"/>
          <w:lang w:eastAsia="pl-PL"/>
        </w:rPr>
        <w:t xml:space="preserve"> czemu</w:t>
      </w:r>
      <w:proofErr w:type="gramEnd"/>
      <w:r w:rsidRPr="004E68EB">
        <w:rPr>
          <w:rFonts w:eastAsiaTheme="minorEastAsia"/>
          <w:lang w:eastAsia="pl-PL"/>
        </w:rPr>
        <w:t xml:space="preserve"> doszło do wzrostu kursu euro (w złotych) do </w:t>
      </w:r>
      <w:r w:rsidRPr="004E68EB">
        <w:rPr>
          <w:rFonts w:eastAsiaTheme="minorEastAsia"/>
          <w:b/>
          <w:color w:val="FF0000"/>
          <w:lang w:eastAsia="pl-PL"/>
        </w:rPr>
        <w:t>4,3607 zł</w:t>
      </w:r>
      <w:r w:rsidRPr="004E68EB">
        <w:rPr>
          <w:rFonts w:eastAsiaTheme="minorEastAsia"/>
          <w:color w:val="000000" w:themeColor="text1"/>
          <w:lang w:eastAsia="pl-PL"/>
        </w:rPr>
        <w:t xml:space="preserve">. Dojście do oporu (szczyt z 26 grudnia 2014 roku) może spowodować pewne osłabienie kursu euro (w złotych). </w:t>
      </w:r>
    </w:p>
    <w:p w:rsidR="00AA0443" w:rsidRDefault="00AA0443"/>
    <w:p w:rsidR="004E68EB" w:rsidRPr="004E68EB" w:rsidRDefault="004E68EB" w:rsidP="004E68EB">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sz w:val="26"/>
          <w:szCs w:val="26"/>
        </w:rPr>
      </w:pPr>
      <w:r w:rsidRPr="004E68EB">
        <w:rPr>
          <w:sz w:val="26"/>
          <w:szCs w:val="26"/>
        </w:rPr>
        <w:lastRenderedPageBreak/>
        <w:t>Szansa na dalsze wzrosty polskich indeksów giełdowych</w:t>
      </w:r>
    </w:p>
    <w:p w:rsidR="004E68EB" w:rsidRPr="004E68EB" w:rsidRDefault="004E68EB" w:rsidP="004E68EB">
      <w:pPr>
        <w:spacing w:after="0" w:line="240" w:lineRule="auto"/>
        <w:jc w:val="center"/>
      </w:pPr>
    </w:p>
    <w:p w:rsidR="004E68EB" w:rsidRPr="004E68EB" w:rsidRDefault="004E68EB" w:rsidP="004E68EB">
      <w:pPr>
        <w:spacing w:after="0" w:line="240" w:lineRule="auto"/>
        <w:jc w:val="both"/>
        <w:rPr>
          <w:sz w:val="26"/>
          <w:szCs w:val="26"/>
        </w:rPr>
      </w:pPr>
      <w:r w:rsidRPr="004E68EB">
        <w:rPr>
          <w:sz w:val="26"/>
          <w:szCs w:val="26"/>
        </w:rPr>
        <w:t xml:space="preserve">W minionym tygodniu WIG20 zyskał na wartości 1,1 %. Wzrosły także pozostałe kluczowe polskie indeksy giełdowe: (WIG o 1,2 %, mWIG40 o 1,8 % a sWIG80 o 1,0 %). </w:t>
      </w:r>
      <w:r w:rsidRPr="004E68EB">
        <w:rPr>
          <w:b/>
          <w:sz w:val="26"/>
          <w:szCs w:val="26"/>
        </w:rPr>
        <w:t>Zwyżk</w:t>
      </w:r>
      <w:r w:rsidRPr="004E68EB">
        <w:rPr>
          <w:sz w:val="26"/>
          <w:szCs w:val="26"/>
        </w:rPr>
        <w:t xml:space="preserve">i wspomnianych 4 indeksów opisujących sytuację na polskim rynku akcji </w:t>
      </w:r>
      <w:r w:rsidRPr="004E68EB">
        <w:rPr>
          <w:b/>
          <w:sz w:val="26"/>
          <w:szCs w:val="26"/>
        </w:rPr>
        <w:t>miały swoje źródło</w:t>
      </w:r>
      <w:r w:rsidRPr="004E68EB">
        <w:rPr>
          <w:sz w:val="26"/>
          <w:szCs w:val="26"/>
        </w:rPr>
        <w:t xml:space="preserve"> między innymi </w:t>
      </w:r>
      <w:r w:rsidRPr="004E68EB">
        <w:rPr>
          <w:b/>
          <w:sz w:val="26"/>
          <w:szCs w:val="26"/>
        </w:rPr>
        <w:t>w napływie dobrych wieści z zagranicy</w:t>
      </w:r>
      <w:r w:rsidRPr="004E68EB">
        <w:rPr>
          <w:sz w:val="26"/>
          <w:szCs w:val="26"/>
        </w:rPr>
        <w:t xml:space="preserve">. </w:t>
      </w:r>
    </w:p>
    <w:p w:rsidR="004E68EB" w:rsidRPr="004E68EB" w:rsidRDefault="004E68EB" w:rsidP="004E68EB">
      <w:pPr>
        <w:spacing w:after="0" w:line="240" w:lineRule="auto"/>
        <w:jc w:val="both"/>
        <w:rPr>
          <w:sz w:val="26"/>
          <w:szCs w:val="26"/>
        </w:rPr>
      </w:pPr>
    </w:p>
    <w:p w:rsidR="004E68EB" w:rsidRPr="004E68EB" w:rsidRDefault="004E68EB" w:rsidP="004E68EB">
      <w:pPr>
        <w:spacing w:after="0" w:line="240" w:lineRule="auto"/>
        <w:jc w:val="both"/>
        <w:rPr>
          <w:sz w:val="26"/>
          <w:szCs w:val="26"/>
        </w:rPr>
      </w:pPr>
      <w:r w:rsidRPr="004E68EB">
        <w:rPr>
          <w:sz w:val="26"/>
          <w:szCs w:val="26"/>
        </w:rPr>
        <w:t xml:space="preserve">Szczególnie warto zwrócić uwagę na zwyżkę indeksu chińskiego rynku akcji. </w:t>
      </w:r>
      <w:proofErr w:type="gramStart"/>
      <w:r w:rsidRPr="004E68EB">
        <w:rPr>
          <w:sz w:val="26"/>
          <w:szCs w:val="26"/>
        </w:rPr>
        <w:t>Należy bowiem</w:t>
      </w:r>
      <w:proofErr w:type="gramEnd"/>
      <w:r w:rsidRPr="004E68EB">
        <w:rPr>
          <w:sz w:val="26"/>
          <w:szCs w:val="26"/>
        </w:rPr>
        <w:t xml:space="preserve"> pamiętać, że Chiny są uważane za największy kraj wschodzący na świecie. </w:t>
      </w:r>
      <w:r w:rsidRPr="004E68EB">
        <w:rPr>
          <w:b/>
          <w:sz w:val="26"/>
          <w:szCs w:val="26"/>
        </w:rPr>
        <w:t>Na wykresie chińskiego rynku akcji doszło do wybicia z formacji podwójnego dna</w:t>
      </w:r>
      <w:r w:rsidRPr="004E68EB">
        <w:rPr>
          <w:sz w:val="26"/>
          <w:szCs w:val="26"/>
        </w:rPr>
        <w:t xml:space="preserve"> a formacja ta jeszcze się nie wypełniła. </w:t>
      </w:r>
    </w:p>
    <w:p w:rsidR="004E68EB" w:rsidRPr="004E68EB" w:rsidRDefault="004E68EB" w:rsidP="004E68EB">
      <w:pPr>
        <w:spacing w:after="0" w:line="240" w:lineRule="auto"/>
        <w:jc w:val="both"/>
        <w:rPr>
          <w:sz w:val="26"/>
          <w:szCs w:val="26"/>
        </w:rPr>
      </w:pPr>
    </w:p>
    <w:p w:rsidR="004E68EB" w:rsidRPr="004E68EB" w:rsidRDefault="004E68EB" w:rsidP="004E68EB">
      <w:pPr>
        <w:spacing w:after="0" w:line="240" w:lineRule="auto"/>
        <w:jc w:val="both"/>
        <w:rPr>
          <w:b/>
          <w:sz w:val="26"/>
          <w:szCs w:val="26"/>
          <w:u w:val="single"/>
        </w:rPr>
      </w:pPr>
      <w:r w:rsidRPr="004E68EB">
        <w:rPr>
          <w:b/>
          <w:sz w:val="26"/>
          <w:szCs w:val="26"/>
          <w:u w:val="single"/>
        </w:rPr>
        <w:t>CHINY-B-SHARES</w:t>
      </w:r>
    </w:p>
    <w:p w:rsidR="004E68EB" w:rsidRPr="004E68EB" w:rsidRDefault="004E68EB" w:rsidP="004E68EB">
      <w:pPr>
        <w:spacing w:after="0" w:line="240" w:lineRule="auto"/>
        <w:jc w:val="both"/>
        <w:rPr>
          <w:sz w:val="26"/>
          <w:szCs w:val="26"/>
        </w:rPr>
      </w:pPr>
    </w:p>
    <w:p w:rsidR="004E68EB" w:rsidRPr="004E68EB" w:rsidRDefault="004E68EB" w:rsidP="004E68EB">
      <w:pPr>
        <w:spacing w:after="0" w:line="240" w:lineRule="auto"/>
        <w:jc w:val="both"/>
        <w:rPr>
          <w:noProof/>
          <w:sz w:val="26"/>
          <w:szCs w:val="26"/>
          <w:lang w:eastAsia="pl-PL"/>
        </w:rPr>
      </w:pPr>
      <w:r w:rsidRPr="004E68EB">
        <w:rPr>
          <w:noProof/>
          <w:sz w:val="26"/>
          <w:szCs w:val="26"/>
          <w:lang w:eastAsia="pl-PL"/>
        </w:rPr>
        <w:drawing>
          <wp:inline distT="0" distB="0" distL="0" distR="0" wp14:anchorId="688A5B00" wp14:editId="1ED1F641">
            <wp:extent cx="5438775" cy="32575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3257550"/>
                    </a:xfrm>
                    <a:prstGeom prst="rect">
                      <a:avLst/>
                    </a:prstGeom>
                    <a:noFill/>
                  </pic:spPr>
                </pic:pic>
              </a:graphicData>
            </a:graphic>
          </wp:inline>
        </w:drawing>
      </w:r>
    </w:p>
    <w:p w:rsidR="004E68EB" w:rsidRPr="004E68EB" w:rsidRDefault="004E68EB" w:rsidP="004E68EB">
      <w:pPr>
        <w:spacing w:after="0" w:line="240" w:lineRule="auto"/>
        <w:jc w:val="both"/>
        <w:rPr>
          <w:noProof/>
          <w:sz w:val="26"/>
          <w:szCs w:val="26"/>
          <w:lang w:eastAsia="pl-PL"/>
        </w:rPr>
      </w:pPr>
    </w:p>
    <w:p w:rsidR="004E68EB" w:rsidRPr="004E68EB" w:rsidRDefault="004E68EB" w:rsidP="004E68EB">
      <w:pPr>
        <w:spacing w:after="0" w:line="240" w:lineRule="auto"/>
        <w:jc w:val="both"/>
        <w:rPr>
          <w:color w:val="000000"/>
          <w:sz w:val="26"/>
          <w:szCs w:val="26"/>
        </w:rPr>
      </w:pPr>
      <w:r w:rsidRPr="004E68EB">
        <w:rPr>
          <w:noProof/>
          <w:sz w:val="26"/>
          <w:szCs w:val="26"/>
        </w:rPr>
        <w:t xml:space="preserve">Warto zapoznać się ze składem indeksu rynków wschodząch </w:t>
      </w:r>
      <w:r w:rsidRPr="004E68EB">
        <w:rPr>
          <w:b/>
          <w:bCs/>
          <w:color w:val="FF0000"/>
          <w:sz w:val="26"/>
          <w:szCs w:val="26"/>
        </w:rPr>
        <w:t xml:space="preserve">MSCI </w:t>
      </w:r>
      <w:proofErr w:type="spellStart"/>
      <w:r w:rsidRPr="004E68EB">
        <w:rPr>
          <w:b/>
          <w:bCs/>
          <w:color w:val="FF0000"/>
          <w:sz w:val="26"/>
          <w:szCs w:val="26"/>
        </w:rPr>
        <w:t>Emerging</w:t>
      </w:r>
      <w:proofErr w:type="spellEnd"/>
      <w:r w:rsidRPr="004E68EB">
        <w:rPr>
          <w:b/>
          <w:bCs/>
          <w:color w:val="FF0000"/>
          <w:sz w:val="26"/>
          <w:szCs w:val="26"/>
        </w:rPr>
        <w:t xml:space="preserve"> </w:t>
      </w:r>
      <w:proofErr w:type="spellStart"/>
      <w:r w:rsidRPr="004E68EB">
        <w:rPr>
          <w:b/>
          <w:bCs/>
          <w:color w:val="FF0000"/>
          <w:sz w:val="26"/>
          <w:szCs w:val="26"/>
        </w:rPr>
        <w:t>Markets</w:t>
      </w:r>
      <w:proofErr w:type="spellEnd"/>
      <w:r w:rsidRPr="004E68EB">
        <w:rPr>
          <w:b/>
          <w:bCs/>
          <w:color w:val="FF0000"/>
          <w:sz w:val="26"/>
          <w:szCs w:val="26"/>
        </w:rPr>
        <w:t xml:space="preserve"> Index. </w:t>
      </w:r>
      <w:r w:rsidRPr="004E68EB">
        <w:rPr>
          <w:color w:val="000000"/>
          <w:sz w:val="26"/>
          <w:szCs w:val="26"/>
        </w:rPr>
        <w:t>W poniższym pliku (w PDF) zaprezentowany jest skład tego indeksu).</w:t>
      </w:r>
    </w:p>
    <w:p w:rsidR="004E68EB" w:rsidRPr="004E68EB" w:rsidRDefault="004E68EB" w:rsidP="004E68EB">
      <w:pPr>
        <w:spacing w:after="0" w:line="240" w:lineRule="auto"/>
        <w:jc w:val="both"/>
        <w:rPr>
          <w:color w:val="000000"/>
          <w:sz w:val="26"/>
          <w:szCs w:val="26"/>
        </w:rPr>
      </w:pPr>
    </w:p>
    <w:p w:rsidR="004E68EB" w:rsidRPr="004E68EB" w:rsidRDefault="004E68EB" w:rsidP="004E68EB">
      <w:pPr>
        <w:spacing w:after="0" w:line="240" w:lineRule="auto"/>
        <w:jc w:val="both"/>
        <w:rPr>
          <w:color w:val="000000"/>
          <w:sz w:val="26"/>
          <w:szCs w:val="26"/>
        </w:rPr>
      </w:pPr>
      <w:hyperlink r:id="rId9" w:history="1">
        <w:r w:rsidRPr="004E68EB">
          <w:rPr>
            <w:color w:val="0000FF"/>
            <w:sz w:val="26"/>
            <w:szCs w:val="26"/>
            <w:u w:val="single"/>
          </w:rPr>
          <w:t>https://www.msci.com/resources/factsheets/index_fact_sheet/msci-emerging-markets-index-usd-net.pdf</w:t>
        </w:r>
      </w:hyperlink>
    </w:p>
    <w:p w:rsidR="004E68EB" w:rsidRPr="004E68EB" w:rsidRDefault="004E68EB" w:rsidP="004E68EB">
      <w:pPr>
        <w:spacing w:after="0" w:line="240" w:lineRule="auto"/>
        <w:jc w:val="both"/>
        <w:rPr>
          <w:color w:val="000000"/>
          <w:sz w:val="26"/>
          <w:szCs w:val="26"/>
        </w:rPr>
      </w:pPr>
    </w:p>
    <w:p w:rsidR="004E68EB" w:rsidRPr="004E68EB" w:rsidRDefault="004E68EB" w:rsidP="004E68EB">
      <w:pPr>
        <w:spacing w:after="0" w:line="240" w:lineRule="auto"/>
        <w:jc w:val="both"/>
        <w:rPr>
          <w:color w:val="000000"/>
          <w:sz w:val="26"/>
          <w:szCs w:val="26"/>
        </w:rPr>
      </w:pPr>
      <w:r w:rsidRPr="004E68EB">
        <w:rPr>
          <w:color w:val="000000"/>
          <w:sz w:val="26"/>
          <w:szCs w:val="26"/>
        </w:rPr>
        <w:t xml:space="preserve">Z powyższego pliku wynika, że w skład tego indeksu wchodzą 23 krajowe rynki akcji. </w:t>
      </w:r>
      <w:r w:rsidRPr="004E68EB">
        <w:rPr>
          <w:b/>
          <w:bCs/>
          <w:color w:val="FF0000"/>
          <w:sz w:val="26"/>
          <w:szCs w:val="26"/>
        </w:rPr>
        <w:t xml:space="preserve">Najwyższy udział w tym indeksie posiadają Chiny (24,01 %). </w:t>
      </w:r>
      <w:r w:rsidRPr="004E68EB">
        <w:rPr>
          <w:color w:val="000000"/>
          <w:sz w:val="26"/>
          <w:szCs w:val="26"/>
        </w:rPr>
        <w:t xml:space="preserve">Szkoda, że w pliku tym nie ma zaprezentowanych udziałów wszystkich 23 krajów wschodzących. </w:t>
      </w:r>
    </w:p>
    <w:p w:rsidR="004E68EB" w:rsidRPr="004E68EB" w:rsidRDefault="004E68EB" w:rsidP="004E68EB">
      <w:pPr>
        <w:spacing w:after="0" w:line="240" w:lineRule="auto"/>
        <w:jc w:val="both"/>
        <w:rPr>
          <w:color w:val="000000"/>
          <w:sz w:val="26"/>
          <w:szCs w:val="26"/>
        </w:rPr>
      </w:pPr>
    </w:p>
    <w:p w:rsidR="004E68EB" w:rsidRPr="004E68EB" w:rsidRDefault="004E68EB" w:rsidP="004E68EB">
      <w:pPr>
        <w:spacing w:after="0" w:line="240" w:lineRule="auto"/>
        <w:jc w:val="both"/>
        <w:rPr>
          <w:color w:val="000000"/>
          <w:sz w:val="26"/>
          <w:szCs w:val="26"/>
        </w:rPr>
      </w:pPr>
      <w:r w:rsidRPr="004E68EB">
        <w:rPr>
          <w:color w:val="000000"/>
          <w:sz w:val="26"/>
          <w:szCs w:val="26"/>
        </w:rPr>
        <w:t xml:space="preserve">Nie </w:t>
      </w:r>
      <w:proofErr w:type="gramStart"/>
      <w:r w:rsidRPr="004E68EB">
        <w:rPr>
          <w:color w:val="000000"/>
          <w:sz w:val="26"/>
          <w:szCs w:val="26"/>
        </w:rPr>
        <w:t>wiemy więc</w:t>
      </w:r>
      <w:proofErr w:type="gramEnd"/>
      <w:r w:rsidRPr="004E68EB">
        <w:rPr>
          <w:color w:val="000000"/>
          <w:sz w:val="26"/>
          <w:szCs w:val="26"/>
        </w:rPr>
        <w:t xml:space="preserve"> jaki jest udział Polski. Możemy jednak być prawie pewni, że dane z Polski są tam uwzględnione.</w:t>
      </w:r>
    </w:p>
    <w:p w:rsidR="004E68EB" w:rsidRPr="004E68EB" w:rsidRDefault="004E68EB" w:rsidP="004E68EB">
      <w:pPr>
        <w:spacing w:after="0" w:line="240" w:lineRule="auto"/>
        <w:jc w:val="both"/>
        <w:rPr>
          <w:color w:val="000000"/>
          <w:sz w:val="26"/>
          <w:szCs w:val="26"/>
        </w:rPr>
      </w:pPr>
      <w:r w:rsidRPr="004E68EB">
        <w:rPr>
          <w:color w:val="000000"/>
          <w:sz w:val="26"/>
          <w:szCs w:val="26"/>
        </w:rPr>
        <w:lastRenderedPageBreak/>
        <w:t xml:space="preserve">W każdym razie można założyć, że jeżeli mamy być świadkami dalszych wzrostów indeksu prezentującego sytuację na największym wschodzącym rynku akcji to </w:t>
      </w:r>
      <w:r w:rsidRPr="004E68EB">
        <w:rPr>
          <w:b/>
          <w:color w:val="000000"/>
          <w:sz w:val="26"/>
          <w:szCs w:val="26"/>
        </w:rPr>
        <w:t>powinno to ogólnie rzecz biorąc sprzyjać to poprawie ogólnej sytuacji w grupie wschodzących rynków akcji</w:t>
      </w:r>
      <w:r w:rsidRPr="004E68EB">
        <w:rPr>
          <w:color w:val="000000"/>
          <w:sz w:val="26"/>
          <w:szCs w:val="26"/>
        </w:rPr>
        <w:t>, w tym polskiego.</w:t>
      </w:r>
    </w:p>
    <w:p w:rsidR="004E68EB" w:rsidRPr="004E68EB" w:rsidRDefault="004E68EB" w:rsidP="004E68EB">
      <w:pPr>
        <w:spacing w:after="0" w:line="240" w:lineRule="auto"/>
        <w:jc w:val="both"/>
        <w:rPr>
          <w:color w:val="000000"/>
          <w:sz w:val="26"/>
          <w:szCs w:val="26"/>
        </w:rPr>
      </w:pPr>
    </w:p>
    <w:p w:rsidR="004E68EB" w:rsidRPr="004E68EB" w:rsidRDefault="004E68EB" w:rsidP="004E68EB">
      <w:pPr>
        <w:spacing w:after="0" w:line="240" w:lineRule="auto"/>
        <w:jc w:val="both"/>
        <w:rPr>
          <w:color w:val="000000"/>
          <w:sz w:val="26"/>
          <w:szCs w:val="26"/>
        </w:rPr>
      </w:pPr>
      <w:r w:rsidRPr="004E68EB">
        <w:rPr>
          <w:color w:val="000000"/>
          <w:sz w:val="26"/>
          <w:szCs w:val="26"/>
        </w:rPr>
        <w:t xml:space="preserve">Teraz przejdźmy do indeksu WIG20. Warto zauważyć, że </w:t>
      </w:r>
      <w:r w:rsidRPr="004E68EB">
        <w:rPr>
          <w:b/>
          <w:color w:val="000000"/>
          <w:sz w:val="26"/>
          <w:szCs w:val="26"/>
        </w:rPr>
        <w:t>kluczowymi oporami są spadkowe linie trendu</w:t>
      </w:r>
      <w:r w:rsidRPr="004E68EB">
        <w:rPr>
          <w:color w:val="000000"/>
          <w:sz w:val="26"/>
          <w:szCs w:val="26"/>
        </w:rPr>
        <w:t xml:space="preserve">. Pierwsza z nich przebiega aktualnie na poziomie 1915 punktów. Druga przebiega natomiast na poziomie 1983 punkty. Biorąc pod uwagę szasnę na wzrosty cen akcji na rynkach </w:t>
      </w:r>
      <w:proofErr w:type="gramStart"/>
      <w:r w:rsidRPr="004E68EB">
        <w:rPr>
          <w:color w:val="000000"/>
          <w:sz w:val="26"/>
          <w:szCs w:val="26"/>
        </w:rPr>
        <w:t>wschodzących (o czym</w:t>
      </w:r>
      <w:proofErr w:type="gramEnd"/>
      <w:r w:rsidRPr="004E68EB">
        <w:rPr>
          <w:color w:val="000000"/>
          <w:sz w:val="26"/>
          <w:szCs w:val="26"/>
        </w:rPr>
        <w:t xml:space="preserve"> była mowa wyżej) można spodziewać się, że WIG20 zmierzać będzie w kierunku pierwszej (czerwonej) linii trendu a potem w kierunku drugiej (zielonej) linii trendu.</w:t>
      </w:r>
    </w:p>
    <w:p w:rsidR="004E68EB" w:rsidRPr="004E68EB" w:rsidRDefault="004E68EB" w:rsidP="004E68EB">
      <w:pPr>
        <w:spacing w:after="0" w:line="240" w:lineRule="auto"/>
        <w:jc w:val="both"/>
        <w:rPr>
          <w:color w:val="000000"/>
          <w:sz w:val="26"/>
          <w:szCs w:val="26"/>
        </w:rPr>
      </w:pPr>
    </w:p>
    <w:p w:rsidR="004E68EB" w:rsidRPr="004E68EB" w:rsidRDefault="004E68EB" w:rsidP="004E68EB">
      <w:pPr>
        <w:spacing w:after="0" w:line="240" w:lineRule="auto"/>
        <w:jc w:val="both"/>
        <w:rPr>
          <w:b/>
          <w:color w:val="000000"/>
          <w:sz w:val="26"/>
          <w:szCs w:val="26"/>
          <w:u w:val="single"/>
        </w:rPr>
      </w:pPr>
      <w:r w:rsidRPr="004E68EB">
        <w:rPr>
          <w:b/>
          <w:color w:val="000000"/>
          <w:sz w:val="26"/>
          <w:szCs w:val="26"/>
          <w:u w:val="single"/>
        </w:rPr>
        <w:t>WIG20</w:t>
      </w:r>
    </w:p>
    <w:p w:rsidR="004E68EB" w:rsidRPr="004E68EB" w:rsidRDefault="004E68EB" w:rsidP="004E68EB">
      <w:pPr>
        <w:spacing w:after="0" w:line="240" w:lineRule="auto"/>
        <w:jc w:val="both"/>
        <w:rPr>
          <w:b/>
          <w:color w:val="000000"/>
          <w:sz w:val="26"/>
          <w:szCs w:val="26"/>
          <w:u w:val="single"/>
        </w:rPr>
      </w:pPr>
    </w:p>
    <w:p w:rsidR="004E68EB" w:rsidRPr="004E68EB" w:rsidRDefault="004E68EB" w:rsidP="004E68EB">
      <w:pPr>
        <w:spacing w:after="0" w:line="240" w:lineRule="auto"/>
        <w:jc w:val="both"/>
        <w:rPr>
          <w:b/>
          <w:color w:val="000000"/>
          <w:sz w:val="26"/>
          <w:szCs w:val="26"/>
          <w:u w:val="single"/>
        </w:rPr>
      </w:pPr>
      <w:r w:rsidRPr="004E68EB">
        <w:rPr>
          <w:b/>
          <w:noProof/>
          <w:color w:val="000000"/>
          <w:sz w:val="26"/>
          <w:szCs w:val="26"/>
          <w:u w:val="single"/>
          <w:lang w:eastAsia="pl-PL"/>
        </w:rPr>
        <w:drawing>
          <wp:inline distT="0" distB="0" distL="0" distR="0" wp14:anchorId="77E0DAA0" wp14:editId="0830231D">
            <wp:extent cx="5429250" cy="32575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4E68EB" w:rsidRPr="004E68EB" w:rsidRDefault="004E68EB" w:rsidP="004E68EB">
      <w:pPr>
        <w:spacing w:after="0" w:line="240" w:lineRule="auto"/>
        <w:jc w:val="both"/>
        <w:rPr>
          <w:color w:val="000000"/>
          <w:sz w:val="26"/>
          <w:szCs w:val="26"/>
        </w:rPr>
      </w:pPr>
    </w:p>
    <w:p w:rsidR="004E68EB" w:rsidRPr="004E68EB" w:rsidRDefault="004E68EB" w:rsidP="004E68EB">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color w:val="000000" w:themeColor="text1"/>
          <w:sz w:val="26"/>
          <w:szCs w:val="26"/>
        </w:rPr>
      </w:pPr>
      <w:r w:rsidRPr="004E68EB">
        <w:rPr>
          <w:color w:val="000000" w:themeColor="text1"/>
          <w:sz w:val="26"/>
          <w:szCs w:val="26"/>
        </w:rPr>
        <w:t xml:space="preserve">Zbliża się styczeń 2016 roku. </w:t>
      </w:r>
    </w:p>
    <w:p w:rsidR="004E68EB" w:rsidRPr="004E68EB" w:rsidRDefault="004E68EB" w:rsidP="004E68EB">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color w:val="000000" w:themeColor="text1"/>
          <w:sz w:val="26"/>
          <w:szCs w:val="26"/>
        </w:rPr>
      </w:pPr>
      <w:r w:rsidRPr="004E68EB">
        <w:rPr>
          <w:color w:val="000000" w:themeColor="text1"/>
          <w:sz w:val="26"/>
          <w:szCs w:val="26"/>
        </w:rPr>
        <w:t xml:space="preserve">Czy znów pojawi się efekt małych spółek na GPW w </w:t>
      </w:r>
      <w:proofErr w:type="gramStart"/>
      <w:r w:rsidRPr="004E68EB">
        <w:rPr>
          <w:color w:val="000000" w:themeColor="text1"/>
          <w:sz w:val="26"/>
          <w:szCs w:val="26"/>
        </w:rPr>
        <w:t>Warszawie ?</w:t>
      </w:r>
      <w:proofErr w:type="gramEnd"/>
    </w:p>
    <w:p w:rsidR="004E68EB" w:rsidRPr="004E68EB" w:rsidRDefault="004E68EB" w:rsidP="004E68EB">
      <w:pPr>
        <w:spacing w:after="0" w:line="240" w:lineRule="auto"/>
        <w:jc w:val="both"/>
        <w:rPr>
          <w:b/>
          <w:color w:val="FF0000"/>
          <w:sz w:val="26"/>
          <w:szCs w:val="26"/>
        </w:rPr>
      </w:pPr>
    </w:p>
    <w:p w:rsidR="004E68EB" w:rsidRPr="004E68EB" w:rsidRDefault="004E68EB" w:rsidP="004E68EB">
      <w:pPr>
        <w:spacing w:after="0" w:line="240" w:lineRule="auto"/>
        <w:jc w:val="both"/>
        <w:rPr>
          <w:b/>
          <w:color w:val="FF0000"/>
          <w:sz w:val="26"/>
          <w:szCs w:val="26"/>
        </w:rPr>
      </w:pPr>
      <w:r w:rsidRPr="004E68EB">
        <w:rPr>
          <w:b/>
          <w:color w:val="FF0000"/>
          <w:sz w:val="26"/>
          <w:szCs w:val="26"/>
        </w:rPr>
        <w:t>Efekt małych spółek polega na stosunkowo silnym zachowaniu segmentu akcji małych spółek w stosunku do segmentu akcji innych spółek w styczniu.</w:t>
      </w:r>
    </w:p>
    <w:p w:rsidR="004E68EB" w:rsidRPr="004E68EB" w:rsidRDefault="004E68EB" w:rsidP="004E68EB">
      <w:pPr>
        <w:spacing w:after="0" w:line="240" w:lineRule="auto"/>
        <w:jc w:val="both"/>
        <w:rPr>
          <w:sz w:val="26"/>
          <w:szCs w:val="26"/>
        </w:rPr>
      </w:pPr>
    </w:p>
    <w:p w:rsidR="004E68EB" w:rsidRPr="004E68EB" w:rsidRDefault="004E68EB" w:rsidP="004E68EB">
      <w:pPr>
        <w:spacing w:after="0" w:line="240" w:lineRule="auto"/>
        <w:jc w:val="both"/>
        <w:rPr>
          <w:sz w:val="26"/>
          <w:szCs w:val="26"/>
        </w:rPr>
      </w:pPr>
      <w:r w:rsidRPr="004E68EB">
        <w:rPr>
          <w:sz w:val="26"/>
          <w:szCs w:val="26"/>
        </w:rPr>
        <w:t xml:space="preserve">W przypadku polskiego rynku akcji jego istotą jest </w:t>
      </w:r>
      <w:r w:rsidRPr="004E68EB">
        <w:rPr>
          <w:b/>
          <w:sz w:val="26"/>
          <w:szCs w:val="26"/>
          <w:u w:val="single"/>
        </w:rPr>
        <w:t xml:space="preserve">na przykład </w:t>
      </w:r>
      <w:r w:rsidRPr="004E68EB">
        <w:rPr>
          <w:sz w:val="26"/>
          <w:szCs w:val="26"/>
        </w:rPr>
        <w:t>występowanie wyższej stopy zwrotu w przypadku indeksu małych spółek (sWIG80) niż w przypadku indeksu spółek dużych (WIG20).</w:t>
      </w:r>
    </w:p>
    <w:p w:rsidR="004E68EB" w:rsidRPr="004E68EB" w:rsidRDefault="004E68EB" w:rsidP="004E68EB">
      <w:pPr>
        <w:spacing w:after="0" w:line="240" w:lineRule="auto"/>
        <w:jc w:val="both"/>
        <w:rPr>
          <w:sz w:val="26"/>
          <w:szCs w:val="26"/>
        </w:rPr>
      </w:pPr>
    </w:p>
    <w:p w:rsidR="004E68EB" w:rsidRPr="004E68EB" w:rsidRDefault="004E68EB" w:rsidP="004E68EB">
      <w:pPr>
        <w:spacing w:after="0" w:line="240" w:lineRule="auto"/>
        <w:jc w:val="both"/>
        <w:rPr>
          <w:color w:val="000000" w:themeColor="text1"/>
          <w:sz w:val="26"/>
          <w:szCs w:val="26"/>
        </w:rPr>
      </w:pPr>
      <w:r w:rsidRPr="004E68EB">
        <w:rPr>
          <w:sz w:val="26"/>
          <w:szCs w:val="26"/>
        </w:rPr>
        <w:t xml:space="preserve">O ile do 2002 było w tej mierze bardzo różnie (raz lepszy w styczniu był pierwszy indeks, raz drugi) to od 2003 r. mamy już do czynienia z sytuacją wręcz zdumiewającą, </w:t>
      </w:r>
      <w:r w:rsidRPr="004E68EB">
        <w:rPr>
          <w:sz w:val="26"/>
          <w:szCs w:val="26"/>
        </w:rPr>
        <w:lastRenderedPageBreak/>
        <w:t xml:space="preserve">gdyż </w:t>
      </w:r>
      <w:r w:rsidRPr="004E68EB">
        <w:rPr>
          <w:b/>
          <w:color w:val="FF0000"/>
          <w:sz w:val="26"/>
          <w:szCs w:val="26"/>
        </w:rPr>
        <w:t>w każdym roku okresu 2003-2015 zachowanie indeksu małych spółek (sWIG80) w styczniu było lepsze niż zachowanie indeksu spółek dużych (WIG20).</w:t>
      </w:r>
    </w:p>
    <w:p w:rsidR="004E68EB" w:rsidRPr="004E68EB" w:rsidRDefault="004E68EB" w:rsidP="004E68EB">
      <w:pPr>
        <w:spacing w:after="0" w:line="240" w:lineRule="auto"/>
        <w:jc w:val="both"/>
        <w:rPr>
          <w:sz w:val="26"/>
          <w:szCs w:val="26"/>
        </w:rPr>
      </w:pPr>
    </w:p>
    <w:p w:rsidR="004E68EB" w:rsidRPr="004E68EB" w:rsidRDefault="004E68EB" w:rsidP="004E68EB">
      <w:pPr>
        <w:spacing w:after="0" w:line="240" w:lineRule="auto"/>
        <w:jc w:val="both"/>
        <w:rPr>
          <w:b/>
          <w:color w:val="000000" w:themeColor="text1"/>
          <w:sz w:val="26"/>
          <w:szCs w:val="26"/>
        </w:rPr>
      </w:pPr>
      <w:r w:rsidRPr="004E68EB">
        <w:rPr>
          <w:sz w:val="26"/>
          <w:szCs w:val="26"/>
        </w:rPr>
        <w:t xml:space="preserve">Warto przeanalizować zachowanie obu indeksów w poszczególnych latach, aby uzmysłowić trwały charakter zjawiska </w:t>
      </w:r>
      <w:r w:rsidRPr="004E68EB">
        <w:rPr>
          <w:b/>
          <w:color w:val="FF0000"/>
          <w:sz w:val="26"/>
          <w:szCs w:val="26"/>
        </w:rPr>
        <w:t>efektu małych spółek</w:t>
      </w:r>
      <w:r w:rsidRPr="004E68EB">
        <w:rPr>
          <w:b/>
          <w:color w:val="000000" w:themeColor="text1"/>
          <w:sz w:val="26"/>
          <w:szCs w:val="26"/>
        </w:rPr>
        <w:t>.</w:t>
      </w:r>
    </w:p>
    <w:p w:rsidR="004E68EB" w:rsidRPr="004E68EB" w:rsidRDefault="004E68EB" w:rsidP="004E68EB">
      <w:pPr>
        <w:spacing w:after="0" w:line="240" w:lineRule="auto"/>
        <w:jc w:val="both"/>
        <w:rPr>
          <w:color w:val="000000" w:themeColor="text1"/>
          <w:sz w:val="26"/>
          <w:szCs w:val="26"/>
        </w:rPr>
      </w:pPr>
    </w:p>
    <w:tbl>
      <w:tblPr>
        <w:tblStyle w:val="Tabela-Siatka"/>
        <w:tblW w:w="0" w:type="auto"/>
        <w:tblLook w:val="04A0" w:firstRow="1" w:lastRow="0" w:firstColumn="1" w:lastColumn="0" w:noHBand="0" w:noVBand="1"/>
      </w:tblPr>
      <w:tblGrid>
        <w:gridCol w:w="2303"/>
        <w:gridCol w:w="2303"/>
        <w:gridCol w:w="2303"/>
        <w:gridCol w:w="2303"/>
      </w:tblGrid>
      <w:tr w:rsidR="004E68EB" w:rsidRPr="004E68EB" w:rsidTr="00FA3D65">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4"/>
                <w:szCs w:val="24"/>
              </w:rPr>
            </w:pPr>
            <w:r w:rsidRPr="004E68EB">
              <w:rPr>
                <w:sz w:val="24"/>
                <w:szCs w:val="24"/>
              </w:rPr>
              <w:t>Miesiąc i rok</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4"/>
                <w:szCs w:val="24"/>
              </w:rPr>
            </w:pPr>
            <w:r w:rsidRPr="004E68EB">
              <w:rPr>
                <w:sz w:val="24"/>
                <w:szCs w:val="24"/>
              </w:rPr>
              <w:t>Indeks małych spółek</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4"/>
                <w:szCs w:val="24"/>
              </w:rPr>
            </w:pPr>
            <w:r w:rsidRPr="004E68EB">
              <w:rPr>
                <w:sz w:val="24"/>
                <w:szCs w:val="24"/>
              </w:rPr>
              <w:t>Indeks dużych spółek</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b/>
                <w:sz w:val="24"/>
                <w:szCs w:val="24"/>
              </w:rPr>
            </w:pPr>
            <w:r w:rsidRPr="004E68EB">
              <w:rPr>
                <w:b/>
                <w:sz w:val="24"/>
                <w:szCs w:val="24"/>
              </w:rPr>
              <w:t>Różnica</w:t>
            </w:r>
          </w:p>
        </w:tc>
      </w:tr>
      <w:tr w:rsidR="004E68EB" w:rsidRPr="004E68EB" w:rsidTr="00FA3D65">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6"/>
                <w:szCs w:val="26"/>
              </w:rPr>
            </w:pPr>
            <w:r w:rsidRPr="004E68EB">
              <w:rPr>
                <w:sz w:val="26"/>
                <w:szCs w:val="26"/>
              </w:rPr>
              <w:t>Styczeń 2003 roku</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color w:val="000000" w:themeColor="text1"/>
                <w:sz w:val="26"/>
                <w:szCs w:val="26"/>
              </w:rPr>
            </w:pPr>
            <w:r w:rsidRPr="004E68EB">
              <w:rPr>
                <w:color w:val="000000" w:themeColor="text1"/>
                <w:sz w:val="26"/>
                <w:szCs w:val="26"/>
              </w:rPr>
              <w:t xml:space="preserve">   6,8</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6"/>
                <w:szCs w:val="26"/>
              </w:rPr>
            </w:pPr>
            <w:r w:rsidRPr="004E68EB">
              <w:rPr>
                <w:sz w:val="26"/>
                <w:szCs w:val="26"/>
              </w:rPr>
              <w:t xml:space="preserve"> -5,1</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b/>
                <w:color w:val="FF0000"/>
                <w:sz w:val="26"/>
                <w:szCs w:val="26"/>
              </w:rPr>
            </w:pPr>
            <w:r w:rsidRPr="004E68EB">
              <w:rPr>
                <w:b/>
                <w:color w:val="FF0000"/>
                <w:sz w:val="26"/>
                <w:szCs w:val="26"/>
              </w:rPr>
              <w:t>11,9</w:t>
            </w:r>
          </w:p>
        </w:tc>
      </w:tr>
      <w:tr w:rsidR="004E68EB" w:rsidRPr="004E68EB" w:rsidTr="00FA3D65">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6"/>
                <w:szCs w:val="26"/>
              </w:rPr>
            </w:pPr>
            <w:r w:rsidRPr="004E68EB">
              <w:rPr>
                <w:rFonts w:eastAsiaTheme="minorEastAsia"/>
                <w:sz w:val="26"/>
                <w:szCs w:val="26"/>
              </w:rPr>
              <w:t>Styczeń 2004 roku</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color w:val="000000" w:themeColor="text1"/>
                <w:sz w:val="26"/>
                <w:szCs w:val="26"/>
              </w:rPr>
            </w:pPr>
            <w:r w:rsidRPr="004E68EB">
              <w:rPr>
                <w:color w:val="000000" w:themeColor="text1"/>
                <w:sz w:val="26"/>
                <w:szCs w:val="26"/>
              </w:rPr>
              <w:t xml:space="preserve"> 14,2</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6"/>
                <w:szCs w:val="26"/>
              </w:rPr>
            </w:pPr>
            <w:r w:rsidRPr="004E68EB">
              <w:rPr>
                <w:sz w:val="26"/>
                <w:szCs w:val="26"/>
              </w:rPr>
              <w:t xml:space="preserve">  3,7</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b/>
                <w:color w:val="FF0000"/>
                <w:sz w:val="26"/>
                <w:szCs w:val="26"/>
              </w:rPr>
            </w:pPr>
            <w:r w:rsidRPr="004E68EB">
              <w:rPr>
                <w:b/>
                <w:color w:val="FF0000"/>
                <w:sz w:val="26"/>
                <w:szCs w:val="26"/>
              </w:rPr>
              <w:t>10,6</w:t>
            </w:r>
          </w:p>
        </w:tc>
      </w:tr>
      <w:tr w:rsidR="004E68EB" w:rsidRPr="004E68EB" w:rsidTr="00FA3D65">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6"/>
                <w:szCs w:val="26"/>
              </w:rPr>
            </w:pPr>
            <w:r w:rsidRPr="004E68EB">
              <w:rPr>
                <w:rFonts w:eastAsiaTheme="minorEastAsia"/>
                <w:sz w:val="26"/>
                <w:szCs w:val="26"/>
              </w:rPr>
              <w:t>Styczeń 2005 roku</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color w:val="000000" w:themeColor="text1"/>
                <w:sz w:val="26"/>
                <w:szCs w:val="26"/>
              </w:rPr>
            </w:pPr>
            <w:r w:rsidRPr="004E68EB">
              <w:rPr>
                <w:color w:val="000000" w:themeColor="text1"/>
                <w:sz w:val="26"/>
                <w:szCs w:val="26"/>
              </w:rPr>
              <w:t xml:space="preserve">   0,6</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6"/>
                <w:szCs w:val="26"/>
              </w:rPr>
            </w:pPr>
            <w:r w:rsidRPr="004E68EB">
              <w:rPr>
                <w:sz w:val="26"/>
                <w:szCs w:val="26"/>
              </w:rPr>
              <w:t xml:space="preserve"> -3,7</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b/>
                <w:color w:val="FF0000"/>
                <w:sz w:val="26"/>
                <w:szCs w:val="26"/>
              </w:rPr>
            </w:pPr>
            <w:r w:rsidRPr="004E68EB">
              <w:rPr>
                <w:b/>
                <w:color w:val="FF0000"/>
                <w:sz w:val="26"/>
                <w:szCs w:val="26"/>
              </w:rPr>
              <w:t xml:space="preserve">  4,4</w:t>
            </w:r>
          </w:p>
        </w:tc>
      </w:tr>
      <w:tr w:rsidR="004E68EB" w:rsidRPr="004E68EB" w:rsidTr="00FA3D65">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6"/>
                <w:szCs w:val="26"/>
              </w:rPr>
            </w:pPr>
            <w:r w:rsidRPr="004E68EB">
              <w:rPr>
                <w:rFonts w:eastAsiaTheme="minorEastAsia"/>
                <w:sz w:val="26"/>
                <w:szCs w:val="26"/>
              </w:rPr>
              <w:t>Styczeń 2006 roku</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color w:val="000000" w:themeColor="text1"/>
                <w:sz w:val="26"/>
                <w:szCs w:val="26"/>
              </w:rPr>
            </w:pPr>
            <w:r w:rsidRPr="004E68EB">
              <w:rPr>
                <w:color w:val="000000" w:themeColor="text1"/>
                <w:sz w:val="26"/>
                <w:szCs w:val="26"/>
              </w:rPr>
              <w:t xml:space="preserve"> 25,0</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6"/>
                <w:szCs w:val="26"/>
              </w:rPr>
            </w:pPr>
            <w:r w:rsidRPr="004E68EB">
              <w:rPr>
                <w:sz w:val="26"/>
                <w:szCs w:val="26"/>
              </w:rPr>
              <w:t xml:space="preserve">   5,6</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b/>
                <w:color w:val="FF0000"/>
                <w:sz w:val="26"/>
                <w:szCs w:val="26"/>
              </w:rPr>
            </w:pPr>
            <w:r w:rsidRPr="004E68EB">
              <w:rPr>
                <w:b/>
                <w:color w:val="FF0000"/>
                <w:sz w:val="26"/>
                <w:szCs w:val="26"/>
              </w:rPr>
              <w:t>19,3</w:t>
            </w:r>
          </w:p>
        </w:tc>
      </w:tr>
      <w:tr w:rsidR="004E68EB" w:rsidRPr="004E68EB" w:rsidTr="00FA3D65">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6"/>
                <w:szCs w:val="26"/>
              </w:rPr>
            </w:pPr>
            <w:r w:rsidRPr="004E68EB">
              <w:rPr>
                <w:rFonts w:eastAsiaTheme="minorEastAsia"/>
                <w:sz w:val="26"/>
                <w:szCs w:val="26"/>
              </w:rPr>
              <w:t>Styczeń 2007 roku</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color w:val="000000" w:themeColor="text1"/>
                <w:sz w:val="26"/>
                <w:szCs w:val="26"/>
              </w:rPr>
            </w:pPr>
            <w:r w:rsidRPr="004E68EB">
              <w:rPr>
                <w:color w:val="000000" w:themeColor="text1"/>
                <w:sz w:val="26"/>
                <w:szCs w:val="26"/>
              </w:rPr>
              <w:t xml:space="preserve"> 13,6</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6"/>
                <w:szCs w:val="26"/>
              </w:rPr>
            </w:pPr>
            <w:r w:rsidRPr="004E68EB">
              <w:rPr>
                <w:sz w:val="26"/>
                <w:szCs w:val="26"/>
              </w:rPr>
              <w:t xml:space="preserve">   6,0</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b/>
                <w:color w:val="FF0000"/>
                <w:sz w:val="26"/>
                <w:szCs w:val="26"/>
              </w:rPr>
            </w:pPr>
            <w:r w:rsidRPr="004E68EB">
              <w:rPr>
                <w:b/>
                <w:color w:val="FF0000"/>
                <w:sz w:val="26"/>
                <w:szCs w:val="26"/>
              </w:rPr>
              <w:t xml:space="preserve">  7,6</w:t>
            </w:r>
          </w:p>
        </w:tc>
      </w:tr>
      <w:tr w:rsidR="004E68EB" w:rsidRPr="004E68EB" w:rsidTr="00FA3D65">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6"/>
                <w:szCs w:val="26"/>
              </w:rPr>
            </w:pPr>
            <w:r w:rsidRPr="004E68EB">
              <w:rPr>
                <w:rFonts w:eastAsiaTheme="minorEastAsia"/>
                <w:sz w:val="26"/>
                <w:szCs w:val="26"/>
              </w:rPr>
              <w:t>Styczeń 2008 roku</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color w:val="000000" w:themeColor="text1"/>
                <w:sz w:val="26"/>
                <w:szCs w:val="26"/>
              </w:rPr>
            </w:pPr>
            <w:r w:rsidRPr="004E68EB">
              <w:rPr>
                <w:color w:val="000000" w:themeColor="text1"/>
                <w:sz w:val="26"/>
                <w:szCs w:val="26"/>
              </w:rPr>
              <w:t>-10,8</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6"/>
                <w:szCs w:val="26"/>
              </w:rPr>
            </w:pPr>
            <w:r w:rsidRPr="004E68EB">
              <w:rPr>
                <w:sz w:val="26"/>
                <w:szCs w:val="26"/>
              </w:rPr>
              <w:t>-14,6</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b/>
                <w:color w:val="FF0000"/>
                <w:sz w:val="26"/>
                <w:szCs w:val="26"/>
              </w:rPr>
            </w:pPr>
            <w:r w:rsidRPr="004E68EB">
              <w:rPr>
                <w:b/>
                <w:color w:val="FF0000"/>
                <w:sz w:val="26"/>
                <w:szCs w:val="26"/>
              </w:rPr>
              <w:t xml:space="preserve">  3,8</w:t>
            </w:r>
          </w:p>
        </w:tc>
      </w:tr>
      <w:tr w:rsidR="004E68EB" w:rsidRPr="004E68EB" w:rsidTr="00FA3D65">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6"/>
                <w:szCs w:val="26"/>
              </w:rPr>
            </w:pPr>
            <w:r w:rsidRPr="004E68EB">
              <w:rPr>
                <w:rFonts w:eastAsiaTheme="minorEastAsia"/>
                <w:sz w:val="26"/>
                <w:szCs w:val="26"/>
              </w:rPr>
              <w:t>Styczeń 2009 roku</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color w:val="000000" w:themeColor="text1"/>
                <w:sz w:val="26"/>
                <w:szCs w:val="26"/>
              </w:rPr>
            </w:pPr>
            <w:r w:rsidRPr="004E68EB">
              <w:rPr>
                <w:color w:val="000000" w:themeColor="text1"/>
                <w:sz w:val="26"/>
                <w:szCs w:val="26"/>
              </w:rPr>
              <w:t xml:space="preserve">  -3,3</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6"/>
                <w:szCs w:val="26"/>
              </w:rPr>
            </w:pPr>
            <w:r w:rsidRPr="004E68EB">
              <w:rPr>
                <w:sz w:val="26"/>
                <w:szCs w:val="26"/>
              </w:rPr>
              <w:t>-10,9</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b/>
                <w:color w:val="FF0000"/>
                <w:sz w:val="26"/>
                <w:szCs w:val="26"/>
              </w:rPr>
            </w:pPr>
            <w:r w:rsidRPr="004E68EB">
              <w:rPr>
                <w:b/>
                <w:color w:val="FF0000"/>
                <w:sz w:val="26"/>
                <w:szCs w:val="26"/>
              </w:rPr>
              <w:t xml:space="preserve">  7,6</w:t>
            </w:r>
          </w:p>
        </w:tc>
      </w:tr>
      <w:tr w:rsidR="004E68EB" w:rsidRPr="004E68EB" w:rsidTr="00FA3D65">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6"/>
                <w:szCs w:val="26"/>
              </w:rPr>
            </w:pPr>
            <w:r w:rsidRPr="004E68EB">
              <w:rPr>
                <w:rFonts w:eastAsiaTheme="minorEastAsia"/>
                <w:sz w:val="26"/>
                <w:szCs w:val="26"/>
              </w:rPr>
              <w:t>Styczeń 2010 roku</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color w:val="000000" w:themeColor="text1"/>
                <w:sz w:val="26"/>
                <w:szCs w:val="26"/>
              </w:rPr>
            </w:pPr>
            <w:r w:rsidRPr="004E68EB">
              <w:rPr>
                <w:color w:val="000000" w:themeColor="text1"/>
                <w:sz w:val="26"/>
                <w:szCs w:val="26"/>
              </w:rPr>
              <w:t xml:space="preserve">   3,8</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6"/>
                <w:szCs w:val="26"/>
              </w:rPr>
            </w:pPr>
            <w:r w:rsidRPr="004E68EB">
              <w:rPr>
                <w:sz w:val="26"/>
                <w:szCs w:val="26"/>
              </w:rPr>
              <w:t xml:space="preserve"> -0,3</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b/>
                <w:color w:val="FF0000"/>
                <w:sz w:val="26"/>
                <w:szCs w:val="26"/>
              </w:rPr>
            </w:pPr>
            <w:r w:rsidRPr="004E68EB">
              <w:rPr>
                <w:b/>
                <w:color w:val="FF0000"/>
                <w:sz w:val="26"/>
                <w:szCs w:val="26"/>
              </w:rPr>
              <w:t xml:space="preserve">  4,1</w:t>
            </w:r>
          </w:p>
        </w:tc>
      </w:tr>
      <w:tr w:rsidR="004E68EB" w:rsidRPr="004E68EB" w:rsidTr="00FA3D65">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6"/>
                <w:szCs w:val="26"/>
              </w:rPr>
            </w:pPr>
            <w:r w:rsidRPr="004E68EB">
              <w:rPr>
                <w:rFonts w:eastAsiaTheme="minorEastAsia"/>
                <w:sz w:val="26"/>
                <w:szCs w:val="26"/>
              </w:rPr>
              <w:t>Styczeń 2011 roku</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color w:val="000000" w:themeColor="text1"/>
                <w:sz w:val="26"/>
                <w:szCs w:val="26"/>
              </w:rPr>
            </w:pPr>
            <w:r w:rsidRPr="004E68EB">
              <w:rPr>
                <w:color w:val="000000" w:themeColor="text1"/>
                <w:sz w:val="26"/>
                <w:szCs w:val="26"/>
              </w:rPr>
              <w:t xml:space="preserve">   2,5</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6"/>
                <w:szCs w:val="26"/>
              </w:rPr>
            </w:pPr>
            <w:r w:rsidRPr="004E68EB">
              <w:rPr>
                <w:sz w:val="26"/>
                <w:szCs w:val="26"/>
              </w:rPr>
              <w:t xml:space="preserve"> -1,4</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b/>
                <w:color w:val="FF0000"/>
                <w:sz w:val="26"/>
                <w:szCs w:val="26"/>
              </w:rPr>
            </w:pPr>
            <w:r w:rsidRPr="004E68EB">
              <w:rPr>
                <w:b/>
                <w:color w:val="FF0000"/>
                <w:sz w:val="26"/>
                <w:szCs w:val="26"/>
              </w:rPr>
              <w:t xml:space="preserve">  3,9</w:t>
            </w:r>
          </w:p>
        </w:tc>
      </w:tr>
      <w:tr w:rsidR="004E68EB" w:rsidRPr="004E68EB" w:rsidTr="00FA3D65">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6"/>
                <w:szCs w:val="26"/>
              </w:rPr>
            </w:pPr>
            <w:r w:rsidRPr="004E68EB">
              <w:rPr>
                <w:rFonts w:eastAsiaTheme="minorEastAsia"/>
                <w:sz w:val="26"/>
                <w:szCs w:val="26"/>
              </w:rPr>
              <w:t>Styczeń 2012 roku</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color w:val="000000" w:themeColor="text1"/>
                <w:sz w:val="26"/>
                <w:szCs w:val="26"/>
              </w:rPr>
            </w:pPr>
            <w:r w:rsidRPr="004E68EB">
              <w:rPr>
                <w:color w:val="000000" w:themeColor="text1"/>
                <w:sz w:val="26"/>
                <w:szCs w:val="26"/>
              </w:rPr>
              <w:t xml:space="preserve"> 10,9</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6"/>
                <w:szCs w:val="26"/>
              </w:rPr>
            </w:pPr>
            <w:r w:rsidRPr="004E68EB">
              <w:rPr>
                <w:sz w:val="26"/>
                <w:szCs w:val="26"/>
              </w:rPr>
              <w:t xml:space="preserve">  8,8</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b/>
                <w:color w:val="FF0000"/>
                <w:sz w:val="26"/>
                <w:szCs w:val="26"/>
              </w:rPr>
            </w:pPr>
            <w:r w:rsidRPr="004E68EB">
              <w:rPr>
                <w:b/>
                <w:color w:val="FF0000"/>
                <w:sz w:val="26"/>
                <w:szCs w:val="26"/>
              </w:rPr>
              <w:t xml:space="preserve">  2,1</w:t>
            </w:r>
          </w:p>
        </w:tc>
      </w:tr>
      <w:tr w:rsidR="004E68EB" w:rsidRPr="004E68EB" w:rsidTr="00FA3D65">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6"/>
                <w:szCs w:val="26"/>
              </w:rPr>
            </w:pPr>
            <w:r w:rsidRPr="004E68EB">
              <w:rPr>
                <w:rFonts w:eastAsiaTheme="minorEastAsia"/>
                <w:sz w:val="26"/>
                <w:szCs w:val="26"/>
              </w:rPr>
              <w:t>Styczeń 2013 roku</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color w:val="000000" w:themeColor="text1"/>
                <w:sz w:val="26"/>
                <w:szCs w:val="26"/>
              </w:rPr>
            </w:pPr>
            <w:r w:rsidRPr="004E68EB">
              <w:rPr>
                <w:color w:val="000000" w:themeColor="text1"/>
                <w:sz w:val="26"/>
                <w:szCs w:val="26"/>
              </w:rPr>
              <w:t xml:space="preserve">   7,7</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6"/>
                <w:szCs w:val="26"/>
              </w:rPr>
            </w:pPr>
            <w:r w:rsidRPr="004E68EB">
              <w:rPr>
                <w:sz w:val="26"/>
                <w:szCs w:val="26"/>
              </w:rPr>
              <w:t xml:space="preserve"> -3,5</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b/>
                <w:color w:val="FF0000"/>
                <w:sz w:val="26"/>
                <w:szCs w:val="26"/>
              </w:rPr>
            </w:pPr>
            <w:r w:rsidRPr="004E68EB">
              <w:rPr>
                <w:b/>
                <w:color w:val="FF0000"/>
                <w:sz w:val="26"/>
                <w:szCs w:val="26"/>
              </w:rPr>
              <w:t>11,2</w:t>
            </w:r>
          </w:p>
        </w:tc>
      </w:tr>
      <w:tr w:rsidR="004E68EB" w:rsidRPr="004E68EB" w:rsidTr="00FA3D65">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6"/>
                <w:szCs w:val="26"/>
              </w:rPr>
            </w:pPr>
            <w:r w:rsidRPr="004E68EB">
              <w:rPr>
                <w:rFonts w:eastAsiaTheme="minorEastAsia"/>
                <w:sz w:val="26"/>
                <w:szCs w:val="26"/>
              </w:rPr>
              <w:t>Styczeń 2014 roku</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color w:val="000000" w:themeColor="text1"/>
                <w:sz w:val="26"/>
                <w:szCs w:val="26"/>
              </w:rPr>
            </w:pPr>
            <w:r w:rsidRPr="004E68EB">
              <w:rPr>
                <w:color w:val="000000" w:themeColor="text1"/>
                <w:sz w:val="26"/>
                <w:szCs w:val="26"/>
              </w:rPr>
              <w:t xml:space="preserve">   0,4</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sz w:val="26"/>
                <w:szCs w:val="26"/>
              </w:rPr>
            </w:pPr>
            <w:r w:rsidRPr="004E68EB">
              <w:rPr>
                <w:sz w:val="26"/>
                <w:szCs w:val="26"/>
              </w:rPr>
              <w:t xml:space="preserve"> -1,9</w:t>
            </w:r>
          </w:p>
        </w:tc>
        <w:tc>
          <w:tcPr>
            <w:tcW w:w="2303" w:type="dxa"/>
            <w:tcBorders>
              <w:top w:val="single" w:sz="4" w:space="0" w:color="auto"/>
              <w:left w:val="single" w:sz="4" w:space="0" w:color="auto"/>
              <w:bottom w:val="single" w:sz="4" w:space="0" w:color="auto"/>
              <w:right w:val="single" w:sz="4" w:space="0" w:color="auto"/>
            </w:tcBorders>
            <w:hideMark/>
          </w:tcPr>
          <w:p w:rsidR="004E68EB" w:rsidRPr="004E68EB" w:rsidRDefault="004E68EB" w:rsidP="00FA3D65">
            <w:pPr>
              <w:jc w:val="center"/>
              <w:rPr>
                <w:rFonts w:eastAsiaTheme="minorEastAsia"/>
                <w:b/>
                <w:color w:val="FF0000"/>
                <w:sz w:val="26"/>
                <w:szCs w:val="26"/>
              </w:rPr>
            </w:pPr>
            <w:r w:rsidRPr="004E68EB">
              <w:rPr>
                <w:b/>
                <w:color w:val="FF0000"/>
                <w:sz w:val="26"/>
                <w:szCs w:val="26"/>
              </w:rPr>
              <w:t xml:space="preserve">  2,3</w:t>
            </w:r>
          </w:p>
        </w:tc>
      </w:tr>
      <w:tr w:rsidR="004E68EB" w:rsidRPr="004E68EB" w:rsidTr="00FA3D65">
        <w:tc>
          <w:tcPr>
            <w:tcW w:w="2303" w:type="dxa"/>
            <w:hideMark/>
          </w:tcPr>
          <w:p w:rsidR="004E68EB" w:rsidRPr="004E68EB" w:rsidRDefault="004E68EB" w:rsidP="00FA3D65">
            <w:pPr>
              <w:jc w:val="center"/>
              <w:rPr>
                <w:rFonts w:eastAsiaTheme="minorEastAsia"/>
                <w:sz w:val="26"/>
                <w:szCs w:val="26"/>
              </w:rPr>
            </w:pPr>
            <w:r w:rsidRPr="004E68EB">
              <w:rPr>
                <w:rFonts w:eastAsiaTheme="minorEastAsia"/>
                <w:sz w:val="26"/>
                <w:szCs w:val="26"/>
              </w:rPr>
              <w:t>Styczeń 2015 roku</w:t>
            </w:r>
          </w:p>
        </w:tc>
        <w:tc>
          <w:tcPr>
            <w:tcW w:w="2303" w:type="dxa"/>
            <w:hideMark/>
          </w:tcPr>
          <w:p w:rsidR="004E68EB" w:rsidRPr="004E68EB" w:rsidRDefault="004E68EB" w:rsidP="00FA3D65">
            <w:pPr>
              <w:jc w:val="center"/>
              <w:rPr>
                <w:rFonts w:eastAsiaTheme="minorEastAsia"/>
                <w:color w:val="000000" w:themeColor="text1"/>
                <w:sz w:val="26"/>
                <w:szCs w:val="26"/>
              </w:rPr>
            </w:pPr>
            <w:r w:rsidRPr="004E68EB">
              <w:rPr>
                <w:color w:val="000000" w:themeColor="text1"/>
                <w:sz w:val="26"/>
                <w:szCs w:val="26"/>
              </w:rPr>
              <w:t xml:space="preserve">   3,3</w:t>
            </w:r>
          </w:p>
        </w:tc>
        <w:tc>
          <w:tcPr>
            <w:tcW w:w="2303" w:type="dxa"/>
            <w:hideMark/>
          </w:tcPr>
          <w:p w:rsidR="004E68EB" w:rsidRPr="004E68EB" w:rsidRDefault="004E68EB" w:rsidP="00FA3D65">
            <w:pPr>
              <w:jc w:val="center"/>
              <w:rPr>
                <w:rFonts w:eastAsiaTheme="minorEastAsia"/>
                <w:sz w:val="26"/>
                <w:szCs w:val="26"/>
              </w:rPr>
            </w:pPr>
            <w:r w:rsidRPr="004E68EB">
              <w:rPr>
                <w:sz w:val="26"/>
                <w:szCs w:val="26"/>
              </w:rPr>
              <w:t xml:space="preserve">   1,1</w:t>
            </w:r>
          </w:p>
        </w:tc>
        <w:tc>
          <w:tcPr>
            <w:tcW w:w="2303" w:type="dxa"/>
            <w:hideMark/>
          </w:tcPr>
          <w:p w:rsidR="004E68EB" w:rsidRPr="004E68EB" w:rsidRDefault="004E68EB" w:rsidP="00FA3D65">
            <w:pPr>
              <w:jc w:val="center"/>
              <w:rPr>
                <w:rFonts w:eastAsiaTheme="minorEastAsia"/>
                <w:b/>
                <w:color w:val="FF0000"/>
                <w:sz w:val="26"/>
                <w:szCs w:val="26"/>
              </w:rPr>
            </w:pPr>
            <w:r w:rsidRPr="004E68EB">
              <w:rPr>
                <w:b/>
                <w:color w:val="FF0000"/>
                <w:sz w:val="26"/>
                <w:szCs w:val="26"/>
              </w:rPr>
              <w:t xml:space="preserve">  2,2</w:t>
            </w:r>
          </w:p>
        </w:tc>
      </w:tr>
    </w:tbl>
    <w:p w:rsidR="004E68EB" w:rsidRPr="004E68EB" w:rsidRDefault="004E68EB" w:rsidP="004E68EB">
      <w:pPr>
        <w:spacing w:after="0" w:line="240" w:lineRule="auto"/>
        <w:jc w:val="both"/>
        <w:rPr>
          <w:color w:val="000000"/>
          <w:sz w:val="26"/>
          <w:szCs w:val="26"/>
        </w:rPr>
      </w:pPr>
    </w:p>
    <w:p w:rsidR="004E68EB" w:rsidRPr="004E68EB" w:rsidRDefault="004E68EB" w:rsidP="004E68EB">
      <w:pPr>
        <w:spacing w:after="0" w:line="240" w:lineRule="auto"/>
        <w:jc w:val="both"/>
        <w:rPr>
          <w:color w:val="000000"/>
          <w:sz w:val="26"/>
          <w:szCs w:val="26"/>
        </w:rPr>
      </w:pPr>
      <w:r w:rsidRPr="004E68EB">
        <w:rPr>
          <w:color w:val="000000"/>
          <w:sz w:val="26"/>
          <w:szCs w:val="26"/>
        </w:rPr>
        <w:t xml:space="preserve">W tym kontekście warto zwrócić uwagę na wygląd wykresu indeksu małych spółek sWIG80. </w:t>
      </w:r>
    </w:p>
    <w:p w:rsidR="004E68EB" w:rsidRPr="004E68EB" w:rsidRDefault="004E68EB" w:rsidP="004E68EB">
      <w:pPr>
        <w:spacing w:after="0" w:line="240" w:lineRule="auto"/>
        <w:jc w:val="both"/>
        <w:rPr>
          <w:color w:val="000000"/>
          <w:sz w:val="26"/>
          <w:szCs w:val="26"/>
        </w:rPr>
      </w:pPr>
    </w:p>
    <w:p w:rsidR="004E68EB" w:rsidRPr="004E68EB" w:rsidRDefault="004E68EB" w:rsidP="004E68EB">
      <w:pPr>
        <w:spacing w:after="0" w:line="240" w:lineRule="auto"/>
        <w:jc w:val="both"/>
        <w:rPr>
          <w:b/>
          <w:color w:val="000000"/>
          <w:sz w:val="26"/>
          <w:szCs w:val="26"/>
        </w:rPr>
      </w:pPr>
      <w:proofErr w:type="gramStart"/>
      <w:r w:rsidRPr="004E68EB">
        <w:rPr>
          <w:b/>
          <w:color w:val="000000"/>
          <w:sz w:val="26"/>
          <w:szCs w:val="26"/>
          <w:u w:val="single"/>
        </w:rPr>
        <w:t>sWIG</w:t>
      </w:r>
      <w:proofErr w:type="gramEnd"/>
      <w:r w:rsidRPr="004E68EB">
        <w:rPr>
          <w:b/>
          <w:color w:val="000000"/>
          <w:sz w:val="26"/>
          <w:szCs w:val="26"/>
          <w:u w:val="single"/>
        </w:rPr>
        <w:t>80</w:t>
      </w:r>
      <w:r w:rsidRPr="004E68EB">
        <w:rPr>
          <w:b/>
          <w:color w:val="000000"/>
          <w:sz w:val="26"/>
          <w:szCs w:val="26"/>
        </w:rPr>
        <w:t xml:space="preserve"> – kluczowy opór znajduje się na poziomie 13 584 (tam, gdzie przebiega aktualnie niebieska spadkowa linia trendu), co oznacza szasnę na wzrost o 6,0 %</w:t>
      </w:r>
    </w:p>
    <w:p w:rsidR="004E68EB" w:rsidRPr="004E68EB" w:rsidRDefault="004E68EB" w:rsidP="004E68EB">
      <w:pPr>
        <w:spacing w:after="0" w:line="240" w:lineRule="auto"/>
        <w:jc w:val="both"/>
        <w:rPr>
          <w:color w:val="000000"/>
          <w:sz w:val="26"/>
          <w:szCs w:val="26"/>
        </w:rPr>
      </w:pPr>
    </w:p>
    <w:p w:rsidR="004E68EB" w:rsidRPr="004E68EB" w:rsidRDefault="004E68EB" w:rsidP="004E68EB">
      <w:pPr>
        <w:spacing w:after="0" w:line="240" w:lineRule="auto"/>
        <w:jc w:val="both"/>
        <w:rPr>
          <w:color w:val="000000"/>
          <w:sz w:val="26"/>
          <w:szCs w:val="26"/>
        </w:rPr>
      </w:pPr>
      <w:bookmarkStart w:id="0" w:name="_GoBack"/>
      <w:bookmarkEnd w:id="0"/>
      <w:r w:rsidRPr="004E68EB">
        <w:rPr>
          <w:noProof/>
          <w:color w:val="000000"/>
          <w:sz w:val="26"/>
          <w:szCs w:val="26"/>
          <w:lang w:eastAsia="pl-PL"/>
        </w:rPr>
        <w:drawing>
          <wp:inline distT="0" distB="0" distL="0" distR="0" wp14:anchorId="39BFD418" wp14:editId="0F387E47">
            <wp:extent cx="5429250" cy="32575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4E68EB" w:rsidRPr="004E68EB" w:rsidRDefault="004E68EB" w:rsidP="004E68EB">
      <w:pPr>
        <w:shd w:val="clear" w:color="auto" w:fill="FFFF00"/>
        <w:spacing w:after="0" w:line="240" w:lineRule="auto"/>
        <w:jc w:val="center"/>
        <w:rPr>
          <w:rFonts w:eastAsia="Times New Roman" w:cs="Times New Roman"/>
          <w:b/>
          <w:sz w:val="100"/>
          <w:szCs w:val="100"/>
          <w:lang w:eastAsia="pl-PL"/>
        </w:rPr>
      </w:pPr>
      <w:r w:rsidRPr="004E68EB">
        <w:rPr>
          <w:rFonts w:eastAsia="Times New Roman" w:cs="Times New Roman"/>
          <w:b/>
          <w:sz w:val="100"/>
          <w:szCs w:val="100"/>
          <w:lang w:eastAsia="pl-PL"/>
        </w:rPr>
        <w:lastRenderedPageBreak/>
        <w:t xml:space="preserve">Ile wynosiła średnia procentowa zmiana kursu akcji spółki po wprowadzeniu jej do rubryki </w:t>
      </w:r>
      <w:proofErr w:type="gramStart"/>
      <w:r w:rsidRPr="004E68EB">
        <w:rPr>
          <w:rFonts w:eastAsia="Times New Roman" w:cs="Times New Roman"/>
          <w:b/>
          <w:sz w:val="100"/>
          <w:szCs w:val="100"/>
          <w:lang w:eastAsia="pl-PL"/>
        </w:rPr>
        <w:t>,,</w:t>
      </w:r>
      <w:proofErr w:type="gramEnd"/>
      <w:r w:rsidRPr="004E68EB">
        <w:rPr>
          <w:rFonts w:eastAsia="Times New Roman" w:cs="Times New Roman"/>
          <w:b/>
          <w:sz w:val="100"/>
          <w:szCs w:val="100"/>
          <w:lang w:eastAsia="pl-PL"/>
        </w:rPr>
        <w:t>Wykres do przemyślenia” w okresie 12 pierwszych miesięcy po jej wprowadzeniu do tej rubryki ?</w:t>
      </w:r>
    </w:p>
    <w:p w:rsidR="004E68EB" w:rsidRPr="004E68EB" w:rsidRDefault="004E68EB" w:rsidP="004E68EB">
      <w:pPr>
        <w:spacing w:after="0" w:line="240" w:lineRule="auto"/>
        <w:jc w:val="both"/>
        <w:rPr>
          <w:rFonts w:eastAsia="Times New Roman" w:cs="Times New Roman"/>
          <w:b/>
          <w:sz w:val="26"/>
          <w:szCs w:val="26"/>
          <w:lang w:eastAsia="pl-PL"/>
        </w:rPr>
      </w:pPr>
    </w:p>
    <w:p w:rsidR="004E68EB" w:rsidRPr="004E68EB" w:rsidRDefault="004E68EB" w:rsidP="004E68EB">
      <w:pPr>
        <w:spacing w:after="0" w:line="240" w:lineRule="auto"/>
        <w:jc w:val="both"/>
        <w:rPr>
          <w:rFonts w:eastAsia="Times New Roman" w:cs="Times New Roman"/>
          <w:b/>
          <w:sz w:val="26"/>
          <w:szCs w:val="26"/>
          <w:lang w:eastAsia="pl-PL"/>
        </w:rPr>
      </w:pPr>
    </w:p>
    <w:p w:rsidR="004E68EB" w:rsidRPr="004E68EB" w:rsidRDefault="004E68EB" w:rsidP="004E68EB">
      <w:pPr>
        <w:spacing w:after="0" w:line="240" w:lineRule="auto"/>
        <w:jc w:val="center"/>
        <w:rPr>
          <w:rFonts w:eastAsia="Times New Roman" w:cs="Times New Roman"/>
          <w:b/>
          <w:sz w:val="32"/>
          <w:szCs w:val="32"/>
          <w:u w:val="single"/>
          <w:lang w:eastAsia="pl-PL"/>
        </w:rPr>
      </w:pPr>
      <w:r w:rsidRPr="004E68EB">
        <w:rPr>
          <w:rFonts w:eastAsia="Times New Roman" w:cs="Times New Roman"/>
          <w:b/>
          <w:sz w:val="32"/>
          <w:szCs w:val="32"/>
          <w:u w:val="single"/>
          <w:lang w:eastAsia="pl-PL"/>
        </w:rPr>
        <w:t>Obliczenia według stanu na 23 grudnia 2015 roku</w:t>
      </w:r>
    </w:p>
    <w:p w:rsidR="004E68EB" w:rsidRPr="004E68EB" w:rsidRDefault="004E68EB" w:rsidP="004E68EB">
      <w:pPr>
        <w:spacing w:after="0" w:line="240" w:lineRule="auto"/>
        <w:jc w:val="center"/>
        <w:rPr>
          <w:rFonts w:eastAsia="Times New Roman" w:cs="Times New Roman"/>
          <w:b/>
          <w:sz w:val="32"/>
          <w:szCs w:val="32"/>
          <w:u w:val="single"/>
          <w:lang w:eastAsia="pl-PL"/>
        </w:rPr>
      </w:pPr>
    </w:p>
    <w:p w:rsidR="004E68EB" w:rsidRPr="004E68EB" w:rsidRDefault="004E68EB" w:rsidP="004E68EB">
      <w:pPr>
        <w:spacing w:after="0" w:line="240" w:lineRule="auto"/>
        <w:jc w:val="both"/>
        <w:rPr>
          <w:rFonts w:eastAsia="Times New Roman" w:cs="Times New Roman"/>
          <w:b/>
          <w:sz w:val="26"/>
          <w:szCs w:val="26"/>
          <w:lang w:eastAsia="pl-PL"/>
        </w:rPr>
      </w:pPr>
    </w:p>
    <w:p w:rsidR="004E68EB" w:rsidRPr="004E68EB" w:rsidRDefault="004E68EB" w:rsidP="004E68EB">
      <w:pPr>
        <w:spacing w:after="0" w:line="240" w:lineRule="auto"/>
        <w:jc w:val="both"/>
        <w:rPr>
          <w:rFonts w:eastAsia="Times New Roman" w:cs="Times New Roman"/>
          <w:b/>
          <w:sz w:val="26"/>
          <w:szCs w:val="26"/>
          <w:lang w:eastAsia="pl-PL"/>
        </w:rPr>
      </w:pPr>
      <w:r w:rsidRPr="004E68EB">
        <w:rPr>
          <w:rFonts w:eastAsia="Times New Roman" w:cs="Times New Roman"/>
          <w:b/>
          <w:sz w:val="26"/>
          <w:szCs w:val="26"/>
          <w:lang w:eastAsia="pl-PL"/>
        </w:rPr>
        <w:lastRenderedPageBreak/>
        <w:t xml:space="preserve">Wprowadzenie </w:t>
      </w:r>
    </w:p>
    <w:p w:rsidR="004E68EB" w:rsidRPr="004E68EB" w:rsidRDefault="004E68EB" w:rsidP="004E68EB">
      <w:pPr>
        <w:spacing w:after="0" w:line="240" w:lineRule="auto"/>
        <w:jc w:val="both"/>
        <w:rPr>
          <w:rFonts w:eastAsia="Times New Roman" w:cs="Times New Roman"/>
          <w:sz w:val="26"/>
          <w:szCs w:val="26"/>
          <w:lang w:eastAsia="pl-PL"/>
        </w:rPr>
      </w:pPr>
    </w:p>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t xml:space="preserve">Strona internetowa </w:t>
      </w:r>
      <w:hyperlink r:id="rId12" w:history="1">
        <w:r w:rsidRPr="004E68EB">
          <w:rPr>
            <w:rFonts w:eastAsia="Times New Roman" w:cs="Times New Roman"/>
            <w:color w:val="0000FF" w:themeColor="hyperlink"/>
            <w:sz w:val="26"/>
            <w:szCs w:val="26"/>
            <w:u w:val="single"/>
            <w:lang w:eastAsia="pl-PL"/>
          </w:rPr>
          <w:t>http://analizy-rynkowe.pl/</w:t>
        </w:r>
      </w:hyperlink>
      <w:r w:rsidRPr="004E68EB">
        <w:rPr>
          <w:rFonts w:eastAsia="Times New Roman" w:cs="Times New Roman"/>
          <w:sz w:val="26"/>
          <w:szCs w:val="26"/>
          <w:lang w:eastAsia="pl-PL"/>
        </w:rPr>
        <w:t xml:space="preserve"> prowadzona jest od września 2014 roku. </w:t>
      </w:r>
    </w:p>
    <w:p w:rsidR="004E68EB" w:rsidRPr="004E68EB" w:rsidRDefault="004E68EB" w:rsidP="004E68EB">
      <w:pPr>
        <w:spacing w:after="0" w:line="240" w:lineRule="auto"/>
        <w:jc w:val="both"/>
        <w:rPr>
          <w:rFonts w:eastAsia="Times New Roman" w:cs="Times New Roman"/>
          <w:sz w:val="26"/>
          <w:szCs w:val="26"/>
          <w:lang w:eastAsia="pl-PL"/>
        </w:rPr>
      </w:pPr>
    </w:p>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t xml:space="preserve">Co tydzień publikowany jest </w:t>
      </w:r>
      <w:proofErr w:type="gramStart"/>
      <w:r w:rsidRPr="004E68EB">
        <w:rPr>
          <w:rFonts w:eastAsia="Times New Roman" w:cs="Times New Roman"/>
          <w:sz w:val="26"/>
          <w:szCs w:val="26"/>
          <w:lang w:eastAsia="pl-PL"/>
        </w:rPr>
        <w:t>,,</w:t>
      </w:r>
      <w:proofErr w:type="gramEnd"/>
      <w:r w:rsidRPr="004E68EB">
        <w:rPr>
          <w:rFonts w:eastAsia="Times New Roman" w:cs="Times New Roman"/>
          <w:sz w:val="26"/>
          <w:szCs w:val="26"/>
          <w:lang w:eastAsia="pl-PL"/>
        </w:rPr>
        <w:t>Raport Tygodniowy”</w:t>
      </w:r>
    </w:p>
    <w:p w:rsidR="004E68EB" w:rsidRPr="004E68EB" w:rsidRDefault="004E68EB" w:rsidP="004E68EB">
      <w:pPr>
        <w:spacing w:after="0" w:line="240" w:lineRule="auto"/>
        <w:jc w:val="both"/>
        <w:rPr>
          <w:rFonts w:eastAsia="Times New Roman" w:cs="Times New Roman"/>
          <w:sz w:val="26"/>
          <w:szCs w:val="26"/>
          <w:lang w:eastAsia="pl-PL"/>
        </w:rPr>
      </w:pPr>
    </w:p>
    <w:p w:rsidR="004E68EB" w:rsidRPr="004E68EB" w:rsidRDefault="004E68EB" w:rsidP="004E68EB">
      <w:pPr>
        <w:spacing w:after="0" w:line="240" w:lineRule="auto"/>
        <w:jc w:val="both"/>
        <w:rPr>
          <w:rFonts w:eastAsia="Times New Roman" w:cs="Times New Roman"/>
          <w:b/>
          <w:color w:val="FF0000"/>
          <w:sz w:val="26"/>
          <w:szCs w:val="26"/>
          <w:lang w:eastAsia="pl-PL"/>
        </w:rPr>
      </w:pPr>
      <w:r w:rsidRPr="004E68EB">
        <w:rPr>
          <w:rFonts w:eastAsia="Times New Roman" w:cs="Times New Roman"/>
          <w:sz w:val="26"/>
          <w:szCs w:val="26"/>
          <w:lang w:eastAsia="pl-PL"/>
        </w:rPr>
        <w:t xml:space="preserve">Od czasu do czasu umieszczam wybrane spółki w rubryce </w:t>
      </w:r>
      <w:proofErr w:type="gramStart"/>
      <w:r w:rsidRPr="004E68EB">
        <w:rPr>
          <w:rFonts w:eastAsia="Times New Roman" w:cs="Times New Roman"/>
          <w:b/>
          <w:color w:val="FF0000"/>
          <w:sz w:val="26"/>
          <w:szCs w:val="26"/>
          <w:lang w:eastAsia="pl-PL"/>
        </w:rPr>
        <w:t>,,</w:t>
      </w:r>
      <w:proofErr w:type="gramEnd"/>
      <w:r w:rsidRPr="004E68EB">
        <w:rPr>
          <w:rFonts w:eastAsia="Times New Roman" w:cs="Times New Roman"/>
          <w:b/>
          <w:color w:val="FF0000"/>
          <w:sz w:val="26"/>
          <w:szCs w:val="26"/>
          <w:lang w:eastAsia="pl-PL"/>
        </w:rPr>
        <w:t xml:space="preserve">Wykres do przemyślenia”. </w:t>
      </w:r>
    </w:p>
    <w:p w:rsidR="004E68EB" w:rsidRPr="004E68EB" w:rsidRDefault="004E68EB" w:rsidP="004E68EB">
      <w:pPr>
        <w:spacing w:after="0" w:line="240" w:lineRule="auto"/>
        <w:jc w:val="both"/>
        <w:rPr>
          <w:rFonts w:eastAsia="Times New Roman" w:cs="Times New Roman"/>
          <w:sz w:val="26"/>
          <w:szCs w:val="26"/>
          <w:lang w:eastAsia="pl-PL"/>
        </w:rPr>
      </w:pPr>
    </w:p>
    <w:p w:rsidR="004E68EB" w:rsidRPr="004E68EB" w:rsidRDefault="004E68EB" w:rsidP="004E68EB">
      <w:pPr>
        <w:spacing w:after="0" w:line="240" w:lineRule="auto"/>
        <w:jc w:val="both"/>
        <w:rPr>
          <w:rFonts w:eastAsia="Times New Roman" w:cs="Times New Roman"/>
          <w:b/>
          <w:color w:val="FF0000"/>
          <w:sz w:val="26"/>
          <w:szCs w:val="26"/>
          <w:lang w:eastAsia="pl-PL"/>
        </w:rPr>
      </w:pPr>
      <w:r w:rsidRPr="004E68EB">
        <w:rPr>
          <w:rFonts w:eastAsia="Times New Roman" w:cs="Times New Roman"/>
          <w:sz w:val="26"/>
          <w:szCs w:val="26"/>
          <w:lang w:eastAsia="pl-PL"/>
        </w:rPr>
        <w:t xml:space="preserve">Umieszczane są tam te przykładowe spółki, których kurs </w:t>
      </w:r>
      <w:r w:rsidRPr="004E68EB">
        <w:rPr>
          <w:rFonts w:eastAsia="Times New Roman" w:cs="Times New Roman"/>
          <w:b/>
          <w:color w:val="FF0000"/>
          <w:sz w:val="26"/>
          <w:szCs w:val="26"/>
          <w:lang w:eastAsia="pl-PL"/>
        </w:rPr>
        <w:t xml:space="preserve">wybił się z formacji podwójnego dna. </w:t>
      </w:r>
    </w:p>
    <w:p w:rsidR="004E68EB" w:rsidRPr="004E68EB" w:rsidRDefault="004E68EB" w:rsidP="004E68EB">
      <w:pPr>
        <w:spacing w:after="0" w:line="240" w:lineRule="auto"/>
        <w:jc w:val="both"/>
        <w:rPr>
          <w:rFonts w:eastAsia="Times New Roman" w:cs="Times New Roman"/>
          <w:sz w:val="26"/>
          <w:szCs w:val="26"/>
          <w:lang w:eastAsia="pl-PL"/>
        </w:rPr>
      </w:pPr>
    </w:p>
    <w:p w:rsidR="004E68EB" w:rsidRPr="004E68EB" w:rsidRDefault="004E68EB" w:rsidP="004E68EB">
      <w:pPr>
        <w:spacing w:after="0" w:line="240" w:lineRule="auto"/>
        <w:jc w:val="both"/>
        <w:rPr>
          <w:rFonts w:eastAsia="Times New Roman" w:cs="Times New Roman"/>
          <w:b/>
          <w:sz w:val="26"/>
          <w:szCs w:val="26"/>
          <w:lang w:eastAsia="pl-PL"/>
        </w:rPr>
      </w:pPr>
      <w:r w:rsidRPr="004E68EB">
        <w:rPr>
          <w:rFonts w:eastAsia="Times New Roman" w:cs="Times New Roman"/>
          <w:sz w:val="26"/>
          <w:szCs w:val="26"/>
          <w:lang w:eastAsia="pl-PL"/>
        </w:rPr>
        <w:t xml:space="preserve">Formacja podwójnego dna ma </w:t>
      </w:r>
      <w:r w:rsidRPr="004E68EB">
        <w:rPr>
          <w:rFonts w:eastAsia="Times New Roman" w:cs="Times New Roman"/>
          <w:b/>
          <w:sz w:val="26"/>
          <w:szCs w:val="26"/>
          <w:lang w:eastAsia="pl-PL"/>
        </w:rPr>
        <w:t xml:space="preserve">2 </w:t>
      </w:r>
      <w:proofErr w:type="gramStart"/>
      <w:r w:rsidRPr="004E68EB">
        <w:rPr>
          <w:rFonts w:eastAsia="Times New Roman" w:cs="Times New Roman"/>
          <w:b/>
          <w:sz w:val="26"/>
          <w:szCs w:val="26"/>
          <w:lang w:eastAsia="pl-PL"/>
        </w:rPr>
        <w:t>,,</w:t>
      </w:r>
      <w:proofErr w:type="gramEnd"/>
      <w:r w:rsidRPr="004E68EB">
        <w:rPr>
          <w:rFonts w:eastAsia="Times New Roman" w:cs="Times New Roman"/>
          <w:b/>
          <w:sz w:val="26"/>
          <w:szCs w:val="26"/>
          <w:lang w:eastAsia="pl-PL"/>
        </w:rPr>
        <w:t xml:space="preserve">zadania”. </w:t>
      </w:r>
    </w:p>
    <w:p w:rsidR="004E68EB" w:rsidRPr="004E68EB" w:rsidRDefault="004E68EB" w:rsidP="004E68EB">
      <w:pPr>
        <w:spacing w:after="0" w:line="240" w:lineRule="auto"/>
        <w:jc w:val="both"/>
        <w:rPr>
          <w:rFonts w:eastAsia="Times New Roman" w:cs="Times New Roman"/>
          <w:sz w:val="26"/>
          <w:szCs w:val="26"/>
          <w:lang w:eastAsia="pl-PL"/>
        </w:rPr>
      </w:pPr>
    </w:p>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t xml:space="preserve">Podstawowym, minimalnym </w:t>
      </w:r>
      <w:proofErr w:type="gramStart"/>
      <w:r w:rsidRPr="004E68EB">
        <w:rPr>
          <w:rFonts w:eastAsia="Times New Roman" w:cs="Times New Roman"/>
          <w:sz w:val="26"/>
          <w:szCs w:val="26"/>
          <w:lang w:eastAsia="pl-PL"/>
        </w:rPr>
        <w:t>,,</w:t>
      </w:r>
      <w:proofErr w:type="gramEnd"/>
      <w:r w:rsidRPr="004E68EB">
        <w:rPr>
          <w:rFonts w:eastAsia="Times New Roman" w:cs="Times New Roman"/>
          <w:sz w:val="26"/>
          <w:szCs w:val="26"/>
          <w:lang w:eastAsia="pl-PL"/>
        </w:rPr>
        <w:t xml:space="preserve">zadaniem” tej formacji jest jej wypełnienie </w:t>
      </w:r>
    </w:p>
    <w:p w:rsidR="004E68EB" w:rsidRPr="004E68EB" w:rsidRDefault="004E68EB" w:rsidP="004E68EB">
      <w:pPr>
        <w:spacing w:after="0" w:line="240" w:lineRule="auto"/>
        <w:jc w:val="both"/>
        <w:rPr>
          <w:rFonts w:eastAsia="Times New Roman" w:cs="Times New Roman"/>
          <w:sz w:val="26"/>
          <w:szCs w:val="26"/>
          <w:lang w:eastAsia="pl-PL"/>
        </w:rPr>
      </w:pPr>
    </w:p>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t xml:space="preserve">Drugim </w:t>
      </w:r>
      <w:proofErr w:type="gramStart"/>
      <w:r w:rsidRPr="004E68EB">
        <w:rPr>
          <w:rFonts w:eastAsia="Times New Roman" w:cs="Times New Roman"/>
          <w:sz w:val="26"/>
          <w:szCs w:val="26"/>
          <w:lang w:eastAsia="pl-PL"/>
        </w:rPr>
        <w:t>,,</w:t>
      </w:r>
      <w:proofErr w:type="gramEnd"/>
      <w:r w:rsidRPr="004E68EB">
        <w:rPr>
          <w:rFonts w:eastAsia="Times New Roman" w:cs="Times New Roman"/>
          <w:sz w:val="26"/>
          <w:szCs w:val="26"/>
          <w:lang w:eastAsia="pl-PL"/>
        </w:rPr>
        <w:t xml:space="preserve">zadaniem” tej formacji jest doprowadzenie do zmiany trendu ze spadkowego na wzrostowy. </w:t>
      </w:r>
    </w:p>
    <w:p w:rsidR="004E68EB" w:rsidRPr="004E68EB" w:rsidRDefault="004E68EB" w:rsidP="004E68EB">
      <w:pPr>
        <w:spacing w:after="0" w:line="240" w:lineRule="auto"/>
        <w:jc w:val="both"/>
        <w:rPr>
          <w:rFonts w:eastAsia="Times New Roman" w:cs="Times New Roman"/>
          <w:sz w:val="26"/>
          <w:szCs w:val="26"/>
          <w:lang w:eastAsia="pl-PL"/>
        </w:rPr>
      </w:pPr>
    </w:p>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t xml:space="preserve">Osobiście wyróżniam </w:t>
      </w:r>
      <w:r w:rsidRPr="004E68EB">
        <w:rPr>
          <w:rFonts w:eastAsia="Times New Roman" w:cs="Times New Roman"/>
          <w:b/>
          <w:sz w:val="26"/>
          <w:szCs w:val="26"/>
          <w:lang w:eastAsia="pl-PL"/>
        </w:rPr>
        <w:t>typowe oraz nietypowe podwójne dno.</w:t>
      </w:r>
      <w:r w:rsidRPr="004E68EB">
        <w:rPr>
          <w:rFonts w:eastAsia="Times New Roman" w:cs="Times New Roman"/>
          <w:sz w:val="26"/>
          <w:szCs w:val="26"/>
          <w:lang w:eastAsia="pl-PL"/>
        </w:rPr>
        <w:t xml:space="preserve"> </w:t>
      </w:r>
    </w:p>
    <w:p w:rsidR="004E68EB" w:rsidRPr="004E68EB" w:rsidRDefault="004E68EB" w:rsidP="004E68EB">
      <w:pPr>
        <w:spacing w:after="0" w:line="240" w:lineRule="auto"/>
        <w:jc w:val="both"/>
        <w:rPr>
          <w:rFonts w:eastAsia="Times New Roman" w:cs="Times New Roman"/>
          <w:sz w:val="26"/>
          <w:szCs w:val="26"/>
          <w:lang w:eastAsia="pl-PL"/>
        </w:rPr>
      </w:pPr>
    </w:p>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t xml:space="preserve">Typowa formacja podwójnego dna charakteryzuje się tym, że dołki w formacji kształtują się na poziomie identycznym, bądź prawie identycznym. </w:t>
      </w:r>
    </w:p>
    <w:p w:rsidR="004E68EB" w:rsidRPr="004E68EB" w:rsidRDefault="004E68EB" w:rsidP="004E68EB">
      <w:pPr>
        <w:spacing w:after="0" w:line="240" w:lineRule="auto"/>
        <w:jc w:val="both"/>
        <w:rPr>
          <w:rFonts w:eastAsia="Times New Roman" w:cs="Times New Roman"/>
          <w:sz w:val="26"/>
          <w:szCs w:val="26"/>
          <w:lang w:eastAsia="pl-PL"/>
        </w:rPr>
      </w:pPr>
    </w:p>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t>Natomiast w przypadku nietypowej formacji podwójnego dna kształtują się one na poziomie zupełnie odmiennym.</w:t>
      </w:r>
    </w:p>
    <w:p w:rsidR="004E68EB" w:rsidRPr="004E68EB" w:rsidRDefault="004E68EB" w:rsidP="004E68EB">
      <w:pPr>
        <w:spacing w:after="0" w:line="240" w:lineRule="auto"/>
        <w:jc w:val="both"/>
        <w:rPr>
          <w:rFonts w:eastAsia="Times New Roman" w:cs="Times New Roman"/>
          <w:sz w:val="26"/>
          <w:szCs w:val="26"/>
          <w:lang w:eastAsia="pl-PL"/>
        </w:rPr>
      </w:pPr>
    </w:p>
    <w:p w:rsidR="004E68EB" w:rsidRPr="004E68EB" w:rsidRDefault="004E68EB" w:rsidP="004E68EB">
      <w:pPr>
        <w:spacing w:after="0" w:line="240" w:lineRule="auto"/>
        <w:jc w:val="both"/>
        <w:rPr>
          <w:rFonts w:eastAsia="Times New Roman" w:cs="Times New Roman"/>
          <w:b/>
          <w:sz w:val="26"/>
          <w:szCs w:val="26"/>
          <w:lang w:eastAsia="pl-PL"/>
        </w:rPr>
      </w:pPr>
      <w:r w:rsidRPr="004E68EB">
        <w:rPr>
          <w:rFonts w:eastAsia="Times New Roman" w:cs="Times New Roman"/>
          <w:sz w:val="26"/>
          <w:szCs w:val="26"/>
          <w:lang w:eastAsia="pl-PL"/>
        </w:rPr>
        <w:t xml:space="preserve">Od pierwszego numeru </w:t>
      </w:r>
      <w:proofErr w:type="gramStart"/>
      <w:r w:rsidRPr="004E68EB">
        <w:rPr>
          <w:rFonts w:eastAsia="Times New Roman" w:cs="Times New Roman"/>
          <w:sz w:val="26"/>
          <w:szCs w:val="26"/>
          <w:lang w:eastAsia="pl-PL"/>
        </w:rPr>
        <w:t>,,</w:t>
      </w:r>
      <w:proofErr w:type="gramEnd"/>
      <w:r w:rsidRPr="004E68EB">
        <w:rPr>
          <w:rFonts w:eastAsia="Times New Roman" w:cs="Times New Roman"/>
          <w:sz w:val="26"/>
          <w:szCs w:val="26"/>
          <w:lang w:eastAsia="pl-PL"/>
        </w:rPr>
        <w:t xml:space="preserve">Raportu Tygodniowego” postanowiłem, że będę </w:t>
      </w:r>
      <w:r w:rsidRPr="004E68EB">
        <w:rPr>
          <w:rFonts w:eastAsia="Times New Roman" w:cs="Times New Roman"/>
          <w:b/>
          <w:sz w:val="26"/>
          <w:szCs w:val="26"/>
          <w:lang w:eastAsia="pl-PL"/>
        </w:rPr>
        <w:t>porównywał</w:t>
      </w:r>
      <w:r w:rsidRPr="004E68EB">
        <w:rPr>
          <w:rFonts w:eastAsia="Times New Roman" w:cs="Times New Roman"/>
          <w:sz w:val="26"/>
          <w:szCs w:val="26"/>
          <w:lang w:eastAsia="pl-PL"/>
        </w:rPr>
        <w:t xml:space="preserve"> zachowanie kursu akcji spółki po wprowadzeniu jej do rubryki ,,Wykres do przemyślenia” </w:t>
      </w:r>
      <w:r w:rsidRPr="004E68EB">
        <w:rPr>
          <w:rFonts w:eastAsia="Times New Roman" w:cs="Times New Roman"/>
          <w:b/>
          <w:sz w:val="26"/>
          <w:szCs w:val="26"/>
          <w:lang w:eastAsia="pl-PL"/>
        </w:rPr>
        <w:t xml:space="preserve">z zachowaniem indeksu WIG20. </w:t>
      </w:r>
    </w:p>
    <w:p w:rsidR="004E68EB" w:rsidRPr="004E68EB" w:rsidRDefault="004E68EB" w:rsidP="004E68EB">
      <w:pPr>
        <w:spacing w:after="0" w:line="240" w:lineRule="auto"/>
        <w:jc w:val="both"/>
        <w:rPr>
          <w:rFonts w:eastAsia="Times New Roman" w:cs="Times New Roman"/>
          <w:sz w:val="26"/>
          <w:szCs w:val="26"/>
          <w:lang w:eastAsia="pl-PL"/>
        </w:rPr>
      </w:pPr>
    </w:p>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t xml:space="preserve">Mam świadomość, że podejście to może budzić kontrowersje, sprzeciw. Dobrze. Tak być musi. </w:t>
      </w:r>
    </w:p>
    <w:p w:rsidR="004E68EB" w:rsidRPr="004E68EB" w:rsidRDefault="004E68EB" w:rsidP="004E68EB">
      <w:pPr>
        <w:spacing w:after="0" w:line="240" w:lineRule="auto"/>
        <w:jc w:val="both"/>
        <w:rPr>
          <w:rFonts w:eastAsia="Times New Roman" w:cs="Times New Roman"/>
          <w:sz w:val="26"/>
          <w:szCs w:val="26"/>
          <w:lang w:eastAsia="pl-PL"/>
        </w:rPr>
      </w:pPr>
    </w:p>
    <w:p w:rsidR="004E68EB" w:rsidRPr="004E68EB" w:rsidRDefault="004E68EB" w:rsidP="004E68EB">
      <w:pPr>
        <w:spacing w:after="0" w:line="240" w:lineRule="auto"/>
        <w:jc w:val="both"/>
        <w:rPr>
          <w:rFonts w:eastAsia="Times New Roman" w:cs="Times New Roman"/>
          <w:b/>
          <w:sz w:val="26"/>
          <w:szCs w:val="26"/>
          <w:lang w:eastAsia="pl-PL"/>
        </w:rPr>
      </w:pPr>
      <w:r w:rsidRPr="004E68EB">
        <w:rPr>
          <w:rFonts w:eastAsia="Times New Roman" w:cs="Times New Roman"/>
          <w:sz w:val="26"/>
          <w:szCs w:val="26"/>
          <w:lang w:eastAsia="pl-PL"/>
        </w:rPr>
        <w:t xml:space="preserve">Postanowiłem odpowiedzieć na pytanie: </w:t>
      </w:r>
      <w:proofErr w:type="gramStart"/>
      <w:r w:rsidRPr="004E68EB">
        <w:rPr>
          <w:rFonts w:eastAsia="Times New Roman" w:cs="Times New Roman"/>
          <w:b/>
          <w:sz w:val="26"/>
          <w:szCs w:val="26"/>
          <w:lang w:eastAsia="pl-PL"/>
        </w:rPr>
        <w:t>,,</w:t>
      </w:r>
      <w:proofErr w:type="gramEnd"/>
      <w:r w:rsidRPr="004E68EB">
        <w:rPr>
          <w:rFonts w:eastAsia="Times New Roman" w:cs="Times New Roman"/>
          <w:b/>
          <w:sz w:val="26"/>
          <w:szCs w:val="26"/>
          <w:lang w:eastAsia="pl-PL"/>
        </w:rPr>
        <w:t>Ile wynosiła średnia procentowa zmiana kursu akcji spółki po wprowadzeniu jej do rubryki ,,Wykres do przemyślenia” w okresie 12 pierwszych miesięcy po jej wprowadzeniu do tej rubryki ?”</w:t>
      </w:r>
    </w:p>
    <w:p w:rsidR="004E68EB" w:rsidRPr="004E68EB" w:rsidRDefault="004E68EB" w:rsidP="004E68EB">
      <w:pPr>
        <w:spacing w:after="0" w:line="240" w:lineRule="auto"/>
        <w:jc w:val="both"/>
        <w:rPr>
          <w:rFonts w:eastAsia="Times New Roman" w:cs="Times New Roman"/>
          <w:sz w:val="26"/>
          <w:szCs w:val="26"/>
          <w:lang w:eastAsia="pl-PL"/>
        </w:rPr>
      </w:pPr>
    </w:p>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t xml:space="preserve">W związku z powyższym postanowiłem odpowiedzieć </w:t>
      </w:r>
      <w:r w:rsidRPr="004E68EB">
        <w:rPr>
          <w:rFonts w:eastAsia="Times New Roman" w:cs="Times New Roman"/>
          <w:b/>
          <w:sz w:val="26"/>
          <w:szCs w:val="26"/>
          <w:lang w:eastAsia="pl-PL"/>
        </w:rPr>
        <w:t>także</w:t>
      </w:r>
      <w:r w:rsidRPr="004E68EB">
        <w:rPr>
          <w:rFonts w:eastAsia="Times New Roman" w:cs="Times New Roman"/>
          <w:sz w:val="26"/>
          <w:szCs w:val="26"/>
          <w:lang w:eastAsia="pl-PL"/>
        </w:rPr>
        <w:t xml:space="preserve"> na pytanie: </w:t>
      </w:r>
      <w:proofErr w:type="gramStart"/>
      <w:r w:rsidRPr="004E68EB">
        <w:rPr>
          <w:rFonts w:eastAsia="Times New Roman" w:cs="Times New Roman"/>
          <w:sz w:val="26"/>
          <w:szCs w:val="26"/>
          <w:lang w:eastAsia="pl-PL"/>
        </w:rPr>
        <w:t>,,</w:t>
      </w:r>
      <w:proofErr w:type="gramEnd"/>
      <w:r w:rsidRPr="004E68EB">
        <w:rPr>
          <w:rFonts w:eastAsia="Times New Roman" w:cs="Times New Roman"/>
          <w:sz w:val="26"/>
          <w:szCs w:val="26"/>
          <w:lang w:eastAsia="pl-PL"/>
        </w:rPr>
        <w:t>Ile wynosiła średnia procentowa zmiana indeksu WIG 20 w tym okresie ?”</w:t>
      </w:r>
    </w:p>
    <w:p w:rsidR="004E68EB" w:rsidRPr="004E68EB" w:rsidRDefault="004E68EB" w:rsidP="004E68EB">
      <w:pPr>
        <w:spacing w:after="0" w:line="240" w:lineRule="auto"/>
        <w:jc w:val="both"/>
        <w:rPr>
          <w:rFonts w:eastAsia="Times New Roman" w:cs="Times New Roman"/>
          <w:sz w:val="26"/>
          <w:szCs w:val="26"/>
          <w:lang w:eastAsia="pl-PL"/>
        </w:rPr>
      </w:pPr>
    </w:p>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t xml:space="preserve">Odpowiedź na te pytania przedstawiłem w tabeli na następnej stronie. </w:t>
      </w:r>
    </w:p>
    <w:p w:rsidR="004E68EB" w:rsidRPr="004E68EB" w:rsidRDefault="004E68EB" w:rsidP="004E68EB">
      <w:pPr>
        <w:spacing w:after="0" w:line="240" w:lineRule="auto"/>
        <w:jc w:val="both"/>
        <w:rPr>
          <w:rFonts w:eastAsia="Times New Roman" w:cs="Times New Roman"/>
          <w:sz w:val="26"/>
          <w:szCs w:val="26"/>
          <w:lang w:eastAsia="pl-PL"/>
        </w:rPr>
      </w:pPr>
    </w:p>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lastRenderedPageBreak/>
        <w:t xml:space="preserve">Tabela: Procentowa zmiana cen akcji czterech spółek, których akcje zostały wymienione w pierwszym numerze </w:t>
      </w:r>
      <w:proofErr w:type="gramStart"/>
      <w:r w:rsidRPr="004E68EB">
        <w:rPr>
          <w:rFonts w:eastAsia="Times New Roman" w:cs="Times New Roman"/>
          <w:sz w:val="26"/>
          <w:szCs w:val="26"/>
          <w:lang w:eastAsia="pl-PL"/>
        </w:rPr>
        <w:t>,,</w:t>
      </w:r>
      <w:proofErr w:type="gramEnd"/>
      <w:r w:rsidRPr="004E68EB">
        <w:rPr>
          <w:rFonts w:eastAsia="Times New Roman" w:cs="Times New Roman"/>
          <w:sz w:val="26"/>
          <w:szCs w:val="26"/>
          <w:lang w:eastAsia="pl-PL"/>
        </w:rPr>
        <w:t xml:space="preserve">Raportu Tygodniowego” z 8 września 2014 roku w rubryce ,,Wykres do przemyślenia” w okresie od 5 września do 4 września 2015 roku oraz procentowa zmiana indeksu WIG 20 w tym okresie. </w:t>
      </w:r>
    </w:p>
    <w:p w:rsidR="004E68EB" w:rsidRPr="004E68EB" w:rsidRDefault="004E68EB" w:rsidP="004E68EB">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05.09.2014</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04.09.2015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Akcja spółki </w:t>
            </w:r>
            <w:proofErr w:type="spellStart"/>
            <w:r w:rsidRPr="004E68EB">
              <w:rPr>
                <w:rFonts w:eastAsiaTheme="minorEastAsia"/>
                <w:lang w:eastAsia="pl-PL"/>
              </w:rPr>
              <w:t>Immobile</w:t>
            </w:r>
            <w:proofErr w:type="spellEnd"/>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2,04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2,35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+15,2 %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Akcja spółki Lena</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3,99 zł.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4,44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+11,3 %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Akcja </w:t>
            </w:r>
            <w:proofErr w:type="gramStart"/>
            <w:r w:rsidRPr="004E68EB">
              <w:rPr>
                <w:rFonts w:eastAsiaTheme="minorEastAsia"/>
                <w:lang w:eastAsia="pl-PL"/>
              </w:rPr>
              <w:t xml:space="preserve">spółki  </w:t>
            </w:r>
            <w:proofErr w:type="spellStart"/>
            <w:r w:rsidRPr="004E68EB">
              <w:rPr>
                <w:rFonts w:eastAsiaTheme="minorEastAsia"/>
                <w:lang w:eastAsia="pl-PL"/>
              </w:rPr>
              <w:t>Netmedia</w:t>
            </w:r>
            <w:proofErr w:type="spellEnd"/>
            <w:proofErr w:type="gramEnd"/>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3,63 zł.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5,64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+55,4 %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Akcja spółki Rafako</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4,25 zł.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6,72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+58,1 %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 xml:space="preserve">    +35,0 %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2 541,42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2 146,47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-15,5 %</w:t>
            </w:r>
          </w:p>
        </w:tc>
      </w:tr>
    </w:tbl>
    <w:p w:rsidR="004E68EB" w:rsidRPr="004E68EB" w:rsidRDefault="004E68EB" w:rsidP="004E68EB">
      <w:pPr>
        <w:spacing w:after="0" w:line="240" w:lineRule="auto"/>
        <w:jc w:val="both"/>
        <w:rPr>
          <w:rFonts w:ascii="Calibri" w:eastAsia="Times New Roman" w:hAnsi="Calibri" w:cs="Times New Roman"/>
          <w:sz w:val="36"/>
          <w:szCs w:val="36"/>
          <w:u w:val="single"/>
          <w:lang w:eastAsia="pl-PL"/>
        </w:rPr>
      </w:pPr>
    </w:p>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t xml:space="preserve">Tabela: Procentowa zmiana ceny akcji spółki, której akcje zostały wymienione w drugim numerze </w:t>
      </w:r>
      <w:proofErr w:type="gramStart"/>
      <w:r w:rsidRPr="004E68EB">
        <w:rPr>
          <w:rFonts w:eastAsia="Times New Roman" w:cs="Times New Roman"/>
          <w:sz w:val="26"/>
          <w:szCs w:val="26"/>
          <w:lang w:eastAsia="pl-PL"/>
        </w:rPr>
        <w:t>,,</w:t>
      </w:r>
      <w:proofErr w:type="gramEnd"/>
      <w:r w:rsidRPr="004E68EB">
        <w:rPr>
          <w:rFonts w:eastAsia="Times New Roman" w:cs="Times New Roman"/>
          <w:sz w:val="26"/>
          <w:szCs w:val="26"/>
          <w:lang w:eastAsia="pl-PL"/>
        </w:rPr>
        <w:t xml:space="preserve">Raportu Tygodniowego” z 15 września 2014 roku w rubryce ,,Wykres do przemyślenia” w okresie od 12 września do 11 września 2015 roku oraz procentowa zmiana indeksu WIG 20 w tym okresie. </w:t>
      </w:r>
    </w:p>
    <w:p w:rsidR="004E68EB" w:rsidRPr="004E68EB" w:rsidRDefault="004E68EB" w:rsidP="004E68EB">
      <w:pPr>
        <w:spacing w:after="0" w:line="240" w:lineRule="auto"/>
        <w:jc w:val="both"/>
        <w:rPr>
          <w:rFonts w:eastAsiaTheme="minorEastAsia"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12.09.2014</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11.09.2015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Akcja spółki Boryszew</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6,50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5,15 zł. </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-20,8 %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 xml:space="preserve">  -20,8 %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2 497,38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2 185,46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-12,5 %</w:t>
            </w:r>
          </w:p>
        </w:tc>
      </w:tr>
    </w:tbl>
    <w:p w:rsidR="004E68EB" w:rsidRPr="004E68EB" w:rsidRDefault="004E68EB" w:rsidP="004E68EB">
      <w:pPr>
        <w:spacing w:after="0" w:line="240" w:lineRule="auto"/>
        <w:jc w:val="both"/>
        <w:rPr>
          <w:rFonts w:eastAsia="Times New Roman" w:cs="Times New Roman"/>
          <w:lang w:eastAsia="pl-PL"/>
        </w:rPr>
      </w:pPr>
    </w:p>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t xml:space="preserve">Tabela: Procentowa zmiana ceny akcji spółki, której akcje zostały umieszczone 16 września na stronie internetowej </w:t>
      </w:r>
      <w:hyperlink r:id="rId13" w:history="1">
        <w:r w:rsidRPr="004E68EB">
          <w:rPr>
            <w:rFonts w:eastAsia="Times New Roman" w:cs="Times New Roman"/>
            <w:color w:val="0000FF" w:themeColor="hyperlink"/>
            <w:sz w:val="26"/>
            <w:szCs w:val="26"/>
            <w:u w:val="single"/>
            <w:lang w:eastAsia="pl-PL"/>
          </w:rPr>
          <w:t>www.analizy-rynkowe.pl</w:t>
        </w:r>
      </w:hyperlink>
      <w:r w:rsidRPr="004E68EB">
        <w:rPr>
          <w:rFonts w:eastAsia="Times New Roman" w:cs="Times New Roman"/>
          <w:sz w:val="26"/>
          <w:szCs w:val="26"/>
          <w:lang w:eastAsia="pl-PL"/>
        </w:rPr>
        <w:t xml:space="preserve"> w </w:t>
      </w:r>
      <w:proofErr w:type="gramStart"/>
      <w:r w:rsidRPr="004E68EB">
        <w:rPr>
          <w:rFonts w:eastAsia="Times New Roman" w:cs="Times New Roman"/>
          <w:sz w:val="26"/>
          <w:szCs w:val="26"/>
          <w:lang w:eastAsia="pl-PL"/>
        </w:rPr>
        <w:t>rubryce  ,,Wykres</w:t>
      </w:r>
      <w:proofErr w:type="gramEnd"/>
      <w:r w:rsidRPr="004E68EB">
        <w:rPr>
          <w:rFonts w:eastAsia="Times New Roman" w:cs="Times New Roman"/>
          <w:sz w:val="26"/>
          <w:szCs w:val="26"/>
          <w:lang w:eastAsia="pl-PL"/>
        </w:rPr>
        <w:t xml:space="preserve"> do przemyślenia” w okresie od 15 września do 15 września 2015 roku oraz procentowa zmiana indeksu WIG 20 w tym okresie. </w:t>
      </w:r>
    </w:p>
    <w:p w:rsidR="004E68EB" w:rsidRPr="004E68EB" w:rsidRDefault="004E68EB" w:rsidP="004E68EB">
      <w:pPr>
        <w:spacing w:after="0" w:line="240" w:lineRule="auto"/>
        <w:jc w:val="both"/>
        <w:rPr>
          <w:rFonts w:eastAsiaTheme="minorEastAsia"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15.09.2014</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15.09.2015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Akcja spółki </w:t>
            </w:r>
            <w:proofErr w:type="spellStart"/>
            <w:r w:rsidRPr="004E68EB">
              <w:rPr>
                <w:rFonts w:eastAsiaTheme="minorEastAsia"/>
                <w:lang w:eastAsia="pl-PL"/>
              </w:rPr>
              <w:t>Erbud</w:t>
            </w:r>
            <w:proofErr w:type="spellEnd"/>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26,50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32,90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24,2 %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 xml:space="preserve">  24,2 %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2 489,77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2 185,88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-12,2 %</w:t>
            </w:r>
          </w:p>
        </w:tc>
      </w:tr>
    </w:tbl>
    <w:p w:rsidR="004E68EB" w:rsidRPr="004E68EB" w:rsidRDefault="004E68EB" w:rsidP="004E68EB">
      <w:pPr>
        <w:spacing w:after="0" w:line="240" w:lineRule="auto"/>
        <w:jc w:val="both"/>
        <w:rPr>
          <w:rFonts w:eastAsia="Times New Roman" w:cs="Times New Roman"/>
          <w:lang w:eastAsia="pl-PL"/>
        </w:rPr>
      </w:pPr>
    </w:p>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t xml:space="preserve">Tabela: Procentowa zmiana ceny akcji spółki, której akcje zostały wymienione w trzecim numerze </w:t>
      </w:r>
      <w:proofErr w:type="gramStart"/>
      <w:r w:rsidRPr="004E68EB">
        <w:rPr>
          <w:rFonts w:eastAsia="Times New Roman" w:cs="Times New Roman"/>
          <w:sz w:val="26"/>
          <w:szCs w:val="26"/>
          <w:lang w:eastAsia="pl-PL"/>
        </w:rPr>
        <w:t>,,</w:t>
      </w:r>
      <w:proofErr w:type="gramEnd"/>
      <w:r w:rsidRPr="004E68EB">
        <w:rPr>
          <w:rFonts w:eastAsia="Times New Roman" w:cs="Times New Roman"/>
          <w:sz w:val="26"/>
          <w:szCs w:val="26"/>
          <w:lang w:eastAsia="pl-PL"/>
        </w:rPr>
        <w:t xml:space="preserve">Raportu Tygodniowego” z 22 września 2014 roku w rubryce ,,Wykres do przemyślenia” w okresie od 19 września 2014 roku do 18 września 2015 roku oraz procentowa zmiana indeksu WIG 20 w tym okresie. </w:t>
      </w:r>
    </w:p>
    <w:p w:rsidR="004E68EB" w:rsidRPr="004E68EB" w:rsidRDefault="004E68EB" w:rsidP="004E68EB">
      <w:pPr>
        <w:spacing w:after="0" w:line="240" w:lineRule="auto"/>
        <w:jc w:val="both"/>
        <w:rPr>
          <w:rFonts w:eastAsiaTheme="minorEastAsia"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19.09.2014</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18.09.2015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Akcja spółki IF Capital</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1,32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0,98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2,3 %</w:t>
            </w:r>
          </w:p>
        </w:tc>
      </w:tr>
      <w:tr w:rsidR="004E68EB" w:rsidRPr="004E68EB" w:rsidTr="00FA3D65">
        <w:trPr>
          <w:trHeight w:val="310"/>
        </w:trPr>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2,3 %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2 497,38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2 168,19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-13,2 %</w:t>
            </w:r>
          </w:p>
        </w:tc>
      </w:tr>
    </w:tbl>
    <w:p w:rsidR="004E68EB" w:rsidRPr="004E68EB" w:rsidRDefault="004E68EB" w:rsidP="004E68EB">
      <w:pPr>
        <w:spacing w:after="0" w:line="240" w:lineRule="auto"/>
        <w:jc w:val="both"/>
        <w:rPr>
          <w:rFonts w:eastAsiaTheme="minorEastAsia" w:cs="Times New Roman"/>
          <w:sz w:val="26"/>
          <w:szCs w:val="26"/>
          <w:lang w:eastAsia="pl-PL"/>
        </w:rPr>
      </w:pPr>
      <w:r w:rsidRPr="004E68EB">
        <w:rPr>
          <w:rFonts w:eastAsia="Times New Roman" w:cs="Times New Roman"/>
          <w:sz w:val="26"/>
          <w:szCs w:val="26"/>
          <w:lang w:eastAsia="pl-PL"/>
        </w:rPr>
        <w:lastRenderedPageBreak/>
        <w:t xml:space="preserve">Tabela: Procentowa zmiana ceny akcji spółki, której akcje zostały umieszczone 25 września na stronie internetowej </w:t>
      </w:r>
      <w:hyperlink r:id="rId14" w:history="1">
        <w:r w:rsidRPr="004E68EB">
          <w:rPr>
            <w:rFonts w:eastAsia="Times New Roman" w:cs="Times New Roman"/>
            <w:color w:val="0000FF" w:themeColor="hyperlink"/>
            <w:sz w:val="26"/>
            <w:szCs w:val="26"/>
            <w:u w:val="single"/>
            <w:lang w:eastAsia="pl-PL"/>
          </w:rPr>
          <w:t>www.analizy-rynkowe.pl</w:t>
        </w:r>
      </w:hyperlink>
      <w:r w:rsidRPr="004E68EB">
        <w:rPr>
          <w:rFonts w:eastAsia="Times New Roman" w:cs="Times New Roman"/>
          <w:sz w:val="26"/>
          <w:szCs w:val="26"/>
          <w:lang w:eastAsia="pl-PL"/>
        </w:rPr>
        <w:t xml:space="preserve"> w </w:t>
      </w:r>
      <w:proofErr w:type="gramStart"/>
      <w:r w:rsidRPr="004E68EB">
        <w:rPr>
          <w:rFonts w:eastAsia="Times New Roman" w:cs="Times New Roman"/>
          <w:sz w:val="26"/>
          <w:szCs w:val="26"/>
          <w:lang w:eastAsia="pl-PL"/>
        </w:rPr>
        <w:t>rubryce  ,,Wykres</w:t>
      </w:r>
      <w:proofErr w:type="gramEnd"/>
      <w:r w:rsidRPr="004E68EB">
        <w:rPr>
          <w:rFonts w:eastAsia="Times New Roman" w:cs="Times New Roman"/>
          <w:sz w:val="26"/>
          <w:szCs w:val="26"/>
          <w:lang w:eastAsia="pl-PL"/>
        </w:rPr>
        <w:t xml:space="preserve"> do przemyślenia” w okresie od 24 września 2014 roku do 24 września 2015 roku oraz procentowa zmiana indeksu WIG 20 w tym okresie. </w:t>
      </w:r>
    </w:p>
    <w:p w:rsidR="004E68EB" w:rsidRPr="004E68EB" w:rsidRDefault="004E68EB" w:rsidP="004E68EB">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24.09.2014</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18.09.2015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Akcja spółki Capital Partners</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1,85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2,40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+29,7 %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+29,7 %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2 489,77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2 082,95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-15,8 %</w:t>
            </w:r>
          </w:p>
        </w:tc>
      </w:tr>
    </w:tbl>
    <w:p w:rsidR="004E68EB" w:rsidRPr="004E68EB" w:rsidRDefault="004E68EB" w:rsidP="004E68EB">
      <w:pPr>
        <w:spacing w:after="0" w:line="240" w:lineRule="auto"/>
        <w:jc w:val="both"/>
        <w:rPr>
          <w:rFonts w:eastAsiaTheme="minorEastAsia" w:cs="Times New Roman"/>
          <w:lang w:eastAsia="pl-PL"/>
        </w:rPr>
      </w:pPr>
    </w:p>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t xml:space="preserve">Tabela: Procentowa zmiana cen akcji trzech spółek, których akcje zostały wymienione w czwartym numerze </w:t>
      </w:r>
      <w:proofErr w:type="gramStart"/>
      <w:r w:rsidRPr="004E68EB">
        <w:rPr>
          <w:rFonts w:eastAsia="Times New Roman" w:cs="Times New Roman"/>
          <w:sz w:val="26"/>
          <w:szCs w:val="26"/>
          <w:lang w:eastAsia="pl-PL"/>
        </w:rPr>
        <w:t>,,</w:t>
      </w:r>
      <w:proofErr w:type="gramEnd"/>
      <w:r w:rsidRPr="004E68EB">
        <w:rPr>
          <w:rFonts w:eastAsia="Times New Roman" w:cs="Times New Roman"/>
          <w:sz w:val="26"/>
          <w:szCs w:val="26"/>
          <w:lang w:eastAsia="pl-PL"/>
        </w:rPr>
        <w:t xml:space="preserve">Raportu Tygodniowego” z 29 września 2014 roku w rubryce ,,Wykres do przemyślenia” w okresie od 30 września 2014 roku do 25 września 2015 roku oraz procentowa zmiana indeksu WIG 20 w tym okresie. </w:t>
      </w:r>
    </w:p>
    <w:p w:rsidR="004E68EB" w:rsidRPr="004E68EB" w:rsidRDefault="004E68EB" w:rsidP="004E68EB">
      <w:pPr>
        <w:spacing w:after="0" w:line="240" w:lineRule="auto"/>
        <w:jc w:val="both"/>
        <w:rPr>
          <w:rFonts w:eastAsia="Times New Roman" w:cs="Times New Roman"/>
          <w:sz w:val="26"/>
          <w:szCs w:val="26"/>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26.09.2014</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25.09.2015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Akcja spółki </w:t>
            </w:r>
            <w:proofErr w:type="spellStart"/>
            <w:r w:rsidRPr="004E68EB">
              <w:rPr>
                <w:rFonts w:eastAsiaTheme="minorEastAsia"/>
                <w:lang w:eastAsia="pl-PL"/>
              </w:rPr>
              <w:t>Asseco</w:t>
            </w:r>
            <w:proofErr w:type="spellEnd"/>
            <w:r w:rsidRPr="004E68EB">
              <w:rPr>
                <w:rFonts w:eastAsiaTheme="minorEastAsia"/>
                <w:lang w:eastAsia="pl-PL"/>
              </w:rPr>
              <w:t xml:space="preserve"> Poland </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45,64 zł.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54,70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+19,9 %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Akcja </w:t>
            </w:r>
            <w:proofErr w:type="gramStart"/>
            <w:r w:rsidRPr="004E68EB">
              <w:rPr>
                <w:rFonts w:eastAsiaTheme="minorEastAsia"/>
                <w:lang w:eastAsia="pl-PL"/>
              </w:rPr>
              <w:t>spółki  CD</w:t>
            </w:r>
            <w:proofErr w:type="gramEnd"/>
            <w:r w:rsidRPr="004E68EB">
              <w:rPr>
                <w:rFonts w:eastAsiaTheme="minorEastAsia"/>
                <w:lang w:eastAsia="pl-PL"/>
              </w:rPr>
              <w:t xml:space="preserve"> Projekt</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16,59 zł.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26,80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+61,5 %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Akcja spółki </w:t>
            </w:r>
            <w:proofErr w:type="spellStart"/>
            <w:r w:rsidRPr="004E68EB">
              <w:rPr>
                <w:rFonts w:eastAsiaTheme="minorEastAsia"/>
                <w:lang w:eastAsia="pl-PL"/>
              </w:rPr>
              <w:t>Sygnity</w:t>
            </w:r>
            <w:proofErr w:type="spellEnd"/>
            <w:r w:rsidRPr="004E68EB">
              <w:rPr>
                <w:rFonts w:eastAsiaTheme="minorEastAsia"/>
                <w:lang w:eastAsia="pl-PL"/>
              </w:rPr>
              <w:t xml:space="preserve"> </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17,60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8,82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- 49,9 %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 xml:space="preserve"> +10,5%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2484,02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2 168,19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- 15,8 %</w:t>
            </w:r>
          </w:p>
        </w:tc>
      </w:tr>
    </w:tbl>
    <w:p w:rsidR="004E68EB" w:rsidRPr="004E68EB" w:rsidRDefault="004E68EB" w:rsidP="004E68EB">
      <w:pPr>
        <w:spacing w:after="0" w:line="240" w:lineRule="auto"/>
        <w:rPr>
          <w:rFonts w:ascii="Calibri" w:eastAsia="Times New Roman" w:hAnsi="Calibri" w:cs="Times New Roman"/>
          <w:sz w:val="26"/>
          <w:szCs w:val="26"/>
          <w:u w:val="single"/>
          <w:lang w:eastAsia="pl-PL"/>
        </w:rPr>
      </w:pPr>
    </w:p>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t xml:space="preserve">Tabela: Procentowa zmiana ceny akcji spółki, której akcje zostały wymienione w piątym numerze </w:t>
      </w:r>
      <w:proofErr w:type="gramStart"/>
      <w:r w:rsidRPr="004E68EB">
        <w:rPr>
          <w:rFonts w:eastAsia="Times New Roman" w:cs="Times New Roman"/>
          <w:sz w:val="26"/>
          <w:szCs w:val="26"/>
          <w:lang w:eastAsia="pl-PL"/>
        </w:rPr>
        <w:t>,,</w:t>
      </w:r>
      <w:proofErr w:type="gramEnd"/>
      <w:r w:rsidRPr="004E68EB">
        <w:rPr>
          <w:rFonts w:eastAsia="Times New Roman" w:cs="Times New Roman"/>
          <w:sz w:val="26"/>
          <w:szCs w:val="26"/>
          <w:lang w:eastAsia="pl-PL"/>
        </w:rPr>
        <w:t xml:space="preserve">Raportu Tygodniowego” z 6 października 2014 roku w rubryce ,,Wykres do przemyślenia” w okresie od 3 października do 2 października 2015 roku oraz procentowa zmiana indeksu WIG 20 w tym okresie. </w:t>
      </w:r>
    </w:p>
    <w:p w:rsidR="004E68EB" w:rsidRPr="004E68EB" w:rsidRDefault="004E68EB" w:rsidP="004E68EB">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03.10.2014</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02.10.2015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Akcja spółki Stalprodukt</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244,10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278,15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+13,9 %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+13,9 %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2 444,06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2 036,32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-16,7 %</w:t>
            </w:r>
          </w:p>
        </w:tc>
      </w:tr>
    </w:tbl>
    <w:p w:rsidR="004E68EB" w:rsidRPr="004E68EB" w:rsidRDefault="004E68EB" w:rsidP="004E68EB">
      <w:pPr>
        <w:spacing w:after="0" w:line="240" w:lineRule="auto"/>
        <w:rPr>
          <w:rFonts w:ascii="Calibri" w:eastAsia="Times New Roman" w:hAnsi="Calibri" w:cs="Times New Roman"/>
          <w:sz w:val="26"/>
          <w:szCs w:val="26"/>
          <w:u w:val="single"/>
          <w:lang w:eastAsia="pl-PL"/>
        </w:rPr>
      </w:pPr>
    </w:p>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t xml:space="preserve">Tabela: Procentowa zmiana ceny akcji spółki, której akcje zostały wymienione w szóstym numerze </w:t>
      </w:r>
      <w:proofErr w:type="gramStart"/>
      <w:r w:rsidRPr="004E68EB">
        <w:rPr>
          <w:rFonts w:eastAsia="Times New Roman" w:cs="Times New Roman"/>
          <w:sz w:val="26"/>
          <w:szCs w:val="26"/>
          <w:lang w:eastAsia="pl-PL"/>
        </w:rPr>
        <w:t>,,</w:t>
      </w:r>
      <w:proofErr w:type="gramEnd"/>
      <w:r w:rsidRPr="004E68EB">
        <w:rPr>
          <w:rFonts w:eastAsia="Times New Roman" w:cs="Times New Roman"/>
          <w:sz w:val="26"/>
          <w:szCs w:val="26"/>
          <w:lang w:eastAsia="pl-PL"/>
        </w:rPr>
        <w:t xml:space="preserve">Raportu Tygodniowego” z 20 października 2014 roku w rubryce ,,Wykres do przemyślenia” w okresie od 17 września do 16 października 2015 roku oraz procentowa zmiana indeksu WIG 20 w tym okresie. </w:t>
      </w:r>
    </w:p>
    <w:p w:rsidR="004E68EB" w:rsidRPr="004E68EB" w:rsidRDefault="004E68EB" w:rsidP="004E68EB">
      <w:pPr>
        <w:spacing w:after="0" w:line="240" w:lineRule="auto"/>
        <w:jc w:val="both"/>
        <w:rPr>
          <w:rFonts w:eastAsiaTheme="minorEastAsia" w:cs="Times New Roman"/>
          <w:sz w:val="26"/>
          <w:szCs w:val="26"/>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17.10.2014</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16.10.2015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Akcja spółki </w:t>
            </w:r>
            <w:proofErr w:type="spellStart"/>
            <w:r w:rsidRPr="004E68EB">
              <w:rPr>
                <w:rFonts w:eastAsiaTheme="minorEastAsia"/>
                <w:lang w:eastAsia="pl-PL"/>
              </w:rPr>
              <w:t>Tauron</w:t>
            </w:r>
            <w:proofErr w:type="spellEnd"/>
            <w:r w:rsidRPr="004E68EB">
              <w:rPr>
                <w:rFonts w:eastAsiaTheme="minorEastAsia"/>
                <w:lang w:eastAsia="pl-PL"/>
              </w:rPr>
              <w:t xml:space="preserve"> Polska Energia</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5,21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3,23 zł. </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-38,0 %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 xml:space="preserve">  -38,0 %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2 401,13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2 121,94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-11,6 %</w:t>
            </w:r>
          </w:p>
        </w:tc>
      </w:tr>
    </w:tbl>
    <w:p w:rsidR="004E68EB" w:rsidRPr="004E68EB" w:rsidRDefault="004E68EB" w:rsidP="004E68EB">
      <w:pPr>
        <w:spacing w:after="0" w:line="240" w:lineRule="auto"/>
        <w:rPr>
          <w:rFonts w:ascii="Calibri" w:eastAsia="Times New Roman" w:hAnsi="Calibri" w:cs="Times New Roman"/>
          <w:sz w:val="42"/>
          <w:szCs w:val="42"/>
          <w:u w:val="single"/>
          <w:lang w:eastAsia="pl-PL"/>
        </w:rPr>
      </w:pPr>
    </w:p>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lastRenderedPageBreak/>
        <w:t xml:space="preserve">Tabela: Procentowa zmiana ceny akcji spółki, której akcje zostały umieszczone 22 października na stronie internetowej </w:t>
      </w:r>
      <w:hyperlink r:id="rId15" w:history="1">
        <w:r w:rsidRPr="004E68EB">
          <w:rPr>
            <w:rFonts w:eastAsia="Times New Roman" w:cs="Times New Roman"/>
            <w:color w:val="0000FF" w:themeColor="hyperlink"/>
            <w:sz w:val="26"/>
            <w:szCs w:val="26"/>
            <w:u w:val="single"/>
            <w:lang w:eastAsia="pl-PL"/>
          </w:rPr>
          <w:t>www.analizy-rynkowe.pl</w:t>
        </w:r>
      </w:hyperlink>
      <w:r w:rsidRPr="004E68EB">
        <w:rPr>
          <w:rFonts w:eastAsia="Times New Roman" w:cs="Times New Roman"/>
          <w:sz w:val="26"/>
          <w:szCs w:val="26"/>
          <w:lang w:eastAsia="pl-PL"/>
        </w:rPr>
        <w:t xml:space="preserve"> w </w:t>
      </w:r>
      <w:proofErr w:type="gramStart"/>
      <w:r w:rsidRPr="004E68EB">
        <w:rPr>
          <w:rFonts w:eastAsia="Times New Roman" w:cs="Times New Roman"/>
          <w:sz w:val="26"/>
          <w:szCs w:val="26"/>
          <w:lang w:eastAsia="pl-PL"/>
        </w:rPr>
        <w:t>rubryce  ,,Wykres</w:t>
      </w:r>
      <w:proofErr w:type="gramEnd"/>
      <w:r w:rsidRPr="004E68EB">
        <w:rPr>
          <w:rFonts w:eastAsia="Times New Roman" w:cs="Times New Roman"/>
          <w:sz w:val="26"/>
          <w:szCs w:val="26"/>
          <w:lang w:eastAsia="pl-PL"/>
        </w:rPr>
        <w:t xml:space="preserve"> do przemyślenia” w okresie od 21 października do 19 czerwca 2015 roku do 21 października 2015 roku oraz procentowa zmiana indeksu WIG 20 w tym okresie. </w:t>
      </w:r>
    </w:p>
    <w:p w:rsidR="004E68EB" w:rsidRPr="004E68EB" w:rsidRDefault="004E68EB" w:rsidP="004E68EB">
      <w:pPr>
        <w:spacing w:after="0" w:line="240" w:lineRule="auto"/>
        <w:jc w:val="both"/>
        <w:rPr>
          <w:rFonts w:eastAsiaTheme="minorEastAsia" w:cs="Times New Roman"/>
          <w:sz w:val="26"/>
          <w:szCs w:val="26"/>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21.10.2014</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21.10.2015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Akcja spółki </w:t>
            </w:r>
            <w:proofErr w:type="spellStart"/>
            <w:r w:rsidRPr="004E68EB">
              <w:rPr>
                <w:rFonts w:eastAsiaTheme="minorEastAsia"/>
                <w:lang w:eastAsia="pl-PL"/>
              </w:rPr>
              <w:t>Elektrotim</w:t>
            </w:r>
            <w:proofErr w:type="spellEnd"/>
            <w:r w:rsidRPr="004E68EB">
              <w:rPr>
                <w:rFonts w:eastAsiaTheme="minorEastAsia"/>
                <w:lang w:eastAsia="pl-PL"/>
              </w:rPr>
              <w:t xml:space="preserve"> </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8,70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18,66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+ 114,5 %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lang w:eastAsia="pl-PL"/>
              </w:rPr>
              <w:t>Akcja spółki Relpol</w:t>
            </w:r>
          </w:p>
        </w:tc>
        <w:tc>
          <w:tcPr>
            <w:tcW w:w="2302" w:type="dxa"/>
            <w:hideMark/>
          </w:tcPr>
          <w:p w:rsidR="004E68EB" w:rsidRPr="004E68EB" w:rsidRDefault="004E68EB" w:rsidP="00FA3D65">
            <w:pPr>
              <w:jc w:val="center"/>
              <w:rPr>
                <w:rFonts w:eastAsiaTheme="minorEastAsia"/>
                <w:color w:val="000000" w:themeColor="text1"/>
                <w:lang w:eastAsia="pl-PL"/>
              </w:rPr>
            </w:pPr>
            <w:r w:rsidRPr="004E68EB">
              <w:rPr>
                <w:rFonts w:eastAsiaTheme="minorEastAsia"/>
                <w:color w:val="000000" w:themeColor="text1"/>
                <w:lang w:eastAsia="pl-PL"/>
              </w:rPr>
              <w:t xml:space="preserve">6,93 zł. </w:t>
            </w:r>
          </w:p>
        </w:tc>
        <w:tc>
          <w:tcPr>
            <w:tcW w:w="2303" w:type="dxa"/>
            <w:hideMark/>
          </w:tcPr>
          <w:p w:rsidR="004E68EB" w:rsidRPr="004E68EB" w:rsidRDefault="004E68EB" w:rsidP="00FA3D65">
            <w:pPr>
              <w:jc w:val="center"/>
              <w:rPr>
                <w:rFonts w:eastAsiaTheme="minorEastAsia"/>
                <w:color w:val="000000" w:themeColor="text1"/>
                <w:lang w:eastAsia="pl-PL"/>
              </w:rPr>
            </w:pPr>
            <w:r w:rsidRPr="004E68EB">
              <w:rPr>
                <w:rFonts w:eastAsiaTheme="minorEastAsia"/>
                <w:color w:val="000000" w:themeColor="text1"/>
                <w:lang w:eastAsia="pl-PL"/>
              </w:rPr>
              <w:t xml:space="preserve">6,70 zł. </w:t>
            </w:r>
          </w:p>
        </w:tc>
        <w:tc>
          <w:tcPr>
            <w:tcW w:w="1134" w:type="dxa"/>
            <w:hideMark/>
          </w:tcPr>
          <w:p w:rsidR="004E68EB" w:rsidRPr="004E68EB" w:rsidRDefault="004E68EB" w:rsidP="00FA3D65">
            <w:pPr>
              <w:jc w:val="center"/>
              <w:rPr>
                <w:rFonts w:eastAsiaTheme="minorEastAsia"/>
                <w:color w:val="000000" w:themeColor="text1"/>
                <w:lang w:eastAsia="pl-PL"/>
              </w:rPr>
            </w:pPr>
            <w:r w:rsidRPr="004E68EB">
              <w:rPr>
                <w:rFonts w:eastAsiaTheme="minorEastAsia"/>
                <w:color w:val="000000" w:themeColor="text1"/>
                <w:lang w:eastAsia="pl-PL"/>
              </w:rPr>
              <w:t xml:space="preserve">  -3,3 %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Pr>
          <w:p w:rsidR="004E68EB" w:rsidRPr="004E68EB" w:rsidRDefault="004E68EB" w:rsidP="00FA3D65">
            <w:pPr>
              <w:jc w:val="center"/>
              <w:rPr>
                <w:rFonts w:eastAsiaTheme="minorEastAsia"/>
                <w:lang w:eastAsia="pl-PL"/>
              </w:rPr>
            </w:pPr>
          </w:p>
        </w:tc>
        <w:tc>
          <w:tcPr>
            <w:tcW w:w="2303" w:type="dxa"/>
          </w:tcPr>
          <w:p w:rsidR="004E68EB" w:rsidRPr="004E68EB" w:rsidRDefault="004E68EB" w:rsidP="00FA3D65">
            <w:pPr>
              <w:jc w:val="center"/>
              <w:rPr>
                <w:rFonts w:eastAsiaTheme="minorEastAsia"/>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 xml:space="preserve">   + 55,6 %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2 423,77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2 105,65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-13,1 %</w:t>
            </w:r>
          </w:p>
        </w:tc>
      </w:tr>
    </w:tbl>
    <w:p w:rsidR="004E68EB" w:rsidRPr="004E68EB" w:rsidRDefault="004E68EB" w:rsidP="004E68EB">
      <w:pPr>
        <w:spacing w:after="0" w:line="240" w:lineRule="auto"/>
        <w:jc w:val="both"/>
        <w:rPr>
          <w:rFonts w:eastAsiaTheme="minorEastAsia" w:cs="Times New Roman"/>
          <w:lang w:eastAsia="pl-PL"/>
        </w:rPr>
      </w:pPr>
    </w:p>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t xml:space="preserve">Tabela: Procentowa zmiana ceny akcji spółki, której akcje zostały wymienione w siódmym numerze </w:t>
      </w:r>
      <w:proofErr w:type="gramStart"/>
      <w:r w:rsidRPr="004E68EB">
        <w:rPr>
          <w:rFonts w:eastAsia="Times New Roman" w:cs="Times New Roman"/>
          <w:sz w:val="26"/>
          <w:szCs w:val="26"/>
          <w:lang w:eastAsia="pl-PL"/>
        </w:rPr>
        <w:t>,,</w:t>
      </w:r>
      <w:proofErr w:type="gramEnd"/>
      <w:r w:rsidRPr="004E68EB">
        <w:rPr>
          <w:rFonts w:eastAsia="Times New Roman" w:cs="Times New Roman"/>
          <w:sz w:val="26"/>
          <w:szCs w:val="26"/>
          <w:lang w:eastAsia="pl-PL"/>
        </w:rPr>
        <w:t xml:space="preserve">Raportu Tygodniowego” z 27 października 2014 roku w rubryce ,,Wykres do przemyślenia” w okresie od 24 października 2014 roku do 23 października 2015 roku oraz procentowa zmiana indeksu WIG 20 w tym okresie. </w:t>
      </w:r>
    </w:p>
    <w:p w:rsidR="004E68EB" w:rsidRPr="004E68EB" w:rsidRDefault="004E68EB" w:rsidP="004E68EB">
      <w:pPr>
        <w:spacing w:after="0" w:line="240" w:lineRule="auto"/>
        <w:jc w:val="both"/>
        <w:rPr>
          <w:rFonts w:eastAsia="Times New Roman" w:cs="Times New Roman"/>
          <w:sz w:val="26"/>
          <w:szCs w:val="26"/>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24.10.2014</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23.10.2015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Akcja spółki </w:t>
            </w:r>
            <w:proofErr w:type="spellStart"/>
            <w:r w:rsidRPr="004E68EB">
              <w:rPr>
                <w:rFonts w:eastAsiaTheme="minorEastAsia"/>
                <w:lang w:eastAsia="pl-PL"/>
              </w:rPr>
              <w:t>Tesgas</w:t>
            </w:r>
            <w:proofErr w:type="spellEnd"/>
            <w:r w:rsidRPr="004E68EB">
              <w:rPr>
                <w:rFonts w:eastAsiaTheme="minorEastAsia"/>
                <w:lang w:eastAsia="pl-PL"/>
              </w:rPr>
              <w:t xml:space="preserve"> </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4,32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3,70 zł. </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-14,4 %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 xml:space="preserve">  -14,4 %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2 401,13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2 107,43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-13,1 %</w:t>
            </w:r>
          </w:p>
        </w:tc>
      </w:tr>
    </w:tbl>
    <w:p w:rsidR="004E68EB" w:rsidRPr="004E68EB" w:rsidRDefault="004E68EB" w:rsidP="004E68EB">
      <w:pPr>
        <w:spacing w:after="0" w:line="240" w:lineRule="auto"/>
        <w:jc w:val="both"/>
        <w:rPr>
          <w:rFonts w:ascii="Calibri" w:eastAsia="Times New Roman" w:hAnsi="Calibri" w:cs="Times New Roman"/>
          <w:sz w:val="30"/>
          <w:szCs w:val="30"/>
          <w:u w:val="single"/>
          <w:lang w:eastAsia="pl-PL"/>
        </w:rPr>
      </w:pPr>
    </w:p>
    <w:p w:rsidR="004E68EB" w:rsidRPr="004E68EB" w:rsidRDefault="004E68EB" w:rsidP="004E68EB">
      <w:pPr>
        <w:spacing w:after="0" w:line="240" w:lineRule="auto"/>
        <w:jc w:val="both"/>
        <w:rPr>
          <w:rFonts w:eastAsia="Times New Roman" w:cs="Times New Roman"/>
          <w:sz w:val="28"/>
          <w:szCs w:val="28"/>
          <w:lang w:eastAsia="pl-PL"/>
        </w:rPr>
      </w:pPr>
      <w:r w:rsidRPr="004E68EB">
        <w:rPr>
          <w:rFonts w:eastAsia="Times New Roman" w:cs="Times New Roman"/>
          <w:sz w:val="28"/>
          <w:szCs w:val="28"/>
          <w:lang w:eastAsia="pl-PL"/>
        </w:rPr>
        <w:t xml:space="preserve">Tabela: Procentowa zmiana ceny akcji spółki, której akcje zostały wymienione w numerze </w:t>
      </w:r>
      <w:proofErr w:type="gramStart"/>
      <w:r w:rsidRPr="004E68EB">
        <w:rPr>
          <w:rFonts w:eastAsia="Times New Roman" w:cs="Times New Roman"/>
          <w:sz w:val="28"/>
          <w:szCs w:val="28"/>
          <w:lang w:eastAsia="pl-PL"/>
        </w:rPr>
        <w:t>,,</w:t>
      </w:r>
      <w:proofErr w:type="gramEnd"/>
      <w:r w:rsidRPr="004E68EB">
        <w:rPr>
          <w:rFonts w:eastAsia="Times New Roman" w:cs="Times New Roman"/>
          <w:sz w:val="28"/>
          <w:szCs w:val="28"/>
          <w:lang w:eastAsia="pl-PL"/>
        </w:rPr>
        <w:t xml:space="preserve">Raportu Tygodniowego” z 3 listopada 2014 roku w rubryce ,,Wykres do przemyślenia” w okresie od 31 października 2014 roku do 30 października 2015 roku oraz procentowa zmiana indeksu WIG 20 w tym okresie. </w:t>
      </w:r>
    </w:p>
    <w:p w:rsidR="004E68EB" w:rsidRPr="004E68EB" w:rsidRDefault="004E68EB" w:rsidP="004E68EB">
      <w:pPr>
        <w:spacing w:after="0" w:line="240" w:lineRule="auto"/>
        <w:jc w:val="both"/>
        <w:rPr>
          <w:rFonts w:eastAsia="Times New Roman" w:cs="Times New Roman"/>
          <w:sz w:val="28"/>
          <w:szCs w:val="28"/>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31.10.2014</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30.10.2015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Akcja spółki Enea</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16,00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12,83 zł. </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-19,8 %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 xml:space="preserve">  -19,8 %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2 463,68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2 060,03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-16,4 %</w:t>
            </w:r>
          </w:p>
        </w:tc>
      </w:tr>
    </w:tbl>
    <w:p w:rsidR="004E68EB" w:rsidRPr="004E68EB" w:rsidRDefault="004E68EB" w:rsidP="004E68EB">
      <w:pPr>
        <w:spacing w:after="0" w:line="240" w:lineRule="auto"/>
        <w:jc w:val="both"/>
        <w:rPr>
          <w:rFonts w:ascii="Calibri" w:eastAsia="Times New Roman" w:hAnsi="Calibri" w:cs="Times New Roman"/>
          <w:sz w:val="26"/>
          <w:szCs w:val="26"/>
          <w:u w:val="single"/>
          <w:lang w:eastAsia="pl-PL"/>
        </w:rPr>
      </w:pPr>
    </w:p>
    <w:p w:rsidR="004E68EB" w:rsidRPr="004E68EB" w:rsidRDefault="004E68EB" w:rsidP="004E68EB">
      <w:pPr>
        <w:spacing w:after="0" w:line="240" w:lineRule="auto"/>
        <w:jc w:val="both"/>
        <w:rPr>
          <w:rFonts w:eastAsia="Times New Roman" w:cs="Times New Roman"/>
          <w:sz w:val="28"/>
          <w:szCs w:val="28"/>
          <w:lang w:eastAsia="pl-PL"/>
        </w:rPr>
      </w:pPr>
      <w:r w:rsidRPr="004E68EB">
        <w:rPr>
          <w:rFonts w:eastAsia="Times New Roman" w:cs="Times New Roman"/>
          <w:sz w:val="28"/>
          <w:szCs w:val="28"/>
          <w:lang w:eastAsia="pl-PL"/>
        </w:rPr>
        <w:t xml:space="preserve">Tabela: Procentowa zmiana ceny akcji spółki, której akcje zostały wymienione w numerze </w:t>
      </w:r>
      <w:proofErr w:type="gramStart"/>
      <w:r w:rsidRPr="004E68EB">
        <w:rPr>
          <w:rFonts w:eastAsia="Times New Roman" w:cs="Times New Roman"/>
          <w:sz w:val="28"/>
          <w:szCs w:val="28"/>
          <w:lang w:eastAsia="pl-PL"/>
        </w:rPr>
        <w:t>,,</w:t>
      </w:r>
      <w:proofErr w:type="gramEnd"/>
      <w:r w:rsidRPr="004E68EB">
        <w:rPr>
          <w:rFonts w:eastAsia="Times New Roman" w:cs="Times New Roman"/>
          <w:sz w:val="28"/>
          <w:szCs w:val="28"/>
          <w:lang w:eastAsia="pl-PL"/>
        </w:rPr>
        <w:t xml:space="preserve">Raportu Tygodniowego” z 1 grudnia 2014 roku w rubryce ,,Wykres do przemyślenia” w okresie od 28 listopada 2014 roku do 27 listopada 2015 roku oraz procentowa zmiana indeksu WIG 20 w tym okresie. </w:t>
      </w:r>
    </w:p>
    <w:p w:rsidR="004E68EB" w:rsidRPr="004E68EB" w:rsidRDefault="004E68EB" w:rsidP="004E68EB">
      <w:pPr>
        <w:spacing w:after="0" w:line="240" w:lineRule="auto"/>
        <w:jc w:val="both"/>
        <w:rPr>
          <w:rFonts w:eastAsiaTheme="minorEastAsia" w:cs="Times New Roman"/>
          <w:sz w:val="26"/>
          <w:szCs w:val="26"/>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28.11.2014</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27.11.2015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Akcja spółki </w:t>
            </w:r>
            <w:proofErr w:type="spellStart"/>
            <w:r w:rsidRPr="004E68EB">
              <w:rPr>
                <w:rFonts w:eastAsiaTheme="minorEastAsia"/>
                <w:lang w:eastAsia="pl-PL"/>
              </w:rPr>
              <w:t>Procad</w:t>
            </w:r>
            <w:proofErr w:type="spellEnd"/>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1,06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1,84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+73,6 %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+73,6 %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2 416,93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1 936,05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-19,9 %</w:t>
            </w:r>
          </w:p>
        </w:tc>
      </w:tr>
    </w:tbl>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lastRenderedPageBreak/>
        <w:t xml:space="preserve">Tabela: Procentowa zmiana ceny akcji spółki, której akcje zostały umieszczone 2 grudnia na stronie internetowej </w:t>
      </w:r>
      <w:hyperlink r:id="rId16" w:history="1">
        <w:r w:rsidRPr="004E68EB">
          <w:rPr>
            <w:rFonts w:eastAsia="Times New Roman" w:cs="Times New Roman"/>
            <w:color w:val="0000FF" w:themeColor="hyperlink"/>
            <w:sz w:val="26"/>
            <w:szCs w:val="26"/>
            <w:u w:val="single"/>
            <w:lang w:eastAsia="pl-PL"/>
          </w:rPr>
          <w:t>www.analizy-rynkowe.pl</w:t>
        </w:r>
      </w:hyperlink>
      <w:r w:rsidRPr="004E68EB">
        <w:rPr>
          <w:rFonts w:eastAsia="Times New Roman" w:cs="Times New Roman"/>
          <w:sz w:val="26"/>
          <w:szCs w:val="26"/>
          <w:lang w:eastAsia="pl-PL"/>
        </w:rPr>
        <w:t xml:space="preserve"> w </w:t>
      </w:r>
      <w:proofErr w:type="gramStart"/>
      <w:r w:rsidRPr="004E68EB">
        <w:rPr>
          <w:rFonts w:eastAsia="Times New Roman" w:cs="Times New Roman"/>
          <w:sz w:val="26"/>
          <w:szCs w:val="26"/>
          <w:lang w:eastAsia="pl-PL"/>
        </w:rPr>
        <w:t>rubryce  ,,Wykres</w:t>
      </w:r>
      <w:proofErr w:type="gramEnd"/>
      <w:r w:rsidRPr="004E68EB">
        <w:rPr>
          <w:rFonts w:eastAsia="Times New Roman" w:cs="Times New Roman"/>
          <w:sz w:val="26"/>
          <w:szCs w:val="26"/>
          <w:lang w:eastAsia="pl-PL"/>
        </w:rPr>
        <w:t xml:space="preserve"> do przemyślenia” w okresie od 1 grudnia 2014 roku do 1 grudnia 2015 roku procentowa zmiana indeksu WIG 20 w tym okresie. </w:t>
      </w:r>
    </w:p>
    <w:p w:rsidR="004E68EB" w:rsidRPr="004E68EB" w:rsidRDefault="004E68EB" w:rsidP="004E68EB">
      <w:pPr>
        <w:spacing w:after="0" w:line="240" w:lineRule="auto"/>
        <w:jc w:val="both"/>
        <w:rPr>
          <w:rFonts w:eastAsiaTheme="minorEastAsia"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01.12.2014</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01.12.2015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Akcja spółki PKO BP </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37,65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27,20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-27,8 %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-27,8 %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2 417,11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1 923,94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-20,4 %</w:t>
            </w:r>
          </w:p>
        </w:tc>
      </w:tr>
    </w:tbl>
    <w:p w:rsidR="004E68EB" w:rsidRPr="004E68EB" w:rsidRDefault="004E68EB" w:rsidP="004E68EB">
      <w:pPr>
        <w:spacing w:after="0" w:line="240" w:lineRule="auto"/>
        <w:jc w:val="both"/>
        <w:rPr>
          <w:rFonts w:ascii="Calibri" w:eastAsia="Times New Roman" w:hAnsi="Calibri" w:cs="Times New Roman"/>
          <w:sz w:val="26"/>
          <w:szCs w:val="26"/>
          <w:u w:val="single"/>
          <w:lang w:eastAsia="pl-PL"/>
        </w:rPr>
      </w:pPr>
    </w:p>
    <w:p w:rsidR="004E68EB" w:rsidRPr="004E68EB" w:rsidRDefault="004E68EB" w:rsidP="004E68EB">
      <w:pPr>
        <w:spacing w:after="0" w:line="240" w:lineRule="auto"/>
        <w:jc w:val="both"/>
        <w:rPr>
          <w:rFonts w:eastAsia="Times New Roman" w:cs="Times New Roman"/>
          <w:lang w:eastAsia="pl-PL"/>
        </w:rPr>
      </w:pPr>
      <w:r w:rsidRPr="004E68EB">
        <w:rPr>
          <w:rFonts w:eastAsia="Times New Roman" w:cs="Times New Roman"/>
          <w:lang w:eastAsia="pl-PL"/>
        </w:rPr>
        <w:t xml:space="preserve">Tabela: Procentowa zmiana ceny akcji spółki, której akcje zostały wymienione w numerze </w:t>
      </w:r>
      <w:proofErr w:type="gramStart"/>
      <w:r w:rsidRPr="004E68EB">
        <w:rPr>
          <w:rFonts w:eastAsia="Times New Roman" w:cs="Times New Roman"/>
          <w:lang w:eastAsia="pl-PL"/>
        </w:rPr>
        <w:t>,,</w:t>
      </w:r>
      <w:proofErr w:type="gramEnd"/>
      <w:r w:rsidRPr="004E68EB">
        <w:rPr>
          <w:rFonts w:eastAsia="Times New Roman" w:cs="Times New Roman"/>
          <w:lang w:eastAsia="pl-PL"/>
        </w:rPr>
        <w:t xml:space="preserve">Raportu Tygodniowego” z 15 grudnia 2014 roku w rubryce ,,Wykres do przemyślenia” w okresie od 12 grudnia 2014 roku do 11 grudnia 2015 roku oraz procentowa zmiana indeksu WIG 20 w tym okresie. </w:t>
      </w:r>
    </w:p>
    <w:p w:rsidR="004E68EB" w:rsidRPr="004E68EB" w:rsidRDefault="004E68EB" w:rsidP="004E68EB">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12.12.2014</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11.12.2015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Akcja spółki </w:t>
            </w:r>
            <w:proofErr w:type="spellStart"/>
            <w:r w:rsidRPr="004E68EB">
              <w:rPr>
                <w:rFonts w:eastAsiaTheme="minorEastAsia"/>
                <w:lang w:eastAsia="pl-PL"/>
              </w:rPr>
              <w:t>Mercor</w:t>
            </w:r>
            <w:proofErr w:type="spellEnd"/>
            <w:r w:rsidRPr="004E68EB">
              <w:rPr>
                <w:rFonts w:eastAsiaTheme="minorEastAsia"/>
                <w:lang w:eastAsia="pl-PL"/>
              </w:rPr>
              <w:t xml:space="preserve"> </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8,14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8,60 zł. </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+5,7 %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 xml:space="preserve">  +5,7 %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2 360,00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1 757,37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  25,5 %</w:t>
            </w:r>
          </w:p>
        </w:tc>
      </w:tr>
    </w:tbl>
    <w:p w:rsidR="004E68EB" w:rsidRPr="004E68EB" w:rsidRDefault="004E68EB" w:rsidP="004E68EB">
      <w:pPr>
        <w:spacing w:after="0" w:line="240" w:lineRule="auto"/>
        <w:jc w:val="both"/>
        <w:rPr>
          <w:rFonts w:ascii="Calibri" w:eastAsia="Times New Roman" w:hAnsi="Calibri" w:cs="Times New Roman"/>
          <w:sz w:val="70"/>
          <w:szCs w:val="70"/>
          <w:u w:val="single"/>
          <w:lang w:eastAsia="pl-PL"/>
        </w:rPr>
      </w:pPr>
    </w:p>
    <w:p w:rsidR="004E68EB" w:rsidRPr="004E68EB" w:rsidRDefault="004E68EB" w:rsidP="004E68EB">
      <w:pPr>
        <w:spacing w:after="0" w:line="240" w:lineRule="auto"/>
        <w:jc w:val="both"/>
        <w:rPr>
          <w:rFonts w:ascii="Calibri" w:eastAsia="Times New Roman" w:hAnsi="Calibri" w:cs="Times New Roman"/>
          <w:sz w:val="48"/>
          <w:szCs w:val="48"/>
          <w:u w:val="single"/>
          <w:lang w:eastAsia="pl-PL"/>
        </w:rPr>
      </w:pPr>
      <w:r w:rsidRPr="004E68EB">
        <w:rPr>
          <w:rFonts w:ascii="Calibri" w:eastAsia="Times New Roman" w:hAnsi="Calibri" w:cs="Times New Roman"/>
          <w:sz w:val="48"/>
          <w:szCs w:val="48"/>
          <w:u w:val="single"/>
          <w:lang w:eastAsia="pl-PL"/>
        </w:rPr>
        <w:t>Wniosek końcowy z powyższych rozważań brzmi następująco:</w:t>
      </w:r>
    </w:p>
    <w:p w:rsidR="004E68EB" w:rsidRPr="004E68EB" w:rsidRDefault="004E68EB" w:rsidP="004E68EB">
      <w:pPr>
        <w:spacing w:after="0" w:line="240" w:lineRule="auto"/>
        <w:jc w:val="both"/>
        <w:rPr>
          <w:rFonts w:ascii="Calibri" w:eastAsia="Times New Roman" w:hAnsi="Calibri" w:cs="Times New Roman"/>
          <w:color w:val="FF0000"/>
          <w:sz w:val="48"/>
          <w:szCs w:val="48"/>
          <w:u w:val="single"/>
          <w:lang w:eastAsia="pl-PL"/>
        </w:rPr>
      </w:pPr>
    </w:p>
    <w:p w:rsidR="004E68EB" w:rsidRPr="004E68EB" w:rsidRDefault="004E68EB" w:rsidP="004E68EB">
      <w:pPr>
        <w:spacing w:after="0" w:line="240" w:lineRule="auto"/>
        <w:jc w:val="both"/>
        <w:rPr>
          <w:rFonts w:ascii="Calibri" w:eastAsia="Times New Roman" w:hAnsi="Calibri" w:cs="Times New Roman"/>
          <w:b/>
          <w:color w:val="000000" w:themeColor="text1"/>
          <w:sz w:val="54"/>
          <w:szCs w:val="54"/>
          <w:u w:val="single"/>
          <w:lang w:eastAsia="pl-PL"/>
        </w:rPr>
      </w:pPr>
      <w:r w:rsidRPr="004E68EB">
        <w:rPr>
          <w:rFonts w:ascii="Calibri" w:eastAsia="Times New Roman" w:hAnsi="Calibri" w:cs="Times New Roman"/>
          <w:color w:val="000000"/>
          <w:sz w:val="54"/>
          <w:szCs w:val="54"/>
          <w:lang w:eastAsia="pl-PL"/>
        </w:rPr>
        <w:t xml:space="preserve">Średnia procentowa zmiana kursu akcji spółki po wprowadzeniu jej do rubryki </w:t>
      </w:r>
      <w:proofErr w:type="gramStart"/>
      <w:r w:rsidRPr="004E68EB">
        <w:rPr>
          <w:rFonts w:ascii="Calibri" w:eastAsia="Times New Roman" w:hAnsi="Calibri" w:cs="Times New Roman"/>
          <w:b/>
          <w:color w:val="FF0000"/>
          <w:sz w:val="54"/>
          <w:szCs w:val="54"/>
          <w:lang w:eastAsia="pl-PL"/>
        </w:rPr>
        <w:t>,,</w:t>
      </w:r>
      <w:proofErr w:type="gramEnd"/>
      <w:r w:rsidRPr="004E68EB">
        <w:rPr>
          <w:rFonts w:ascii="Calibri" w:eastAsia="Times New Roman" w:hAnsi="Calibri" w:cs="Times New Roman"/>
          <w:b/>
          <w:color w:val="FF0000"/>
          <w:sz w:val="54"/>
          <w:szCs w:val="54"/>
          <w:lang w:eastAsia="pl-PL"/>
        </w:rPr>
        <w:t>Wykres do przemyślenia”</w:t>
      </w:r>
      <w:r w:rsidRPr="004E68EB">
        <w:rPr>
          <w:rFonts w:ascii="Calibri" w:eastAsia="Times New Roman" w:hAnsi="Calibri" w:cs="Times New Roman"/>
          <w:color w:val="000000"/>
          <w:sz w:val="54"/>
          <w:szCs w:val="54"/>
          <w:lang w:eastAsia="pl-PL"/>
        </w:rPr>
        <w:t xml:space="preserve"> w okresie 12 pierwszych miesięcy po jej wprowadzeniu do tej rubryki wynosiła </w:t>
      </w:r>
      <w:r w:rsidRPr="004E68EB">
        <w:rPr>
          <w:rFonts w:ascii="Calibri" w:eastAsia="Times New Roman" w:hAnsi="Calibri" w:cs="Times New Roman"/>
          <w:b/>
          <w:color w:val="FF0000"/>
          <w:sz w:val="54"/>
          <w:szCs w:val="54"/>
          <w:lang w:eastAsia="pl-PL"/>
        </w:rPr>
        <w:t>plus 15,6 %.</w:t>
      </w:r>
      <w:r w:rsidRPr="004E68EB">
        <w:rPr>
          <w:rFonts w:ascii="Calibri" w:eastAsia="Times New Roman" w:hAnsi="Calibri" w:cs="Times New Roman"/>
          <w:color w:val="FF0000"/>
          <w:sz w:val="54"/>
          <w:szCs w:val="54"/>
          <w:lang w:eastAsia="pl-PL"/>
        </w:rPr>
        <w:t xml:space="preserve"> </w:t>
      </w:r>
      <w:r w:rsidRPr="004E68EB">
        <w:rPr>
          <w:rFonts w:ascii="Calibri" w:eastAsia="Times New Roman" w:hAnsi="Calibri" w:cs="Times New Roman"/>
          <w:color w:val="000000" w:themeColor="text1"/>
          <w:sz w:val="54"/>
          <w:szCs w:val="54"/>
          <w:lang w:eastAsia="pl-PL"/>
        </w:rPr>
        <w:t xml:space="preserve">Średnia procentowa zmiana indeksu </w:t>
      </w:r>
      <w:r w:rsidRPr="004E68EB">
        <w:rPr>
          <w:rFonts w:ascii="Calibri" w:eastAsia="Times New Roman" w:hAnsi="Calibri" w:cs="Times New Roman"/>
          <w:color w:val="000000" w:themeColor="text1"/>
          <w:sz w:val="54"/>
          <w:szCs w:val="54"/>
          <w:u w:val="single"/>
          <w:lang w:eastAsia="pl-PL"/>
        </w:rPr>
        <w:t xml:space="preserve">WIG20 </w:t>
      </w:r>
      <w:r w:rsidRPr="004E68EB">
        <w:rPr>
          <w:rFonts w:ascii="Calibri" w:eastAsia="Times New Roman" w:hAnsi="Calibri" w:cs="Times New Roman"/>
          <w:color w:val="000000" w:themeColor="text1"/>
          <w:sz w:val="54"/>
          <w:szCs w:val="54"/>
          <w:lang w:eastAsia="pl-PL"/>
        </w:rPr>
        <w:t xml:space="preserve">w tym okresie wynosiła </w:t>
      </w:r>
      <w:r w:rsidRPr="004E68EB">
        <w:rPr>
          <w:rFonts w:ascii="Calibri" w:eastAsia="Times New Roman" w:hAnsi="Calibri" w:cs="Times New Roman"/>
          <w:b/>
          <w:color w:val="000000" w:themeColor="text1"/>
          <w:sz w:val="54"/>
          <w:szCs w:val="54"/>
          <w:u w:val="single"/>
          <w:lang w:eastAsia="pl-PL"/>
        </w:rPr>
        <w:t xml:space="preserve">minus 15,6 %. </w:t>
      </w:r>
    </w:p>
    <w:p w:rsidR="004E68EB" w:rsidRPr="004E68EB" w:rsidRDefault="004E68EB" w:rsidP="004E68EB">
      <w:pPr>
        <w:shd w:val="clear" w:color="auto" w:fill="FFFF00"/>
        <w:spacing w:after="0" w:line="240" w:lineRule="auto"/>
        <w:jc w:val="center"/>
        <w:rPr>
          <w:rFonts w:eastAsia="Times New Roman" w:cs="Times New Roman"/>
          <w:b/>
          <w:sz w:val="96"/>
          <w:szCs w:val="96"/>
          <w:lang w:eastAsia="pl-PL"/>
        </w:rPr>
      </w:pPr>
      <w:r w:rsidRPr="004E68EB">
        <w:rPr>
          <w:rFonts w:eastAsia="Times New Roman" w:cs="Times New Roman"/>
          <w:b/>
          <w:sz w:val="96"/>
          <w:szCs w:val="96"/>
          <w:lang w:eastAsia="pl-PL"/>
        </w:rPr>
        <w:lastRenderedPageBreak/>
        <w:t xml:space="preserve">Spółki dla których nie można jeszcze obliczyć procentowej zmiany kursu akcji po wprowadzeniu jej do rubryki </w:t>
      </w:r>
      <w:proofErr w:type="gramStart"/>
      <w:r w:rsidRPr="004E68EB">
        <w:rPr>
          <w:rFonts w:eastAsia="Times New Roman" w:cs="Times New Roman"/>
          <w:b/>
          <w:sz w:val="96"/>
          <w:szCs w:val="96"/>
          <w:lang w:eastAsia="pl-PL"/>
        </w:rPr>
        <w:t>,,</w:t>
      </w:r>
      <w:proofErr w:type="gramEnd"/>
      <w:r w:rsidRPr="004E68EB">
        <w:rPr>
          <w:rFonts w:eastAsia="Times New Roman" w:cs="Times New Roman"/>
          <w:b/>
          <w:sz w:val="96"/>
          <w:szCs w:val="96"/>
          <w:lang w:eastAsia="pl-PL"/>
        </w:rPr>
        <w:t xml:space="preserve">Wykres do przemyślenia” w okresie 12 pierwszych miesięcy po jej wprowadzeniu do tej rubryki </w:t>
      </w:r>
    </w:p>
    <w:p w:rsidR="004E68EB" w:rsidRPr="004E68EB" w:rsidRDefault="004E68EB" w:rsidP="004E68EB">
      <w:pPr>
        <w:spacing w:after="0" w:line="240" w:lineRule="auto"/>
        <w:jc w:val="both"/>
        <w:rPr>
          <w:rFonts w:eastAsia="Times New Roman" w:cs="Times New Roman"/>
          <w:b/>
          <w:sz w:val="26"/>
          <w:szCs w:val="26"/>
          <w:lang w:eastAsia="pl-PL"/>
        </w:rPr>
      </w:pPr>
    </w:p>
    <w:p w:rsidR="004E68EB" w:rsidRPr="004E68EB" w:rsidRDefault="004E68EB" w:rsidP="004E68EB">
      <w:pPr>
        <w:spacing w:after="0" w:line="240" w:lineRule="auto"/>
        <w:jc w:val="both"/>
        <w:rPr>
          <w:rFonts w:eastAsia="Times New Roman" w:cs="Times New Roman"/>
          <w:b/>
          <w:sz w:val="26"/>
          <w:szCs w:val="26"/>
          <w:lang w:eastAsia="pl-PL"/>
        </w:rPr>
      </w:pPr>
    </w:p>
    <w:p w:rsidR="004E68EB" w:rsidRPr="004E68EB" w:rsidRDefault="004E68EB" w:rsidP="004E68EB">
      <w:pPr>
        <w:spacing w:after="0" w:line="240" w:lineRule="auto"/>
        <w:jc w:val="center"/>
        <w:rPr>
          <w:rFonts w:eastAsia="Times New Roman" w:cs="Times New Roman"/>
          <w:b/>
          <w:sz w:val="32"/>
          <w:szCs w:val="32"/>
          <w:u w:val="single"/>
          <w:lang w:eastAsia="pl-PL"/>
        </w:rPr>
      </w:pPr>
      <w:r w:rsidRPr="004E68EB">
        <w:rPr>
          <w:rFonts w:eastAsia="Times New Roman" w:cs="Times New Roman"/>
          <w:b/>
          <w:sz w:val="32"/>
          <w:szCs w:val="32"/>
          <w:u w:val="single"/>
          <w:lang w:eastAsia="pl-PL"/>
        </w:rPr>
        <w:t>Obliczenia według stanu na 23 grudnia 2015 roku</w:t>
      </w:r>
    </w:p>
    <w:p w:rsidR="004E68EB" w:rsidRPr="004E68EB" w:rsidRDefault="004E68EB" w:rsidP="004E68EB">
      <w:pPr>
        <w:spacing w:after="0" w:line="240" w:lineRule="auto"/>
        <w:jc w:val="both"/>
        <w:rPr>
          <w:rFonts w:eastAsia="Times New Roman" w:cs="Times New Roman"/>
          <w:lang w:eastAsia="pl-PL"/>
        </w:rPr>
      </w:pPr>
      <w:r w:rsidRPr="004E68EB">
        <w:rPr>
          <w:rFonts w:eastAsia="Times New Roman" w:cs="Times New Roman"/>
          <w:lang w:eastAsia="pl-PL"/>
        </w:rPr>
        <w:lastRenderedPageBreak/>
        <w:t xml:space="preserve">Tabela: Procentowa zmiana ceny akcji spółki, której akcje zostały umieszczone 2 stycznia 2015 roku </w:t>
      </w:r>
      <w:proofErr w:type="gramStart"/>
      <w:r w:rsidRPr="004E68EB">
        <w:rPr>
          <w:rFonts w:eastAsia="Times New Roman" w:cs="Times New Roman"/>
          <w:lang w:eastAsia="pl-PL"/>
        </w:rPr>
        <w:t>na  stronie</w:t>
      </w:r>
      <w:proofErr w:type="gramEnd"/>
      <w:r w:rsidRPr="004E68EB">
        <w:rPr>
          <w:rFonts w:eastAsia="Times New Roman" w:cs="Times New Roman"/>
          <w:lang w:eastAsia="pl-PL"/>
        </w:rPr>
        <w:t xml:space="preserve"> internetowej </w:t>
      </w:r>
      <w:hyperlink r:id="rId17" w:history="1">
        <w:r w:rsidRPr="004E68EB">
          <w:rPr>
            <w:rFonts w:eastAsia="Times New Roman" w:cs="Times New Roman"/>
            <w:color w:val="0000FF" w:themeColor="hyperlink"/>
            <w:u w:val="single"/>
            <w:lang w:eastAsia="pl-PL"/>
          </w:rPr>
          <w:t>www.analizy-rynkowe.pl</w:t>
        </w:r>
      </w:hyperlink>
      <w:r w:rsidRPr="004E68EB">
        <w:rPr>
          <w:rFonts w:eastAsia="Times New Roman" w:cs="Times New Roman"/>
          <w:lang w:eastAsia="pl-PL"/>
        </w:rPr>
        <w:t xml:space="preserve"> w </w:t>
      </w:r>
      <w:proofErr w:type="gramStart"/>
      <w:r w:rsidRPr="004E68EB">
        <w:rPr>
          <w:rFonts w:eastAsia="Times New Roman" w:cs="Times New Roman"/>
          <w:lang w:eastAsia="pl-PL"/>
        </w:rPr>
        <w:t>rubryce  ,,Wykres</w:t>
      </w:r>
      <w:proofErr w:type="gramEnd"/>
      <w:r w:rsidRPr="004E68EB">
        <w:rPr>
          <w:rFonts w:eastAsia="Times New Roman" w:cs="Times New Roman"/>
          <w:lang w:eastAsia="pl-PL"/>
        </w:rPr>
        <w:t xml:space="preserve"> do przemyślenia” w okresie od 30 grudnia 2014 roku do 23 grudnia 2015 roku oraz procentowa zmiana indeksu WIG 20 w tym okresie. </w:t>
      </w:r>
    </w:p>
    <w:p w:rsidR="004E68EB" w:rsidRPr="004E68EB" w:rsidRDefault="004E68EB" w:rsidP="004E68EB">
      <w:pPr>
        <w:spacing w:after="0" w:line="240" w:lineRule="auto"/>
        <w:jc w:val="both"/>
        <w:rPr>
          <w:rFonts w:eastAsiaTheme="minorEastAsia"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30.12.2014</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23.12.2015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Akcja spółki </w:t>
            </w:r>
            <w:proofErr w:type="spellStart"/>
            <w:r w:rsidRPr="004E68EB">
              <w:rPr>
                <w:rFonts w:eastAsiaTheme="minorEastAsia"/>
                <w:lang w:eastAsia="pl-PL"/>
              </w:rPr>
              <w:t>Comarch</w:t>
            </w:r>
            <w:proofErr w:type="spellEnd"/>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115,50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113,25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-1,9 %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-1,9 %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2 315,94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1 879,75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-18,8  %</w:t>
            </w:r>
          </w:p>
        </w:tc>
      </w:tr>
    </w:tbl>
    <w:p w:rsidR="004E68EB" w:rsidRPr="004E68EB" w:rsidRDefault="004E68EB" w:rsidP="004E68EB">
      <w:pPr>
        <w:spacing w:after="0" w:line="240" w:lineRule="auto"/>
        <w:jc w:val="both"/>
        <w:rPr>
          <w:rFonts w:eastAsiaTheme="minorEastAsia" w:cs="Times New Roman"/>
          <w:lang w:eastAsia="pl-PL"/>
        </w:rPr>
      </w:pPr>
      <w:r w:rsidRPr="004E68EB">
        <w:rPr>
          <w:rFonts w:eastAsia="Times New Roman" w:cs="Times New Roman"/>
          <w:lang w:eastAsia="pl-PL"/>
        </w:rPr>
        <w:t xml:space="preserve">Tabela: Procentowa zmiana ceny akcji spółki, której akcje zostały umieszczone 12 stycznia 2015 roku </w:t>
      </w:r>
      <w:proofErr w:type="gramStart"/>
      <w:r w:rsidRPr="004E68EB">
        <w:rPr>
          <w:rFonts w:eastAsia="Times New Roman" w:cs="Times New Roman"/>
          <w:lang w:eastAsia="pl-PL"/>
        </w:rPr>
        <w:t>na  stronie</w:t>
      </w:r>
      <w:proofErr w:type="gramEnd"/>
      <w:r w:rsidRPr="004E68EB">
        <w:rPr>
          <w:rFonts w:eastAsia="Times New Roman" w:cs="Times New Roman"/>
          <w:lang w:eastAsia="pl-PL"/>
        </w:rPr>
        <w:t xml:space="preserve"> internetowej </w:t>
      </w:r>
      <w:hyperlink r:id="rId18" w:history="1">
        <w:r w:rsidRPr="004E68EB">
          <w:rPr>
            <w:rFonts w:eastAsia="Times New Roman" w:cs="Times New Roman"/>
            <w:color w:val="0000FF" w:themeColor="hyperlink"/>
            <w:u w:val="single"/>
            <w:lang w:eastAsia="pl-PL"/>
          </w:rPr>
          <w:t>www.analizy-rynkowe.pl</w:t>
        </w:r>
      </w:hyperlink>
      <w:r w:rsidRPr="004E68EB">
        <w:rPr>
          <w:rFonts w:eastAsia="Times New Roman" w:cs="Times New Roman"/>
          <w:lang w:eastAsia="pl-PL"/>
        </w:rPr>
        <w:t xml:space="preserve"> w </w:t>
      </w:r>
      <w:proofErr w:type="gramStart"/>
      <w:r w:rsidRPr="004E68EB">
        <w:rPr>
          <w:rFonts w:eastAsia="Times New Roman" w:cs="Times New Roman"/>
          <w:lang w:eastAsia="pl-PL"/>
        </w:rPr>
        <w:t>rubryce  ,,Wykres</w:t>
      </w:r>
      <w:proofErr w:type="gramEnd"/>
      <w:r w:rsidRPr="004E68EB">
        <w:rPr>
          <w:rFonts w:eastAsia="Times New Roman" w:cs="Times New Roman"/>
          <w:lang w:eastAsia="pl-PL"/>
        </w:rPr>
        <w:t xml:space="preserve"> do przemyślenia” w okresie od 9 stycznia do 23 grudnia 2015 roku oraz procentowa zmiana indeksu WIG 20 w tym okresie. </w:t>
      </w:r>
    </w:p>
    <w:p w:rsidR="004E68EB" w:rsidRPr="004E68EB" w:rsidRDefault="004E68EB" w:rsidP="004E68EB">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09.01.2015</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23.12.2015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Akcja spółki Muza</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3,34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2,75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-17,7 %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-17,7 %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2 417,11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1 879,75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-22,2 %</w:t>
            </w:r>
          </w:p>
        </w:tc>
      </w:tr>
    </w:tbl>
    <w:p w:rsidR="004E68EB" w:rsidRPr="004E68EB" w:rsidRDefault="004E68EB" w:rsidP="004E68EB">
      <w:pPr>
        <w:spacing w:after="0" w:line="240" w:lineRule="auto"/>
        <w:jc w:val="both"/>
        <w:rPr>
          <w:rFonts w:eastAsiaTheme="minorEastAsia" w:cs="Times New Roman"/>
          <w:lang w:eastAsia="pl-PL"/>
        </w:rPr>
      </w:pPr>
    </w:p>
    <w:p w:rsidR="004E68EB" w:rsidRPr="004E68EB" w:rsidRDefault="004E68EB" w:rsidP="004E68EB">
      <w:pPr>
        <w:spacing w:after="0" w:line="240" w:lineRule="auto"/>
        <w:jc w:val="both"/>
        <w:rPr>
          <w:rFonts w:eastAsiaTheme="minorEastAsia" w:cs="Times New Roman"/>
          <w:lang w:eastAsia="pl-PL"/>
        </w:rPr>
      </w:pPr>
    </w:p>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t xml:space="preserve">Tabela: Procentowa zmiana ceny akcji spółki, której akcje zostały umieszczone 30 stycznia 2015 roku </w:t>
      </w:r>
      <w:proofErr w:type="gramStart"/>
      <w:r w:rsidRPr="004E68EB">
        <w:rPr>
          <w:rFonts w:eastAsia="Times New Roman" w:cs="Times New Roman"/>
          <w:sz w:val="26"/>
          <w:szCs w:val="26"/>
          <w:lang w:eastAsia="pl-PL"/>
        </w:rPr>
        <w:t>na  stronie</w:t>
      </w:r>
      <w:proofErr w:type="gramEnd"/>
      <w:r w:rsidRPr="004E68EB">
        <w:rPr>
          <w:rFonts w:eastAsia="Times New Roman" w:cs="Times New Roman"/>
          <w:sz w:val="26"/>
          <w:szCs w:val="26"/>
          <w:lang w:eastAsia="pl-PL"/>
        </w:rPr>
        <w:t xml:space="preserve"> internetowej </w:t>
      </w:r>
      <w:hyperlink r:id="rId19" w:history="1">
        <w:r w:rsidRPr="004E68EB">
          <w:rPr>
            <w:rFonts w:eastAsia="Times New Roman" w:cs="Times New Roman"/>
            <w:color w:val="0000FF" w:themeColor="hyperlink"/>
            <w:sz w:val="26"/>
            <w:szCs w:val="26"/>
            <w:u w:val="single"/>
            <w:lang w:eastAsia="pl-PL"/>
          </w:rPr>
          <w:t>www.analizy-rynkowe.pl</w:t>
        </w:r>
      </w:hyperlink>
      <w:r w:rsidRPr="004E68EB">
        <w:rPr>
          <w:rFonts w:eastAsia="Times New Roman" w:cs="Times New Roman"/>
          <w:sz w:val="26"/>
          <w:szCs w:val="26"/>
          <w:lang w:eastAsia="pl-PL"/>
        </w:rPr>
        <w:t xml:space="preserve"> w </w:t>
      </w:r>
      <w:proofErr w:type="gramStart"/>
      <w:r w:rsidRPr="004E68EB">
        <w:rPr>
          <w:rFonts w:eastAsia="Times New Roman" w:cs="Times New Roman"/>
          <w:sz w:val="26"/>
          <w:szCs w:val="26"/>
          <w:lang w:eastAsia="pl-PL"/>
        </w:rPr>
        <w:t>rubryce  ,,Wykres</w:t>
      </w:r>
      <w:proofErr w:type="gramEnd"/>
      <w:r w:rsidRPr="004E68EB">
        <w:rPr>
          <w:rFonts w:eastAsia="Times New Roman" w:cs="Times New Roman"/>
          <w:sz w:val="26"/>
          <w:szCs w:val="26"/>
          <w:lang w:eastAsia="pl-PL"/>
        </w:rPr>
        <w:t xml:space="preserve"> do przemyślenia” w okresie od 29 stycznia </w:t>
      </w:r>
      <w:r w:rsidRPr="004E68EB">
        <w:rPr>
          <w:rFonts w:eastAsia="Times New Roman" w:cs="Times New Roman"/>
          <w:lang w:eastAsia="pl-PL"/>
        </w:rPr>
        <w:t xml:space="preserve">do 23 grudnia 2015 roku </w:t>
      </w:r>
      <w:r w:rsidRPr="004E68EB">
        <w:rPr>
          <w:rFonts w:eastAsia="Times New Roman" w:cs="Times New Roman"/>
          <w:sz w:val="26"/>
          <w:szCs w:val="26"/>
          <w:lang w:eastAsia="pl-PL"/>
        </w:rPr>
        <w:t xml:space="preserve">oraz procentowa zmiana indeksu WIG 20 w tym okresie. </w:t>
      </w:r>
    </w:p>
    <w:p w:rsidR="004E68EB" w:rsidRPr="004E68EB" w:rsidRDefault="004E68EB" w:rsidP="004E68EB">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29.01.2015</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23.12.2015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Akcja spółki Lubawa</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1,11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0,72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-35,1 %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-35,1 %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2 417,11 pkt. </w:t>
            </w:r>
          </w:p>
        </w:tc>
        <w:tc>
          <w:tcPr>
            <w:tcW w:w="2303" w:type="dxa"/>
            <w:hideMark/>
          </w:tcPr>
          <w:p w:rsidR="004E68EB" w:rsidRPr="004E68EB" w:rsidRDefault="004E68EB" w:rsidP="00FA3D65">
            <w:pPr>
              <w:jc w:val="center"/>
              <w:rPr>
                <w:rFonts w:eastAsiaTheme="minorEastAsia"/>
                <w:b/>
                <w:lang w:eastAsia="pl-PL"/>
              </w:rPr>
            </w:pPr>
            <w:r w:rsidRPr="004E68EB">
              <w:rPr>
                <w:rFonts w:eastAsiaTheme="minorEastAsia"/>
                <w:lang w:eastAsia="pl-PL"/>
              </w:rPr>
              <w:t>1 879,75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-22,2 %</w:t>
            </w:r>
          </w:p>
        </w:tc>
      </w:tr>
    </w:tbl>
    <w:p w:rsidR="004E68EB" w:rsidRPr="004E68EB" w:rsidRDefault="004E68EB" w:rsidP="004E68EB">
      <w:pPr>
        <w:spacing w:after="0" w:line="240" w:lineRule="auto"/>
        <w:jc w:val="both"/>
        <w:rPr>
          <w:rFonts w:eastAsia="Times New Roman" w:cs="Times New Roman"/>
          <w:lang w:eastAsia="pl-PL"/>
        </w:rPr>
      </w:pPr>
    </w:p>
    <w:p w:rsidR="004E68EB" w:rsidRPr="004E68EB" w:rsidRDefault="004E68EB" w:rsidP="004E68EB">
      <w:pPr>
        <w:spacing w:after="0" w:line="240" w:lineRule="auto"/>
        <w:jc w:val="both"/>
        <w:rPr>
          <w:rFonts w:eastAsia="Times New Roman" w:cs="Times New Roman"/>
          <w:lang w:eastAsia="pl-PL"/>
        </w:rPr>
      </w:pPr>
      <w:r w:rsidRPr="004E68EB">
        <w:rPr>
          <w:rFonts w:eastAsia="Times New Roman" w:cs="Times New Roman"/>
          <w:lang w:eastAsia="pl-PL"/>
        </w:rPr>
        <w:t xml:space="preserve">Tabela: Procentowa zmiana ceny akcji spółki, której akcje zostały umieszczone 10 lutego 2015 roku </w:t>
      </w:r>
      <w:proofErr w:type="gramStart"/>
      <w:r w:rsidRPr="004E68EB">
        <w:rPr>
          <w:rFonts w:eastAsia="Times New Roman" w:cs="Times New Roman"/>
          <w:lang w:eastAsia="pl-PL"/>
        </w:rPr>
        <w:t>na  stronie</w:t>
      </w:r>
      <w:proofErr w:type="gramEnd"/>
      <w:r w:rsidRPr="004E68EB">
        <w:rPr>
          <w:rFonts w:eastAsia="Times New Roman" w:cs="Times New Roman"/>
          <w:lang w:eastAsia="pl-PL"/>
        </w:rPr>
        <w:t xml:space="preserve"> internetowej </w:t>
      </w:r>
      <w:hyperlink r:id="rId20" w:history="1">
        <w:r w:rsidRPr="004E68EB">
          <w:rPr>
            <w:rFonts w:eastAsia="Times New Roman" w:cs="Times New Roman"/>
            <w:color w:val="0000FF" w:themeColor="hyperlink"/>
            <w:u w:val="single"/>
            <w:lang w:eastAsia="pl-PL"/>
          </w:rPr>
          <w:t>www.analizy-rynkowe.pl</w:t>
        </w:r>
      </w:hyperlink>
      <w:r w:rsidRPr="004E68EB">
        <w:rPr>
          <w:rFonts w:eastAsia="Times New Roman" w:cs="Times New Roman"/>
          <w:lang w:eastAsia="pl-PL"/>
        </w:rPr>
        <w:t xml:space="preserve"> w </w:t>
      </w:r>
      <w:proofErr w:type="gramStart"/>
      <w:r w:rsidRPr="004E68EB">
        <w:rPr>
          <w:rFonts w:eastAsia="Times New Roman" w:cs="Times New Roman"/>
          <w:lang w:eastAsia="pl-PL"/>
        </w:rPr>
        <w:t>rubryce  ,,Wykres</w:t>
      </w:r>
      <w:proofErr w:type="gramEnd"/>
      <w:r w:rsidRPr="004E68EB">
        <w:rPr>
          <w:rFonts w:eastAsia="Times New Roman" w:cs="Times New Roman"/>
          <w:lang w:eastAsia="pl-PL"/>
        </w:rPr>
        <w:t xml:space="preserve"> do przemyślenia” w okresie od 9 lutego do 23 grudnia 2015 roku oraz procentowa zmiana indeksu WIG 20 w tym okresie. </w:t>
      </w: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09.02.2015</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23.12.2015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Akcja spółki </w:t>
            </w:r>
            <w:proofErr w:type="spellStart"/>
            <w:r w:rsidRPr="004E68EB">
              <w:rPr>
                <w:rFonts w:eastAsiaTheme="minorEastAsia"/>
                <w:lang w:eastAsia="pl-PL"/>
              </w:rPr>
              <w:t>Atrem</w:t>
            </w:r>
            <w:proofErr w:type="spellEnd"/>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4,50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3,89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-13,6 %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-13,6 %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2 417,11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1 879,75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-19,7%</w:t>
            </w:r>
          </w:p>
        </w:tc>
      </w:tr>
    </w:tbl>
    <w:p w:rsidR="004E68EB" w:rsidRPr="004E68EB" w:rsidRDefault="004E68EB" w:rsidP="004E68EB">
      <w:pPr>
        <w:spacing w:after="0" w:line="240" w:lineRule="auto"/>
        <w:jc w:val="both"/>
        <w:rPr>
          <w:rFonts w:eastAsia="Times New Roman" w:cs="Times New Roman"/>
          <w:lang w:eastAsia="pl-PL"/>
        </w:rPr>
      </w:pPr>
      <w:r w:rsidRPr="004E68EB">
        <w:rPr>
          <w:rFonts w:eastAsia="Times New Roman" w:cs="Times New Roman"/>
          <w:lang w:eastAsia="pl-PL"/>
        </w:rPr>
        <w:t xml:space="preserve">Tabela: Procentowa zmiana ceny akcji spółki, której akcje zostały umieszczone 3 marca 2015 roku </w:t>
      </w:r>
      <w:proofErr w:type="gramStart"/>
      <w:r w:rsidRPr="004E68EB">
        <w:rPr>
          <w:rFonts w:eastAsia="Times New Roman" w:cs="Times New Roman"/>
          <w:lang w:eastAsia="pl-PL"/>
        </w:rPr>
        <w:t>na  stronie</w:t>
      </w:r>
      <w:proofErr w:type="gramEnd"/>
      <w:r w:rsidRPr="004E68EB">
        <w:rPr>
          <w:rFonts w:eastAsia="Times New Roman" w:cs="Times New Roman"/>
          <w:lang w:eastAsia="pl-PL"/>
        </w:rPr>
        <w:t xml:space="preserve"> internetowej </w:t>
      </w:r>
      <w:hyperlink r:id="rId21" w:history="1">
        <w:r w:rsidRPr="004E68EB">
          <w:rPr>
            <w:rFonts w:eastAsia="Times New Roman" w:cs="Times New Roman"/>
            <w:color w:val="0000FF" w:themeColor="hyperlink"/>
            <w:u w:val="single"/>
            <w:lang w:eastAsia="pl-PL"/>
          </w:rPr>
          <w:t>www.analizy-rynkowe.pl</w:t>
        </w:r>
      </w:hyperlink>
      <w:r w:rsidRPr="004E68EB">
        <w:rPr>
          <w:rFonts w:eastAsia="Times New Roman" w:cs="Times New Roman"/>
          <w:lang w:eastAsia="pl-PL"/>
        </w:rPr>
        <w:t xml:space="preserve"> w </w:t>
      </w:r>
      <w:proofErr w:type="gramStart"/>
      <w:r w:rsidRPr="004E68EB">
        <w:rPr>
          <w:rFonts w:eastAsia="Times New Roman" w:cs="Times New Roman"/>
          <w:lang w:eastAsia="pl-PL"/>
        </w:rPr>
        <w:t>rubryce  ,,Wykres</w:t>
      </w:r>
      <w:proofErr w:type="gramEnd"/>
      <w:r w:rsidRPr="004E68EB">
        <w:rPr>
          <w:rFonts w:eastAsia="Times New Roman" w:cs="Times New Roman"/>
          <w:lang w:eastAsia="pl-PL"/>
        </w:rPr>
        <w:t xml:space="preserve"> do przemyślenia” w okresie od 2 marca do 23 grudnia 2015 roku oraz procentowa zmiana indeksu WIG 20 w tym okresie. </w:t>
      </w:r>
    </w:p>
    <w:p w:rsidR="004E68EB" w:rsidRPr="004E68EB" w:rsidRDefault="004E68EB" w:rsidP="004E68EB">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02.03.2015</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23.12.2015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Akcja spółki Mostostal Warszawa</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7,57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13,00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+71,7 %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+71,7 %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2 358,25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1 879,75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-20,3 %</w:t>
            </w:r>
          </w:p>
        </w:tc>
      </w:tr>
    </w:tbl>
    <w:p w:rsidR="004E68EB" w:rsidRPr="004E68EB" w:rsidRDefault="004E68EB" w:rsidP="004E68EB">
      <w:pPr>
        <w:spacing w:after="0" w:line="240" w:lineRule="auto"/>
        <w:jc w:val="both"/>
        <w:rPr>
          <w:rFonts w:eastAsiaTheme="minorEastAsia" w:cs="Times New Roman"/>
          <w:b/>
          <w:lang w:eastAsia="pl-PL"/>
        </w:rPr>
      </w:pPr>
    </w:p>
    <w:p w:rsidR="004E68EB" w:rsidRPr="004E68EB" w:rsidRDefault="004E68EB" w:rsidP="004E68EB">
      <w:pPr>
        <w:spacing w:after="0" w:line="240" w:lineRule="auto"/>
        <w:jc w:val="both"/>
        <w:rPr>
          <w:rFonts w:eastAsia="Times New Roman" w:cs="Times New Roman"/>
          <w:lang w:eastAsia="pl-PL"/>
        </w:rPr>
      </w:pPr>
      <w:r w:rsidRPr="004E68EB">
        <w:rPr>
          <w:rFonts w:eastAsia="Times New Roman" w:cs="Times New Roman"/>
          <w:lang w:eastAsia="pl-PL"/>
        </w:rPr>
        <w:lastRenderedPageBreak/>
        <w:t xml:space="preserve">Tabela: Procentowa zmiana ceny akcji spółki, której akcje zostały umieszczone 9 kwietnia 2015 roku </w:t>
      </w:r>
      <w:proofErr w:type="gramStart"/>
      <w:r w:rsidRPr="004E68EB">
        <w:rPr>
          <w:rFonts w:eastAsia="Times New Roman" w:cs="Times New Roman"/>
          <w:lang w:eastAsia="pl-PL"/>
        </w:rPr>
        <w:t>na  stronie</w:t>
      </w:r>
      <w:proofErr w:type="gramEnd"/>
      <w:r w:rsidRPr="004E68EB">
        <w:rPr>
          <w:rFonts w:eastAsia="Times New Roman" w:cs="Times New Roman"/>
          <w:lang w:eastAsia="pl-PL"/>
        </w:rPr>
        <w:t xml:space="preserve"> internetowej </w:t>
      </w:r>
      <w:hyperlink r:id="rId22" w:history="1">
        <w:r w:rsidRPr="004E68EB">
          <w:rPr>
            <w:rFonts w:eastAsia="Times New Roman" w:cs="Times New Roman"/>
            <w:color w:val="0000FF" w:themeColor="hyperlink"/>
            <w:u w:val="single"/>
            <w:lang w:eastAsia="pl-PL"/>
          </w:rPr>
          <w:t>www.analizy-rynkowe.pl</w:t>
        </w:r>
      </w:hyperlink>
      <w:r w:rsidRPr="004E68EB">
        <w:rPr>
          <w:rFonts w:eastAsia="Times New Roman" w:cs="Times New Roman"/>
          <w:lang w:eastAsia="pl-PL"/>
        </w:rPr>
        <w:t xml:space="preserve"> w </w:t>
      </w:r>
      <w:proofErr w:type="gramStart"/>
      <w:r w:rsidRPr="004E68EB">
        <w:rPr>
          <w:rFonts w:eastAsia="Times New Roman" w:cs="Times New Roman"/>
          <w:lang w:eastAsia="pl-PL"/>
        </w:rPr>
        <w:t>rubryce  ,,Wykres</w:t>
      </w:r>
      <w:proofErr w:type="gramEnd"/>
      <w:r w:rsidRPr="004E68EB">
        <w:rPr>
          <w:rFonts w:eastAsia="Times New Roman" w:cs="Times New Roman"/>
          <w:lang w:eastAsia="pl-PL"/>
        </w:rPr>
        <w:t xml:space="preserve"> do przemyślenia” w okresie od 8 kwietnia do 23 grudnia 2015 roku oraz procentowa zmiana indeksu WIG 20 w tym okresie. </w:t>
      </w:r>
    </w:p>
    <w:p w:rsidR="004E68EB" w:rsidRPr="004E68EB" w:rsidRDefault="004E68EB" w:rsidP="004E68EB">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08.04.2015</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23.12.2015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Akcja spółki Ceramika Nowa Gala</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1,25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1,20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-4,0 %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-4,0%</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2 424,82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1 879,75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-22,5 %</w:t>
            </w:r>
          </w:p>
        </w:tc>
      </w:tr>
    </w:tbl>
    <w:p w:rsidR="004E68EB" w:rsidRPr="004E68EB" w:rsidRDefault="004E68EB" w:rsidP="004E68EB">
      <w:pPr>
        <w:spacing w:after="0" w:line="240" w:lineRule="auto"/>
        <w:jc w:val="both"/>
        <w:rPr>
          <w:rFonts w:eastAsiaTheme="minorEastAsia" w:cs="Times New Roman"/>
          <w:sz w:val="34"/>
          <w:szCs w:val="34"/>
          <w:lang w:eastAsia="pl-PL"/>
        </w:rPr>
      </w:pPr>
    </w:p>
    <w:p w:rsidR="004E68EB" w:rsidRPr="004E68EB" w:rsidRDefault="004E68EB" w:rsidP="004E68EB">
      <w:pPr>
        <w:spacing w:after="0" w:line="240" w:lineRule="auto"/>
        <w:jc w:val="both"/>
        <w:rPr>
          <w:rFonts w:eastAsia="Times New Roman" w:cs="Times New Roman"/>
          <w:lang w:eastAsia="pl-PL"/>
        </w:rPr>
      </w:pPr>
      <w:r w:rsidRPr="004E68EB">
        <w:rPr>
          <w:rFonts w:eastAsia="Times New Roman" w:cs="Times New Roman"/>
          <w:lang w:eastAsia="pl-PL"/>
        </w:rPr>
        <w:t xml:space="preserve">Tabela: Procentowa zmiana ceny akcji spółki, której akcje zostały umieszczone 5 maja 2015 roku </w:t>
      </w:r>
      <w:proofErr w:type="gramStart"/>
      <w:r w:rsidRPr="004E68EB">
        <w:rPr>
          <w:rFonts w:eastAsia="Times New Roman" w:cs="Times New Roman"/>
          <w:lang w:eastAsia="pl-PL"/>
        </w:rPr>
        <w:t>na  stronie</w:t>
      </w:r>
      <w:proofErr w:type="gramEnd"/>
      <w:r w:rsidRPr="004E68EB">
        <w:rPr>
          <w:rFonts w:eastAsia="Times New Roman" w:cs="Times New Roman"/>
          <w:lang w:eastAsia="pl-PL"/>
        </w:rPr>
        <w:t xml:space="preserve"> internetowej </w:t>
      </w:r>
      <w:hyperlink r:id="rId23" w:history="1">
        <w:r w:rsidRPr="004E68EB">
          <w:rPr>
            <w:rFonts w:eastAsia="Times New Roman" w:cs="Times New Roman"/>
            <w:color w:val="0000FF" w:themeColor="hyperlink"/>
            <w:u w:val="single"/>
            <w:lang w:eastAsia="pl-PL"/>
          </w:rPr>
          <w:t>www.analizy-rynkowe.pl</w:t>
        </w:r>
      </w:hyperlink>
      <w:r w:rsidRPr="004E68EB">
        <w:rPr>
          <w:rFonts w:eastAsia="Times New Roman" w:cs="Times New Roman"/>
          <w:lang w:eastAsia="pl-PL"/>
        </w:rPr>
        <w:t xml:space="preserve"> w </w:t>
      </w:r>
      <w:proofErr w:type="gramStart"/>
      <w:r w:rsidRPr="004E68EB">
        <w:rPr>
          <w:rFonts w:eastAsia="Times New Roman" w:cs="Times New Roman"/>
          <w:lang w:eastAsia="pl-PL"/>
        </w:rPr>
        <w:t>rubryce  ,,Wykres</w:t>
      </w:r>
      <w:proofErr w:type="gramEnd"/>
      <w:r w:rsidRPr="004E68EB">
        <w:rPr>
          <w:rFonts w:eastAsia="Times New Roman" w:cs="Times New Roman"/>
          <w:lang w:eastAsia="pl-PL"/>
        </w:rPr>
        <w:t xml:space="preserve"> do przemyślenia” w okresie od 4 maja do 23 grudnia 2015 roku oraz procentowa zmiana indeksu WIG 20 w tym okresie. </w:t>
      </w: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04.05.2015</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23.12.2015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Akcja spółki Polnord</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11,10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13,15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18,5  %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18,5  %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2 523,09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1 879,75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-25,5 %</w:t>
            </w:r>
          </w:p>
        </w:tc>
      </w:tr>
    </w:tbl>
    <w:p w:rsidR="004E68EB" w:rsidRPr="004E68EB" w:rsidRDefault="004E68EB" w:rsidP="004E68EB">
      <w:pPr>
        <w:spacing w:after="0" w:line="240" w:lineRule="auto"/>
        <w:jc w:val="both"/>
        <w:rPr>
          <w:rFonts w:eastAsia="Times New Roman" w:cs="Times New Roman"/>
          <w:lang w:eastAsia="pl-PL"/>
        </w:rPr>
      </w:pPr>
    </w:p>
    <w:p w:rsidR="004E68EB" w:rsidRPr="004E68EB" w:rsidRDefault="004E68EB" w:rsidP="004E68EB">
      <w:pPr>
        <w:spacing w:after="0" w:line="240" w:lineRule="auto"/>
        <w:jc w:val="both"/>
        <w:rPr>
          <w:rFonts w:eastAsia="Times New Roman" w:cs="Times New Roman"/>
          <w:lang w:eastAsia="pl-PL"/>
        </w:rPr>
      </w:pPr>
      <w:r w:rsidRPr="004E68EB">
        <w:rPr>
          <w:rFonts w:eastAsia="Times New Roman" w:cs="Times New Roman"/>
          <w:lang w:eastAsia="pl-PL"/>
        </w:rPr>
        <w:t xml:space="preserve">Tabela: Procentowa zmiana cen akcji trzech spółek, których akcje zostały umieszczone w dniu 1 lipca na stronie internetowej </w:t>
      </w:r>
      <w:hyperlink r:id="rId24" w:history="1">
        <w:r w:rsidRPr="004E68EB">
          <w:rPr>
            <w:rFonts w:eastAsia="Times New Roman" w:cs="Times New Roman"/>
            <w:color w:val="0000FF" w:themeColor="hyperlink"/>
            <w:u w:val="single"/>
            <w:lang w:eastAsia="pl-PL"/>
          </w:rPr>
          <w:t>http://analizy-rynkowe.pl/</w:t>
        </w:r>
      </w:hyperlink>
      <w:r w:rsidRPr="004E68EB">
        <w:rPr>
          <w:rFonts w:eastAsia="Times New Roman" w:cs="Times New Roman"/>
          <w:lang w:eastAsia="pl-PL"/>
        </w:rPr>
        <w:t xml:space="preserve"> w rubryce </w:t>
      </w:r>
      <w:proofErr w:type="gramStart"/>
      <w:r w:rsidRPr="004E68EB">
        <w:rPr>
          <w:rFonts w:eastAsia="Times New Roman" w:cs="Times New Roman"/>
          <w:lang w:eastAsia="pl-PL"/>
        </w:rPr>
        <w:t>,,</w:t>
      </w:r>
      <w:proofErr w:type="gramEnd"/>
      <w:r w:rsidRPr="004E68EB">
        <w:rPr>
          <w:rFonts w:eastAsia="Times New Roman" w:cs="Times New Roman"/>
          <w:lang w:eastAsia="pl-PL"/>
        </w:rPr>
        <w:t xml:space="preserve">Wykres do przemyślenia” w okresie od 30 czerwca 2015 roku do 23 grudnia 2015 roku oraz procentowa zmiana indeksu WIG 20 w tym okresie. </w:t>
      </w: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30.06.2015</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23.12.2015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Akcja spółki TIM</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9,49 zł.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9,00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-5,2 %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Akcja </w:t>
            </w:r>
            <w:proofErr w:type="gramStart"/>
            <w:r w:rsidRPr="004E68EB">
              <w:rPr>
                <w:rFonts w:eastAsiaTheme="minorEastAsia"/>
                <w:lang w:eastAsia="pl-PL"/>
              </w:rPr>
              <w:t xml:space="preserve">spółki  </w:t>
            </w:r>
            <w:proofErr w:type="spellStart"/>
            <w:r w:rsidRPr="004E68EB">
              <w:rPr>
                <w:rFonts w:eastAsiaTheme="minorEastAsia"/>
                <w:lang w:eastAsia="pl-PL"/>
              </w:rPr>
              <w:t>Unima</w:t>
            </w:r>
            <w:proofErr w:type="spellEnd"/>
            <w:proofErr w:type="gramEnd"/>
            <w:r w:rsidRPr="004E68EB">
              <w:rPr>
                <w:rFonts w:eastAsiaTheme="minorEastAsia"/>
                <w:lang w:eastAsia="pl-PL"/>
              </w:rPr>
              <w:t xml:space="preserve"> 2000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2,58 zł.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2,38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-7,8 %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Akcja spółki </w:t>
            </w:r>
            <w:proofErr w:type="spellStart"/>
            <w:r w:rsidRPr="004E68EB">
              <w:rPr>
                <w:rFonts w:eastAsiaTheme="minorEastAsia"/>
                <w:lang w:eastAsia="pl-PL"/>
              </w:rPr>
              <w:t>Variant</w:t>
            </w:r>
            <w:proofErr w:type="spellEnd"/>
            <w:r w:rsidRPr="004E68EB">
              <w:rPr>
                <w:rFonts w:eastAsiaTheme="minorEastAsia"/>
                <w:lang w:eastAsia="pl-PL"/>
              </w:rPr>
              <w:t xml:space="preserve"> </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1,77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1,68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-5,1  %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 xml:space="preserve">   -6,0  %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2317,84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1 879,75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-18,9 %</w:t>
            </w:r>
          </w:p>
        </w:tc>
      </w:tr>
    </w:tbl>
    <w:p w:rsidR="004E68EB" w:rsidRPr="004E68EB" w:rsidRDefault="004E68EB" w:rsidP="004E68EB">
      <w:pPr>
        <w:spacing w:after="0" w:line="240" w:lineRule="auto"/>
        <w:jc w:val="both"/>
        <w:rPr>
          <w:rFonts w:eastAsia="Times New Roman" w:cs="Times New Roman"/>
          <w:lang w:eastAsia="pl-PL"/>
        </w:rPr>
      </w:pPr>
      <w:r w:rsidRPr="004E68EB">
        <w:rPr>
          <w:rFonts w:eastAsia="Times New Roman" w:cs="Times New Roman"/>
          <w:lang w:eastAsia="pl-PL"/>
        </w:rPr>
        <w:t xml:space="preserve">Tabela: Procentowa zmiana ceny akcji spółki, której akcje zostały umieszczone 21 lipca 2015 roku </w:t>
      </w:r>
      <w:proofErr w:type="gramStart"/>
      <w:r w:rsidRPr="004E68EB">
        <w:rPr>
          <w:rFonts w:eastAsia="Times New Roman" w:cs="Times New Roman"/>
          <w:lang w:eastAsia="pl-PL"/>
        </w:rPr>
        <w:t>na  stronie</w:t>
      </w:r>
      <w:proofErr w:type="gramEnd"/>
      <w:r w:rsidRPr="004E68EB">
        <w:rPr>
          <w:rFonts w:eastAsia="Times New Roman" w:cs="Times New Roman"/>
          <w:lang w:eastAsia="pl-PL"/>
        </w:rPr>
        <w:t xml:space="preserve"> internetowej </w:t>
      </w:r>
      <w:hyperlink r:id="rId25" w:history="1">
        <w:r w:rsidRPr="004E68EB">
          <w:rPr>
            <w:rFonts w:eastAsia="Times New Roman" w:cs="Times New Roman"/>
            <w:color w:val="0000FF" w:themeColor="hyperlink"/>
            <w:u w:val="single"/>
            <w:lang w:eastAsia="pl-PL"/>
          </w:rPr>
          <w:t>www.analizy-rynkowe.pl</w:t>
        </w:r>
      </w:hyperlink>
      <w:r w:rsidRPr="004E68EB">
        <w:rPr>
          <w:rFonts w:eastAsia="Times New Roman" w:cs="Times New Roman"/>
          <w:lang w:eastAsia="pl-PL"/>
        </w:rPr>
        <w:t xml:space="preserve"> w </w:t>
      </w:r>
      <w:proofErr w:type="gramStart"/>
      <w:r w:rsidRPr="004E68EB">
        <w:rPr>
          <w:rFonts w:eastAsia="Times New Roman" w:cs="Times New Roman"/>
          <w:lang w:eastAsia="pl-PL"/>
        </w:rPr>
        <w:t>rubryce  ,,Wykres</w:t>
      </w:r>
      <w:proofErr w:type="gramEnd"/>
      <w:r w:rsidRPr="004E68EB">
        <w:rPr>
          <w:rFonts w:eastAsia="Times New Roman" w:cs="Times New Roman"/>
          <w:lang w:eastAsia="pl-PL"/>
        </w:rPr>
        <w:t xml:space="preserve"> do przemyślenia” w okresie od 21 lipca do 23 grudnia 2015 roku oraz procentowa zmiana indeksu WIG 20 w tym okresie. </w:t>
      </w:r>
    </w:p>
    <w:p w:rsidR="004E68EB" w:rsidRPr="004E68EB" w:rsidRDefault="004E68EB" w:rsidP="004E68EB">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21.07.2015</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23.12.2015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Akcja spółki Ropczyce </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20,80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20,85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0,2 %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0,2 %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2 444,63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1 879,75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-16,3  %</w:t>
            </w:r>
          </w:p>
        </w:tc>
      </w:tr>
    </w:tbl>
    <w:p w:rsidR="004E68EB" w:rsidRPr="004E68EB" w:rsidRDefault="004E68EB" w:rsidP="004E68EB">
      <w:pPr>
        <w:spacing w:after="0" w:line="240" w:lineRule="auto"/>
        <w:jc w:val="both"/>
        <w:rPr>
          <w:rFonts w:eastAsia="Times New Roman" w:cs="Times New Roman"/>
          <w:lang w:eastAsia="pl-PL"/>
        </w:rPr>
      </w:pPr>
    </w:p>
    <w:p w:rsidR="004E68EB" w:rsidRPr="004E68EB" w:rsidRDefault="004E68EB" w:rsidP="004E68EB">
      <w:pPr>
        <w:spacing w:after="0" w:line="240" w:lineRule="auto"/>
        <w:jc w:val="both"/>
        <w:rPr>
          <w:rFonts w:eastAsia="Times New Roman" w:cs="Times New Roman"/>
          <w:lang w:eastAsia="pl-PL"/>
        </w:rPr>
      </w:pPr>
      <w:r w:rsidRPr="004E68EB">
        <w:rPr>
          <w:rFonts w:eastAsia="Times New Roman" w:cs="Times New Roman"/>
          <w:lang w:eastAsia="pl-PL"/>
        </w:rPr>
        <w:t xml:space="preserve">Tabela: Procentowa zmiana ceny akcji spółki, której akcje zostały umieszczone 23 lipca 2015 roku </w:t>
      </w:r>
      <w:proofErr w:type="gramStart"/>
      <w:r w:rsidRPr="004E68EB">
        <w:rPr>
          <w:rFonts w:eastAsia="Times New Roman" w:cs="Times New Roman"/>
          <w:lang w:eastAsia="pl-PL"/>
        </w:rPr>
        <w:t>na  stronie</w:t>
      </w:r>
      <w:proofErr w:type="gramEnd"/>
      <w:r w:rsidRPr="004E68EB">
        <w:rPr>
          <w:rFonts w:eastAsia="Times New Roman" w:cs="Times New Roman"/>
          <w:lang w:eastAsia="pl-PL"/>
        </w:rPr>
        <w:t xml:space="preserve"> internetowej </w:t>
      </w:r>
      <w:hyperlink r:id="rId26" w:history="1">
        <w:r w:rsidRPr="004E68EB">
          <w:rPr>
            <w:rFonts w:eastAsia="Times New Roman" w:cs="Times New Roman"/>
            <w:color w:val="0000FF" w:themeColor="hyperlink"/>
            <w:u w:val="single"/>
            <w:lang w:eastAsia="pl-PL"/>
          </w:rPr>
          <w:t>www.analizy-rynkowe.pl</w:t>
        </w:r>
      </w:hyperlink>
      <w:r w:rsidRPr="004E68EB">
        <w:rPr>
          <w:rFonts w:eastAsia="Times New Roman" w:cs="Times New Roman"/>
          <w:lang w:eastAsia="pl-PL"/>
        </w:rPr>
        <w:t xml:space="preserve"> w </w:t>
      </w:r>
      <w:proofErr w:type="gramStart"/>
      <w:r w:rsidRPr="004E68EB">
        <w:rPr>
          <w:rFonts w:eastAsia="Times New Roman" w:cs="Times New Roman"/>
          <w:lang w:eastAsia="pl-PL"/>
        </w:rPr>
        <w:t>rubryce  ,,Wykres</w:t>
      </w:r>
      <w:proofErr w:type="gramEnd"/>
      <w:r w:rsidRPr="004E68EB">
        <w:rPr>
          <w:rFonts w:eastAsia="Times New Roman" w:cs="Times New Roman"/>
          <w:lang w:eastAsia="pl-PL"/>
        </w:rPr>
        <w:t xml:space="preserve"> do przemyślenia” w okresie od 22 lipca do 23 grudnia 2015 roku oraz procentowa zmiana indeksu WIG 20 w tym okresie. </w:t>
      </w:r>
    </w:p>
    <w:p w:rsidR="004E68EB" w:rsidRPr="004E68EB" w:rsidRDefault="004E68EB" w:rsidP="004E68EB">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22.07.2015</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23.12.2015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Akcja spółki Eurocash</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41,26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51,30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24,3 %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24,3 %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2 185,83 pkt. </w:t>
            </w:r>
          </w:p>
        </w:tc>
        <w:tc>
          <w:tcPr>
            <w:tcW w:w="2303" w:type="dxa"/>
            <w:hideMark/>
          </w:tcPr>
          <w:p w:rsidR="004E68EB" w:rsidRPr="004E68EB" w:rsidRDefault="004E68EB" w:rsidP="00FA3D65">
            <w:pPr>
              <w:jc w:val="center"/>
              <w:rPr>
                <w:rFonts w:eastAsiaTheme="minorEastAsia"/>
                <w:b/>
                <w:lang w:eastAsia="pl-PL"/>
              </w:rPr>
            </w:pPr>
            <w:r w:rsidRPr="004E68EB">
              <w:rPr>
                <w:rFonts w:eastAsiaTheme="minorEastAsia"/>
                <w:lang w:eastAsia="pl-PL"/>
              </w:rPr>
              <w:t>1 879,75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-14,0 %</w:t>
            </w:r>
          </w:p>
        </w:tc>
      </w:tr>
    </w:tbl>
    <w:p w:rsidR="004E68EB" w:rsidRPr="004E68EB" w:rsidRDefault="004E68EB" w:rsidP="004E68EB">
      <w:pPr>
        <w:spacing w:after="0" w:line="240" w:lineRule="auto"/>
        <w:jc w:val="both"/>
        <w:rPr>
          <w:rFonts w:eastAsia="Times New Roman" w:cs="Times New Roman"/>
          <w:lang w:eastAsia="pl-PL"/>
        </w:rPr>
      </w:pPr>
    </w:p>
    <w:p w:rsidR="004E68EB" w:rsidRPr="004E68EB" w:rsidRDefault="004E68EB" w:rsidP="004E68EB">
      <w:pPr>
        <w:spacing w:after="0" w:line="240" w:lineRule="auto"/>
        <w:jc w:val="both"/>
        <w:rPr>
          <w:rFonts w:eastAsia="Times New Roman" w:cs="Times New Roman"/>
          <w:lang w:eastAsia="pl-PL"/>
        </w:rPr>
      </w:pPr>
      <w:r w:rsidRPr="004E68EB">
        <w:rPr>
          <w:rFonts w:eastAsia="Times New Roman" w:cs="Times New Roman"/>
          <w:lang w:eastAsia="pl-PL"/>
        </w:rPr>
        <w:lastRenderedPageBreak/>
        <w:t xml:space="preserve">Tabela: Procentowa zmiana ceny akcji spółki, której akcje zostały umieszczone 23 lipca 2015 roku </w:t>
      </w:r>
      <w:proofErr w:type="gramStart"/>
      <w:r w:rsidRPr="004E68EB">
        <w:rPr>
          <w:rFonts w:eastAsia="Times New Roman" w:cs="Times New Roman"/>
          <w:lang w:eastAsia="pl-PL"/>
        </w:rPr>
        <w:t>na  stronie</w:t>
      </w:r>
      <w:proofErr w:type="gramEnd"/>
      <w:r w:rsidRPr="004E68EB">
        <w:rPr>
          <w:rFonts w:eastAsia="Times New Roman" w:cs="Times New Roman"/>
          <w:lang w:eastAsia="pl-PL"/>
        </w:rPr>
        <w:t xml:space="preserve"> internetowej </w:t>
      </w:r>
      <w:hyperlink r:id="rId27" w:history="1">
        <w:r w:rsidRPr="004E68EB">
          <w:rPr>
            <w:rFonts w:eastAsia="Times New Roman" w:cs="Times New Roman"/>
            <w:color w:val="0000FF" w:themeColor="hyperlink"/>
            <w:u w:val="single"/>
            <w:lang w:eastAsia="pl-PL"/>
          </w:rPr>
          <w:t>www.analizy-rynkowe.pl</w:t>
        </w:r>
      </w:hyperlink>
      <w:r w:rsidRPr="004E68EB">
        <w:rPr>
          <w:rFonts w:eastAsia="Times New Roman" w:cs="Times New Roman"/>
          <w:lang w:eastAsia="pl-PL"/>
        </w:rPr>
        <w:t xml:space="preserve"> w </w:t>
      </w:r>
      <w:proofErr w:type="gramStart"/>
      <w:r w:rsidRPr="004E68EB">
        <w:rPr>
          <w:rFonts w:eastAsia="Times New Roman" w:cs="Times New Roman"/>
          <w:lang w:eastAsia="pl-PL"/>
        </w:rPr>
        <w:t>rubryce  ,,Wykres</w:t>
      </w:r>
      <w:proofErr w:type="gramEnd"/>
      <w:r w:rsidRPr="004E68EB">
        <w:rPr>
          <w:rFonts w:eastAsia="Times New Roman" w:cs="Times New Roman"/>
          <w:lang w:eastAsia="pl-PL"/>
        </w:rPr>
        <w:t xml:space="preserve"> do przemyślenia” w okresie od 2 do 23 grudnia 2015 roku oraz procentowa zmiana indeksu WIG 20 w tym okresie. </w:t>
      </w:r>
    </w:p>
    <w:p w:rsidR="004E68EB" w:rsidRPr="004E68EB" w:rsidRDefault="004E68EB" w:rsidP="004E68EB">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02.09.2015</w:t>
            </w:r>
          </w:p>
        </w:tc>
        <w:tc>
          <w:tcPr>
            <w:tcW w:w="2303" w:type="dxa"/>
            <w:hideMark/>
          </w:tcPr>
          <w:p w:rsidR="004E68EB" w:rsidRPr="004E68EB" w:rsidRDefault="004E68EB" w:rsidP="00FA3D65">
            <w:pPr>
              <w:jc w:val="center"/>
              <w:rPr>
                <w:rFonts w:eastAsiaTheme="minorEastAsia"/>
                <w:b/>
                <w:lang w:eastAsia="pl-PL"/>
              </w:rPr>
            </w:pPr>
            <w:r w:rsidRPr="004E68EB">
              <w:rPr>
                <w:rFonts w:eastAsiaTheme="minorEastAsia"/>
                <w:lang w:eastAsia="pl-PL"/>
              </w:rPr>
              <w:t>Poziom – 23.12.2015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Akcja spółki Agora</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11,20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11,60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3,6 %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 xml:space="preserve">  3,6 %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2 107,58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1 879,75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-10,8%</w:t>
            </w:r>
          </w:p>
        </w:tc>
      </w:tr>
    </w:tbl>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t xml:space="preserve">Tabela: Procentowa zmiana ceny akcji spółki, której akcje zostały umieszczone 23 lipca 2015 roku </w:t>
      </w:r>
      <w:proofErr w:type="gramStart"/>
      <w:r w:rsidRPr="004E68EB">
        <w:rPr>
          <w:rFonts w:eastAsia="Times New Roman" w:cs="Times New Roman"/>
          <w:sz w:val="26"/>
          <w:szCs w:val="26"/>
          <w:lang w:eastAsia="pl-PL"/>
        </w:rPr>
        <w:t>na  stronie</w:t>
      </w:r>
      <w:proofErr w:type="gramEnd"/>
      <w:r w:rsidRPr="004E68EB">
        <w:rPr>
          <w:rFonts w:eastAsia="Times New Roman" w:cs="Times New Roman"/>
          <w:sz w:val="26"/>
          <w:szCs w:val="26"/>
          <w:lang w:eastAsia="pl-PL"/>
        </w:rPr>
        <w:t xml:space="preserve"> internetowej </w:t>
      </w:r>
      <w:hyperlink r:id="rId28" w:history="1">
        <w:r w:rsidRPr="004E68EB">
          <w:rPr>
            <w:rFonts w:eastAsia="Times New Roman" w:cs="Times New Roman"/>
            <w:color w:val="0000FF" w:themeColor="hyperlink"/>
            <w:sz w:val="26"/>
            <w:szCs w:val="26"/>
            <w:u w:val="single"/>
            <w:lang w:eastAsia="pl-PL"/>
          </w:rPr>
          <w:t>www.analizy-rynkowe.pl</w:t>
        </w:r>
      </w:hyperlink>
      <w:r w:rsidRPr="004E68EB">
        <w:rPr>
          <w:rFonts w:eastAsia="Times New Roman" w:cs="Times New Roman"/>
          <w:sz w:val="26"/>
          <w:szCs w:val="26"/>
          <w:lang w:eastAsia="pl-PL"/>
        </w:rPr>
        <w:t xml:space="preserve"> w </w:t>
      </w:r>
      <w:proofErr w:type="gramStart"/>
      <w:r w:rsidRPr="004E68EB">
        <w:rPr>
          <w:rFonts w:eastAsia="Times New Roman" w:cs="Times New Roman"/>
          <w:sz w:val="26"/>
          <w:szCs w:val="26"/>
          <w:lang w:eastAsia="pl-PL"/>
        </w:rPr>
        <w:t>rubryce  ,,Wykres</w:t>
      </w:r>
      <w:proofErr w:type="gramEnd"/>
      <w:r w:rsidRPr="004E68EB">
        <w:rPr>
          <w:rFonts w:eastAsia="Times New Roman" w:cs="Times New Roman"/>
          <w:sz w:val="26"/>
          <w:szCs w:val="26"/>
          <w:lang w:eastAsia="pl-PL"/>
        </w:rPr>
        <w:t xml:space="preserve"> do przemyślenia” w okresie od 3 </w:t>
      </w:r>
      <w:r w:rsidRPr="004E68EB">
        <w:rPr>
          <w:rFonts w:eastAsia="Times New Roman" w:cs="Times New Roman"/>
          <w:lang w:eastAsia="pl-PL"/>
        </w:rPr>
        <w:t xml:space="preserve">do 23 grudnia 2015 roku </w:t>
      </w:r>
      <w:r w:rsidRPr="004E68EB">
        <w:rPr>
          <w:rFonts w:eastAsia="Times New Roman" w:cs="Times New Roman"/>
          <w:sz w:val="26"/>
          <w:szCs w:val="26"/>
          <w:lang w:eastAsia="pl-PL"/>
        </w:rPr>
        <w:t xml:space="preserve">oraz procentowa zmiana indeksu WIG 20 w tym okresie. </w:t>
      </w:r>
    </w:p>
    <w:p w:rsidR="004E68EB" w:rsidRPr="004E68EB" w:rsidRDefault="004E68EB" w:rsidP="004E68EB">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03.09.2015</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23.12.2015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Akcja spółki BZWBK</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309,00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283,00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-8,4 %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 xml:space="preserve"> -8,4 %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2 155,07 pkt. </w:t>
            </w:r>
          </w:p>
        </w:tc>
        <w:tc>
          <w:tcPr>
            <w:tcW w:w="2303" w:type="dxa"/>
            <w:hideMark/>
          </w:tcPr>
          <w:p w:rsidR="004E68EB" w:rsidRPr="004E68EB" w:rsidRDefault="004E68EB" w:rsidP="00FA3D65">
            <w:pPr>
              <w:jc w:val="center"/>
              <w:rPr>
                <w:rFonts w:eastAsiaTheme="minorEastAsia"/>
                <w:b/>
                <w:lang w:eastAsia="pl-PL"/>
              </w:rPr>
            </w:pPr>
            <w:r w:rsidRPr="004E68EB">
              <w:rPr>
                <w:rFonts w:eastAsiaTheme="minorEastAsia"/>
                <w:lang w:eastAsia="pl-PL"/>
              </w:rPr>
              <w:t>1 879,75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-12,8 %</w:t>
            </w:r>
          </w:p>
        </w:tc>
      </w:tr>
    </w:tbl>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t xml:space="preserve">Tabela: Procentowa zmiana ceny akcji spółki, której akcje zostały umieszczone 9 października na stronie internetowej </w:t>
      </w:r>
      <w:hyperlink r:id="rId29" w:history="1">
        <w:r w:rsidRPr="004E68EB">
          <w:rPr>
            <w:rFonts w:eastAsia="Times New Roman" w:cs="Times New Roman"/>
            <w:color w:val="0000FF" w:themeColor="hyperlink"/>
            <w:sz w:val="26"/>
            <w:szCs w:val="26"/>
            <w:u w:val="single"/>
            <w:lang w:eastAsia="pl-PL"/>
          </w:rPr>
          <w:t>www.analizy-rynkowe.pl</w:t>
        </w:r>
      </w:hyperlink>
      <w:r w:rsidRPr="004E68EB">
        <w:rPr>
          <w:rFonts w:eastAsia="Times New Roman" w:cs="Times New Roman"/>
          <w:sz w:val="26"/>
          <w:szCs w:val="26"/>
          <w:lang w:eastAsia="pl-PL"/>
        </w:rPr>
        <w:t xml:space="preserve"> w </w:t>
      </w:r>
      <w:proofErr w:type="gramStart"/>
      <w:r w:rsidRPr="004E68EB">
        <w:rPr>
          <w:rFonts w:eastAsia="Times New Roman" w:cs="Times New Roman"/>
          <w:sz w:val="26"/>
          <w:szCs w:val="26"/>
          <w:lang w:eastAsia="pl-PL"/>
        </w:rPr>
        <w:t>rubryce  ,,Wykres</w:t>
      </w:r>
      <w:proofErr w:type="gramEnd"/>
      <w:r w:rsidRPr="004E68EB">
        <w:rPr>
          <w:rFonts w:eastAsia="Times New Roman" w:cs="Times New Roman"/>
          <w:sz w:val="26"/>
          <w:szCs w:val="26"/>
          <w:lang w:eastAsia="pl-PL"/>
        </w:rPr>
        <w:t xml:space="preserve"> do przemyślenia” w okresie od 8 października </w:t>
      </w:r>
      <w:r w:rsidRPr="004E68EB">
        <w:rPr>
          <w:rFonts w:eastAsia="Times New Roman" w:cs="Times New Roman"/>
          <w:lang w:eastAsia="pl-PL"/>
        </w:rPr>
        <w:t xml:space="preserve">do 23 grudnia 2015 roku </w:t>
      </w:r>
      <w:r w:rsidRPr="004E68EB">
        <w:rPr>
          <w:rFonts w:eastAsia="Times New Roman" w:cs="Times New Roman"/>
          <w:sz w:val="26"/>
          <w:szCs w:val="26"/>
          <w:lang w:eastAsia="pl-PL"/>
        </w:rPr>
        <w:t xml:space="preserve">oraz procentowa zmiana indeksu WIG 20 w tym okresie. </w:t>
      </w: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08.10.2015</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23.12.2015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Akcja spółki </w:t>
            </w:r>
            <w:proofErr w:type="spellStart"/>
            <w:r w:rsidRPr="004E68EB">
              <w:rPr>
                <w:rFonts w:eastAsiaTheme="minorEastAsia"/>
                <w:lang w:eastAsia="pl-PL"/>
              </w:rPr>
              <w:t>Netmedia</w:t>
            </w:r>
            <w:proofErr w:type="spellEnd"/>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5,69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5,98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+5,1 %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lang w:eastAsia="pl-PL"/>
              </w:rPr>
              <w:t>Akcja spółki Stalprodukt</w:t>
            </w:r>
          </w:p>
        </w:tc>
        <w:tc>
          <w:tcPr>
            <w:tcW w:w="2302" w:type="dxa"/>
            <w:hideMark/>
          </w:tcPr>
          <w:p w:rsidR="004E68EB" w:rsidRPr="004E68EB" w:rsidRDefault="004E68EB" w:rsidP="00FA3D65">
            <w:pPr>
              <w:jc w:val="center"/>
              <w:rPr>
                <w:rFonts w:eastAsiaTheme="minorEastAsia"/>
                <w:color w:val="000000" w:themeColor="text1"/>
                <w:lang w:eastAsia="pl-PL"/>
              </w:rPr>
            </w:pPr>
            <w:r w:rsidRPr="004E68EB">
              <w:rPr>
                <w:rFonts w:eastAsiaTheme="minorEastAsia"/>
                <w:color w:val="000000" w:themeColor="text1"/>
                <w:lang w:eastAsia="pl-PL"/>
              </w:rPr>
              <w:t xml:space="preserve">312,70 zł. </w:t>
            </w:r>
          </w:p>
        </w:tc>
        <w:tc>
          <w:tcPr>
            <w:tcW w:w="2303" w:type="dxa"/>
            <w:hideMark/>
          </w:tcPr>
          <w:p w:rsidR="004E68EB" w:rsidRPr="004E68EB" w:rsidRDefault="004E68EB" w:rsidP="00FA3D65">
            <w:pPr>
              <w:jc w:val="center"/>
              <w:rPr>
                <w:rFonts w:eastAsiaTheme="minorEastAsia"/>
                <w:color w:val="000000" w:themeColor="text1"/>
                <w:lang w:eastAsia="pl-PL"/>
              </w:rPr>
            </w:pPr>
            <w:r w:rsidRPr="004E68EB">
              <w:rPr>
                <w:rFonts w:eastAsiaTheme="minorEastAsia"/>
                <w:color w:val="000000" w:themeColor="text1"/>
                <w:lang w:eastAsia="pl-PL"/>
              </w:rPr>
              <w:t xml:space="preserve">282,00 zł. </w:t>
            </w:r>
          </w:p>
        </w:tc>
        <w:tc>
          <w:tcPr>
            <w:tcW w:w="1134" w:type="dxa"/>
            <w:hideMark/>
          </w:tcPr>
          <w:p w:rsidR="004E68EB" w:rsidRPr="004E68EB" w:rsidRDefault="004E68EB" w:rsidP="00FA3D65">
            <w:pPr>
              <w:jc w:val="center"/>
              <w:rPr>
                <w:rFonts w:eastAsiaTheme="minorEastAsia"/>
                <w:color w:val="000000" w:themeColor="text1"/>
                <w:lang w:eastAsia="pl-PL"/>
              </w:rPr>
            </w:pPr>
            <w:r w:rsidRPr="004E68EB">
              <w:rPr>
                <w:rFonts w:eastAsiaTheme="minorEastAsia"/>
                <w:color w:val="000000" w:themeColor="text1"/>
                <w:lang w:eastAsia="pl-PL"/>
              </w:rPr>
              <w:t xml:space="preserve">  -9,8 %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Pr>
          <w:p w:rsidR="004E68EB" w:rsidRPr="004E68EB" w:rsidRDefault="004E68EB" w:rsidP="00FA3D65">
            <w:pPr>
              <w:jc w:val="center"/>
              <w:rPr>
                <w:rFonts w:eastAsiaTheme="minorEastAsia"/>
                <w:lang w:eastAsia="pl-PL"/>
              </w:rPr>
            </w:pPr>
          </w:p>
        </w:tc>
        <w:tc>
          <w:tcPr>
            <w:tcW w:w="2303" w:type="dxa"/>
          </w:tcPr>
          <w:p w:rsidR="004E68EB" w:rsidRPr="004E68EB" w:rsidRDefault="004E68EB" w:rsidP="00FA3D65">
            <w:pPr>
              <w:jc w:val="center"/>
              <w:rPr>
                <w:rFonts w:eastAsiaTheme="minorEastAsia"/>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-2,4 %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2 126,48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1 879,75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-11,6 %</w:t>
            </w:r>
          </w:p>
        </w:tc>
      </w:tr>
    </w:tbl>
    <w:p w:rsidR="004E68EB" w:rsidRPr="004E68EB" w:rsidRDefault="004E68EB" w:rsidP="004E68EB">
      <w:pPr>
        <w:spacing w:after="0" w:line="240" w:lineRule="auto"/>
        <w:jc w:val="both"/>
        <w:rPr>
          <w:rFonts w:eastAsia="Times New Roman" w:cs="Times New Roman"/>
          <w:lang w:eastAsia="pl-PL"/>
        </w:rPr>
      </w:pPr>
      <w:r w:rsidRPr="004E68EB">
        <w:rPr>
          <w:rFonts w:eastAsia="Times New Roman" w:cs="Times New Roman"/>
          <w:sz w:val="26"/>
          <w:szCs w:val="26"/>
          <w:lang w:eastAsia="pl-PL"/>
        </w:rPr>
        <w:t xml:space="preserve">Tabela: Procentowa zmiana ceny akcji spółki, której akcje zostały umieszczone 14 października 2015 roku </w:t>
      </w:r>
      <w:proofErr w:type="gramStart"/>
      <w:r w:rsidRPr="004E68EB">
        <w:rPr>
          <w:rFonts w:eastAsia="Times New Roman" w:cs="Times New Roman"/>
          <w:sz w:val="26"/>
          <w:szCs w:val="26"/>
          <w:lang w:eastAsia="pl-PL"/>
        </w:rPr>
        <w:t>na  stronie</w:t>
      </w:r>
      <w:proofErr w:type="gramEnd"/>
      <w:r w:rsidRPr="004E68EB">
        <w:rPr>
          <w:rFonts w:eastAsia="Times New Roman" w:cs="Times New Roman"/>
          <w:sz w:val="26"/>
          <w:szCs w:val="26"/>
          <w:lang w:eastAsia="pl-PL"/>
        </w:rPr>
        <w:t xml:space="preserve"> internetowej </w:t>
      </w:r>
      <w:hyperlink r:id="rId30" w:history="1">
        <w:r w:rsidRPr="004E68EB">
          <w:rPr>
            <w:rFonts w:eastAsia="Times New Roman" w:cs="Times New Roman"/>
            <w:color w:val="0000FF" w:themeColor="hyperlink"/>
            <w:sz w:val="26"/>
            <w:szCs w:val="26"/>
            <w:u w:val="single"/>
            <w:lang w:eastAsia="pl-PL"/>
          </w:rPr>
          <w:t>www.analizy-rynkowe.pl</w:t>
        </w:r>
      </w:hyperlink>
      <w:r w:rsidRPr="004E68EB">
        <w:rPr>
          <w:rFonts w:eastAsia="Times New Roman" w:cs="Times New Roman"/>
          <w:sz w:val="26"/>
          <w:szCs w:val="26"/>
          <w:lang w:eastAsia="pl-PL"/>
        </w:rPr>
        <w:t xml:space="preserve"> w </w:t>
      </w:r>
      <w:proofErr w:type="gramStart"/>
      <w:r w:rsidRPr="004E68EB">
        <w:rPr>
          <w:rFonts w:eastAsia="Times New Roman" w:cs="Times New Roman"/>
          <w:sz w:val="26"/>
          <w:szCs w:val="26"/>
          <w:lang w:eastAsia="pl-PL"/>
        </w:rPr>
        <w:t>rubryce  ,,Wykres</w:t>
      </w:r>
      <w:proofErr w:type="gramEnd"/>
      <w:r w:rsidRPr="004E68EB">
        <w:rPr>
          <w:rFonts w:eastAsia="Times New Roman" w:cs="Times New Roman"/>
          <w:sz w:val="26"/>
          <w:szCs w:val="26"/>
          <w:lang w:eastAsia="pl-PL"/>
        </w:rPr>
        <w:t xml:space="preserve"> do przemyślenia” w okresie od 13 października </w:t>
      </w:r>
      <w:r w:rsidRPr="004E68EB">
        <w:rPr>
          <w:rFonts w:eastAsia="Times New Roman" w:cs="Times New Roman"/>
          <w:lang w:eastAsia="pl-PL"/>
        </w:rPr>
        <w:t xml:space="preserve">do 23 grudnia 2015 roku </w:t>
      </w:r>
      <w:r w:rsidRPr="004E68EB">
        <w:rPr>
          <w:rFonts w:eastAsia="Times New Roman" w:cs="Times New Roman"/>
          <w:sz w:val="26"/>
          <w:szCs w:val="26"/>
          <w:lang w:eastAsia="pl-PL"/>
        </w:rPr>
        <w:t xml:space="preserve">oraz procentowa zmiana indeksu WIG 20 w tym okresie. </w:t>
      </w: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13.10.2015</w:t>
            </w:r>
          </w:p>
        </w:tc>
        <w:tc>
          <w:tcPr>
            <w:tcW w:w="2303" w:type="dxa"/>
            <w:hideMark/>
          </w:tcPr>
          <w:p w:rsidR="004E68EB" w:rsidRPr="004E68EB" w:rsidRDefault="004E68EB" w:rsidP="00FA3D65">
            <w:pPr>
              <w:jc w:val="center"/>
              <w:rPr>
                <w:rFonts w:eastAsiaTheme="minorEastAsia"/>
                <w:b/>
                <w:lang w:eastAsia="pl-PL"/>
              </w:rPr>
            </w:pPr>
            <w:r w:rsidRPr="004E68EB">
              <w:rPr>
                <w:rFonts w:eastAsiaTheme="minorEastAsia"/>
                <w:lang w:eastAsia="pl-PL"/>
              </w:rPr>
              <w:t>Poziom – 23.12.2015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Akcja spółki Cyfrowy Polsat</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24,93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22,29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-10,6 %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 xml:space="preserve">  -10,6 %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2 123,43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1 879,75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-11,5 %</w:t>
            </w:r>
          </w:p>
        </w:tc>
      </w:tr>
    </w:tbl>
    <w:p w:rsidR="004E68EB" w:rsidRPr="004E68EB" w:rsidRDefault="004E68EB" w:rsidP="004E68EB">
      <w:pPr>
        <w:spacing w:after="0" w:line="240" w:lineRule="auto"/>
        <w:jc w:val="both"/>
        <w:rPr>
          <w:rFonts w:eastAsia="Times New Roman" w:cs="Times New Roman"/>
          <w:lang w:eastAsia="pl-PL"/>
        </w:rPr>
      </w:pPr>
      <w:r w:rsidRPr="004E68EB">
        <w:rPr>
          <w:rFonts w:eastAsia="Times New Roman" w:cs="Times New Roman"/>
          <w:lang w:eastAsia="pl-PL"/>
        </w:rPr>
        <w:t xml:space="preserve">Tabela: Procentowa zmiana ceny akcji spółki, której akcje zostały umieszczone 17 października 2015 roku </w:t>
      </w:r>
      <w:proofErr w:type="gramStart"/>
      <w:r w:rsidRPr="004E68EB">
        <w:rPr>
          <w:rFonts w:eastAsia="Times New Roman" w:cs="Times New Roman"/>
          <w:lang w:eastAsia="pl-PL"/>
        </w:rPr>
        <w:t>na  stronie</w:t>
      </w:r>
      <w:proofErr w:type="gramEnd"/>
      <w:r w:rsidRPr="004E68EB">
        <w:rPr>
          <w:rFonts w:eastAsia="Times New Roman" w:cs="Times New Roman"/>
          <w:lang w:eastAsia="pl-PL"/>
        </w:rPr>
        <w:t xml:space="preserve"> internetowej </w:t>
      </w:r>
      <w:hyperlink r:id="rId31" w:history="1">
        <w:r w:rsidRPr="004E68EB">
          <w:rPr>
            <w:rFonts w:eastAsia="Times New Roman" w:cs="Times New Roman"/>
            <w:color w:val="0000FF" w:themeColor="hyperlink"/>
            <w:u w:val="single"/>
            <w:lang w:eastAsia="pl-PL"/>
          </w:rPr>
          <w:t>www.analizy-rynkowe.pl</w:t>
        </w:r>
      </w:hyperlink>
      <w:r w:rsidRPr="004E68EB">
        <w:rPr>
          <w:rFonts w:eastAsia="Times New Roman" w:cs="Times New Roman"/>
          <w:lang w:eastAsia="pl-PL"/>
        </w:rPr>
        <w:t xml:space="preserve"> w </w:t>
      </w:r>
      <w:proofErr w:type="gramStart"/>
      <w:r w:rsidRPr="004E68EB">
        <w:rPr>
          <w:rFonts w:eastAsia="Times New Roman" w:cs="Times New Roman"/>
          <w:lang w:eastAsia="pl-PL"/>
        </w:rPr>
        <w:t>rubryce  ,,Wykres</w:t>
      </w:r>
      <w:proofErr w:type="gramEnd"/>
      <w:r w:rsidRPr="004E68EB">
        <w:rPr>
          <w:rFonts w:eastAsia="Times New Roman" w:cs="Times New Roman"/>
          <w:lang w:eastAsia="pl-PL"/>
        </w:rPr>
        <w:t xml:space="preserve"> do przemyślenia” w okresie od 13 października do 23 grudnia 2015 roku oraz procentowa zmiana indeksu WIG 20 w tym okresie. </w:t>
      </w: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16.10.2015</w:t>
            </w:r>
          </w:p>
        </w:tc>
        <w:tc>
          <w:tcPr>
            <w:tcW w:w="2303" w:type="dxa"/>
            <w:hideMark/>
          </w:tcPr>
          <w:p w:rsidR="004E68EB" w:rsidRPr="004E68EB" w:rsidRDefault="004E68EB" w:rsidP="00FA3D65">
            <w:pPr>
              <w:jc w:val="center"/>
              <w:rPr>
                <w:rFonts w:eastAsiaTheme="minorEastAsia"/>
                <w:b/>
                <w:lang w:eastAsia="pl-PL"/>
              </w:rPr>
            </w:pPr>
            <w:r w:rsidRPr="004E68EB">
              <w:rPr>
                <w:rFonts w:eastAsiaTheme="minorEastAsia"/>
                <w:lang w:eastAsia="pl-PL"/>
              </w:rPr>
              <w:t>Poziom – 23.12.2015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Akcja spółki Dębica</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85,40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89,60</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4,9 %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 xml:space="preserve">  4,9 %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2 121,94 pkt. </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1 879,75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-11,4 %</w:t>
            </w:r>
          </w:p>
        </w:tc>
      </w:tr>
    </w:tbl>
    <w:p w:rsidR="004E68EB" w:rsidRPr="004E68EB" w:rsidRDefault="004E68EB" w:rsidP="004E68EB">
      <w:pPr>
        <w:spacing w:after="0" w:line="240" w:lineRule="auto"/>
        <w:jc w:val="both"/>
        <w:rPr>
          <w:rFonts w:eastAsia="Times New Roman" w:cs="Times New Roman"/>
          <w:lang w:eastAsia="pl-PL"/>
        </w:rPr>
      </w:pPr>
      <w:r w:rsidRPr="004E68EB">
        <w:rPr>
          <w:rFonts w:eastAsia="Times New Roman" w:cs="Times New Roman"/>
          <w:lang w:eastAsia="pl-PL"/>
        </w:rPr>
        <w:lastRenderedPageBreak/>
        <w:t xml:space="preserve">Tabela: Procentowa zmiana ceny akcji spółki, której akcje zostały umieszczone 4 listopada 2015 roku </w:t>
      </w:r>
      <w:proofErr w:type="gramStart"/>
      <w:r w:rsidRPr="004E68EB">
        <w:rPr>
          <w:rFonts w:eastAsia="Times New Roman" w:cs="Times New Roman"/>
          <w:lang w:eastAsia="pl-PL"/>
        </w:rPr>
        <w:t>na  stronie</w:t>
      </w:r>
      <w:proofErr w:type="gramEnd"/>
      <w:r w:rsidRPr="004E68EB">
        <w:rPr>
          <w:rFonts w:eastAsia="Times New Roman" w:cs="Times New Roman"/>
          <w:lang w:eastAsia="pl-PL"/>
        </w:rPr>
        <w:t xml:space="preserve"> internetowej </w:t>
      </w:r>
      <w:hyperlink r:id="rId32" w:history="1">
        <w:r w:rsidRPr="004E68EB">
          <w:rPr>
            <w:rFonts w:eastAsia="Times New Roman" w:cs="Times New Roman"/>
            <w:color w:val="0000FF" w:themeColor="hyperlink"/>
            <w:u w:val="single"/>
            <w:lang w:eastAsia="pl-PL"/>
          </w:rPr>
          <w:t>www.analizy-rynkowe.pl</w:t>
        </w:r>
      </w:hyperlink>
      <w:r w:rsidRPr="004E68EB">
        <w:rPr>
          <w:rFonts w:eastAsia="Times New Roman" w:cs="Times New Roman"/>
          <w:lang w:eastAsia="pl-PL"/>
        </w:rPr>
        <w:t xml:space="preserve"> w </w:t>
      </w:r>
      <w:proofErr w:type="gramStart"/>
      <w:r w:rsidRPr="004E68EB">
        <w:rPr>
          <w:rFonts w:eastAsia="Times New Roman" w:cs="Times New Roman"/>
          <w:lang w:eastAsia="pl-PL"/>
        </w:rPr>
        <w:t>rubryce  ,,Wykres</w:t>
      </w:r>
      <w:proofErr w:type="gramEnd"/>
      <w:r w:rsidRPr="004E68EB">
        <w:rPr>
          <w:rFonts w:eastAsia="Times New Roman" w:cs="Times New Roman"/>
          <w:lang w:eastAsia="pl-PL"/>
        </w:rPr>
        <w:t xml:space="preserve"> do przemyślenia” w okresie od 3 do 23 grudnia 2015 roku oraz procentowa zmiana indeksu WIG 20 w tym okresie. </w:t>
      </w: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03.11.2015</w:t>
            </w:r>
          </w:p>
        </w:tc>
        <w:tc>
          <w:tcPr>
            <w:tcW w:w="2303" w:type="dxa"/>
            <w:hideMark/>
          </w:tcPr>
          <w:p w:rsidR="004E68EB" w:rsidRPr="004E68EB" w:rsidRDefault="004E68EB" w:rsidP="00FA3D65">
            <w:pPr>
              <w:jc w:val="center"/>
              <w:rPr>
                <w:rFonts w:eastAsiaTheme="minorEastAsia"/>
                <w:b/>
                <w:lang w:eastAsia="pl-PL"/>
              </w:rPr>
            </w:pPr>
            <w:r w:rsidRPr="004E68EB">
              <w:rPr>
                <w:rFonts w:eastAsiaTheme="minorEastAsia"/>
                <w:lang w:eastAsia="pl-PL"/>
              </w:rPr>
              <w:t>Poziom – 23.12.2015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Akcja spółki Alta </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2,19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2,30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5,0 %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 xml:space="preserve">  5,0 %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2 061,38 pkt. </w:t>
            </w:r>
          </w:p>
        </w:tc>
        <w:tc>
          <w:tcPr>
            <w:tcW w:w="2303" w:type="dxa"/>
            <w:hideMark/>
          </w:tcPr>
          <w:p w:rsidR="004E68EB" w:rsidRPr="004E68EB" w:rsidRDefault="004E68EB" w:rsidP="00FA3D65">
            <w:pPr>
              <w:jc w:val="center"/>
              <w:rPr>
                <w:rFonts w:eastAsiaTheme="minorEastAsia"/>
                <w:b/>
                <w:lang w:eastAsia="pl-PL"/>
              </w:rPr>
            </w:pPr>
            <w:r w:rsidRPr="004E68EB">
              <w:rPr>
                <w:rFonts w:eastAsiaTheme="minorEastAsia"/>
                <w:lang w:eastAsia="pl-PL"/>
              </w:rPr>
              <w:t>1 879,75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-8,8 %</w:t>
            </w:r>
          </w:p>
        </w:tc>
      </w:tr>
    </w:tbl>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t xml:space="preserve">Tabela: Procentowa zmiana ceny akcji spółki, której akcje zostały umieszczone 30 listopada 2015 roku </w:t>
      </w:r>
      <w:proofErr w:type="gramStart"/>
      <w:r w:rsidRPr="004E68EB">
        <w:rPr>
          <w:rFonts w:eastAsia="Times New Roman" w:cs="Times New Roman"/>
          <w:sz w:val="26"/>
          <w:szCs w:val="26"/>
          <w:lang w:eastAsia="pl-PL"/>
        </w:rPr>
        <w:t>na  stronie</w:t>
      </w:r>
      <w:proofErr w:type="gramEnd"/>
      <w:r w:rsidRPr="004E68EB">
        <w:rPr>
          <w:rFonts w:eastAsia="Times New Roman" w:cs="Times New Roman"/>
          <w:sz w:val="26"/>
          <w:szCs w:val="26"/>
          <w:lang w:eastAsia="pl-PL"/>
        </w:rPr>
        <w:t xml:space="preserve"> internetowej </w:t>
      </w:r>
      <w:hyperlink r:id="rId33" w:history="1">
        <w:r w:rsidRPr="004E68EB">
          <w:rPr>
            <w:rFonts w:eastAsia="Times New Roman" w:cs="Times New Roman"/>
            <w:color w:val="0000FF" w:themeColor="hyperlink"/>
            <w:sz w:val="26"/>
            <w:szCs w:val="26"/>
            <w:u w:val="single"/>
            <w:lang w:eastAsia="pl-PL"/>
          </w:rPr>
          <w:t>www.analizy-rynkowe.pl</w:t>
        </w:r>
      </w:hyperlink>
      <w:r w:rsidRPr="004E68EB">
        <w:rPr>
          <w:rFonts w:eastAsia="Times New Roman" w:cs="Times New Roman"/>
          <w:sz w:val="26"/>
          <w:szCs w:val="26"/>
          <w:lang w:eastAsia="pl-PL"/>
        </w:rPr>
        <w:t xml:space="preserve"> w </w:t>
      </w:r>
      <w:proofErr w:type="gramStart"/>
      <w:r w:rsidRPr="004E68EB">
        <w:rPr>
          <w:rFonts w:eastAsia="Times New Roman" w:cs="Times New Roman"/>
          <w:sz w:val="26"/>
          <w:szCs w:val="26"/>
          <w:lang w:eastAsia="pl-PL"/>
        </w:rPr>
        <w:t>rubryce  ,,Wykres</w:t>
      </w:r>
      <w:proofErr w:type="gramEnd"/>
      <w:r w:rsidRPr="004E68EB">
        <w:rPr>
          <w:rFonts w:eastAsia="Times New Roman" w:cs="Times New Roman"/>
          <w:sz w:val="26"/>
          <w:szCs w:val="26"/>
          <w:lang w:eastAsia="pl-PL"/>
        </w:rPr>
        <w:t xml:space="preserve"> do przemyślenia” w okresie od 30 listopada do 23 grudnia 2015 roku oraz procentowa zmiana indeksu WIG 20 w tym okresie. </w:t>
      </w:r>
    </w:p>
    <w:p w:rsidR="004E68EB" w:rsidRPr="004E68EB" w:rsidRDefault="004E68EB" w:rsidP="004E68EB">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30.11.2015</w:t>
            </w:r>
          </w:p>
        </w:tc>
        <w:tc>
          <w:tcPr>
            <w:tcW w:w="2303" w:type="dxa"/>
            <w:hideMark/>
          </w:tcPr>
          <w:p w:rsidR="004E68EB" w:rsidRPr="004E68EB" w:rsidRDefault="004E68EB" w:rsidP="00FA3D65">
            <w:pPr>
              <w:jc w:val="center"/>
              <w:rPr>
                <w:rFonts w:eastAsiaTheme="minorEastAsia"/>
                <w:b/>
                <w:lang w:eastAsia="pl-PL"/>
              </w:rPr>
            </w:pPr>
            <w:r w:rsidRPr="004E68EB">
              <w:rPr>
                <w:rFonts w:eastAsiaTheme="minorEastAsia"/>
                <w:lang w:eastAsia="pl-PL"/>
              </w:rPr>
              <w:t>Poziom – 23.12.2015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Akcja spółki </w:t>
            </w:r>
            <w:proofErr w:type="spellStart"/>
            <w:r w:rsidRPr="004E68EB">
              <w:rPr>
                <w:rFonts w:eastAsiaTheme="minorEastAsia"/>
                <w:lang w:eastAsia="pl-PL"/>
              </w:rPr>
              <w:t>Asseco</w:t>
            </w:r>
            <w:proofErr w:type="spellEnd"/>
            <w:r w:rsidRPr="004E68EB">
              <w:rPr>
                <w:rFonts w:eastAsiaTheme="minorEastAsia"/>
                <w:lang w:eastAsia="pl-PL"/>
              </w:rPr>
              <w:t xml:space="preserve"> Poland</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58,06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55,81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-3,9 %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 xml:space="preserve">  -3,9 %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1 936,05 pkt. </w:t>
            </w:r>
          </w:p>
        </w:tc>
        <w:tc>
          <w:tcPr>
            <w:tcW w:w="2303" w:type="dxa"/>
            <w:hideMark/>
          </w:tcPr>
          <w:p w:rsidR="004E68EB" w:rsidRPr="004E68EB" w:rsidRDefault="004E68EB" w:rsidP="00FA3D65">
            <w:pPr>
              <w:jc w:val="center"/>
              <w:rPr>
                <w:rFonts w:eastAsiaTheme="minorEastAsia"/>
                <w:b/>
                <w:lang w:eastAsia="pl-PL"/>
              </w:rPr>
            </w:pPr>
            <w:r w:rsidRPr="004E68EB">
              <w:rPr>
                <w:rFonts w:eastAsiaTheme="minorEastAsia"/>
                <w:lang w:eastAsia="pl-PL"/>
              </w:rPr>
              <w:t>1 879,75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-2,9 %</w:t>
            </w:r>
          </w:p>
        </w:tc>
      </w:tr>
    </w:tbl>
    <w:p w:rsidR="004E68EB" w:rsidRPr="004E68EB" w:rsidRDefault="004E68EB" w:rsidP="004E68EB">
      <w:pPr>
        <w:spacing w:after="0" w:line="240" w:lineRule="auto"/>
        <w:jc w:val="both"/>
        <w:rPr>
          <w:rFonts w:eastAsia="Times New Roman" w:cs="Times New Roman"/>
          <w:sz w:val="32"/>
          <w:szCs w:val="32"/>
          <w:lang w:eastAsia="pl-PL"/>
        </w:rPr>
      </w:pPr>
    </w:p>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t xml:space="preserve">Tabela: Procentowa zmiana ceny akcji spółki, której akcje zostały umieszczone 30 listopada 2015 roku </w:t>
      </w:r>
      <w:proofErr w:type="gramStart"/>
      <w:r w:rsidRPr="004E68EB">
        <w:rPr>
          <w:rFonts w:eastAsia="Times New Roman" w:cs="Times New Roman"/>
          <w:sz w:val="26"/>
          <w:szCs w:val="26"/>
          <w:lang w:eastAsia="pl-PL"/>
        </w:rPr>
        <w:t>na  stronie</w:t>
      </w:r>
      <w:proofErr w:type="gramEnd"/>
      <w:r w:rsidRPr="004E68EB">
        <w:rPr>
          <w:rFonts w:eastAsia="Times New Roman" w:cs="Times New Roman"/>
          <w:sz w:val="26"/>
          <w:szCs w:val="26"/>
          <w:lang w:eastAsia="pl-PL"/>
        </w:rPr>
        <w:t xml:space="preserve"> internetowej </w:t>
      </w:r>
      <w:hyperlink r:id="rId34" w:history="1">
        <w:r w:rsidRPr="004E68EB">
          <w:rPr>
            <w:rFonts w:eastAsia="Times New Roman" w:cs="Times New Roman"/>
            <w:color w:val="0000FF" w:themeColor="hyperlink"/>
            <w:sz w:val="26"/>
            <w:szCs w:val="26"/>
            <w:u w:val="single"/>
            <w:lang w:eastAsia="pl-PL"/>
          </w:rPr>
          <w:t>www.analizy-rynkowe.pl</w:t>
        </w:r>
      </w:hyperlink>
      <w:r w:rsidRPr="004E68EB">
        <w:rPr>
          <w:rFonts w:eastAsia="Times New Roman" w:cs="Times New Roman"/>
          <w:sz w:val="26"/>
          <w:szCs w:val="26"/>
          <w:lang w:eastAsia="pl-PL"/>
        </w:rPr>
        <w:t xml:space="preserve"> w </w:t>
      </w:r>
      <w:proofErr w:type="gramStart"/>
      <w:r w:rsidRPr="004E68EB">
        <w:rPr>
          <w:rFonts w:eastAsia="Times New Roman" w:cs="Times New Roman"/>
          <w:sz w:val="26"/>
          <w:szCs w:val="26"/>
          <w:lang w:eastAsia="pl-PL"/>
        </w:rPr>
        <w:t>rubryce  ,,Wykres</w:t>
      </w:r>
      <w:proofErr w:type="gramEnd"/>
      <w:r w:rsidRPr="004E68EB">
        <w:rPr>
          <w:rFonts w:eastAsia="Times New Roman" w:cs="Times New Roman"/>
          <w:sz w:val="26"/>
          <w:szCs w:val="26"/>
          <w:lang w:eastAsia="pl-PL"/>
        </w:rPr>
        <w:t xml:space="preserve"> do przemyślenia” w okresie od 30 listopada do 23 grudnia 2015 roku oraz procentowa zmiana indeksu WIG 20 w tym okresie. </w:t>
      </w:r>
    </w:p>
    <w:p w:rsidR="004E68EB" w:rsidRPr="004E68EB" w:rsidRDefault="004E68EB" w:rsidP="004E68EB">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04.12.2015</w:t>
            </w:r>
          </w:p>
        </w:tc>
        <w:tc>
          <w:tcPr>
            <w:tcW w:w="2303" w:type="dxa"/>
            <w:hideMark/>
          </w:tcPr>
          <w:p w:rsidR="004E68EB" w:rsidRPr="004E68EB" w:rsidRDefault="004E68EB" w:rsidP="00FA3D65">
            <w:pPr>
              <w:jc w:val="center"/>
              <w:rPr>
                <w:rFonts w:eastAsiaTheme="minorEastAsia"/>
                <w:b/>
                <w:lang w:eastAsia="pl-PL"/>
              </w:rPr>
            </w:pPr>
            <w:r w:rsidRPr="004E68EB">
              <w:rPr>
                <w:rFonts w:eastAsiaTheme="minorEastAsia"/>
                <w:lang w:eastAsia="pl-PL"/>
              </w:rPr>
              <w:t>Poziom – 23.12.2015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Akcja spółki </w:t>
            </w:r>
            <w:proofErr w:type="spellStart"/>
            <w:r w:rsidRPr="004E68EB">
              <w:rPr>
                <w:rFonts w:eastAsiaTheme="minorEastAsia"/>
                <w:lang w:eastAsia="pl-PL"/>
              </w:rPr>
              <w:t>PeKaO</w:t>
            </w:r>
            <w:proofErr w:type="spellEnd"/>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139,80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145,85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4,3 %</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 xml:space="preserve">  4,3 %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1 868,24 pkt. </w:t>
            </w:r>
          </w:p>
        </w:tc>
        <w:tc>
          <w:tcPr>
            <w:tcW w:w="2303" w:type="dxa"/>
            <w:hideMark/>
          </w:tcPr>
          <w:p w:rsidR="004E68EB" w:rsidRPr="004E68EB" w:rsidRDefault="004E68EB" w:rsidP="00FA3D65">
            <w:pPr>
              <w:jc w:val="center"/>
              <w:rPr>
                <w:rFonts w:eastAsiaTheme="minorEastAsia"/>
                <w:b/>
                <w:lang w:eastAsia="pl-PL"/>
              </w:rPr>
            </w:pPr>
            <w:r w:rsidRPr="004E68EB">
              <w:rPr>
                <w:rFonts w:eastAsiaTheme="minorEastAsia"/>
                <w:lang w:eastAsia="pl-PL"/>
              </w:rPr>
              <w:t>1 879,75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0,6 %</w:t>
            </w:r>
          </w:p>
        </w:tc>
      </w:tr>
    </w:tbl>
    <w:p w:rsidR="004E68EB" w:rsidRPr="004E68EB" w:rsidRDefault="004E68EB" w:rsidP="004E68EB">
      <w:pPr>
        <w:spacing w:after="0" w:line="240" w:lineRule="auto"/>
        <w:jc w:val="both"/>
        <w:rPr>
          <w:rFonts w:eastAsia="Times New Roman" w:cs="Times New Roman"/>
          <w:sz w:val="26"/>
          <w:szCs w:val="26"/>
          <w:lang w:eastAsia="pl-PL"/>
        </w:rPr>
      </w:pPr>
      <w:r w:rsidRPr="004E68EB">
        <w:rPr>
          <w:rFonts w:eastAsia="Times New Roman" w:cs="Times New Roman"/>
          <w:sz w:val="26"/>
          <w:szCs w:val="26"/>
          <w:lang w:eastAsia="pl-PL"/>
        </w:rPr>
        <w:t xml:space="preserve">Tabela: Procentowa zmiana ceny akcji spółki, której akcje zostały umieszczone 30 listopada 2015 roku </w:t>
      </w:r>
      <w:proofErr w:type="gramStart"/>
      <w:r w:rsidRPr="004E68EB">
        <w:rPr>
          <w:rFonts w:eastAsia="Times New Roman" w:cs="Times New Roman"/>
          <w:sz w:val="26"/>
          <w:szCs w:val="26"/>
          <w:lang w:eastAsia="pl-PL"/>
        </w:rPr>
        <w:t>na  stronie</w:t>
      </w:r>
      <w:proofErr w:type="gramEnd"/>
      <w:r w:rsidRPr="004E68EB">
        <w:rPr>
          <w:rFonts w:eastAsia="Times New Roman" w:cs="Times New Roman"/>
          <w:sz w:val="26"/>
          <w:szCs w:val="26"/>
          <w:lang w:eastAsia="pl-PL"/>
        </w:rPr>
        <w:t xml:space="preserve"> internetowej </w:t>
      </w:r>
      <w:hyperlink r:id="rId35" w:history="1">
        <w:r w:rsidRPr="004E68EB">
          <w:rPr>
            <w:rFonts w:eastAsia="Times New Roman" w:cs="Times New Roman"/>
            <w:color w:val="0000FF" w:themeColor="hyperlink"/>
            <w:sz w:val="26"/>
            <w:szCs w:val="26"/>
            <w:u w:val="single"/>
            <w:lang w:eastAsia="pl-PL"/>
          </w:rPr>
          <w:t>www.analizy-rynkowe.pl</w:t>
        </w:r>
      </w:hyperlink>
      <w:r w:rsidRPr="004E68EB">
        <w:rPr>
          <w:rFonts w:eastAsia="Times New Roman" w:cs="Times New Roman"/>
          <w:sz w:val="26"/>
          <w:szCs w:val="26"/>
          <w:lang w:eastAsia="pl-PL"/>
        </w:rPr>
        <w:t xml:space="preserve"> w </w:t>
      </w:r>
      <w:proofErr w:type="gramStart"/>
      <w:r w:rsidRPr="004E68EB">
        <w:rPr>
          <w:rFonts w:eastAsia="Times New Roman" w:cs="Times New Roman"/>
          <w:sz w:val="26"/>
          <w:szCs w:val="26"/>
          <w:lang w:eastAsia="pl-PL"/>
        </w:rPr>
        <w:t>rubryce  ,,Wykres</w:t>
      </w:r>
      <w:proofErr w:type="gramEnd"/>
      <w:r w:rsidRPr="004E68EB">
        <w:rPr>
          <w:rFonts w:eastAsia="Times New Roman" w:cs="Times New Roman"/>
          <w:sz w:val="26"/>
          <w:szCs w:val="26"/>
          <w:lang w:eastAsia="pl-PL"/>
        </w:rPr>
        <w:t xml:space="preserve"> do przemyślenia” w okresie od 30 listopada do 23 grudnia 2015 roku oraz procentowa zmiana indeksu WIG 20 w tym okresie. </w:t>
      </w:r>
    </w:p>
    <w:p w:rsidR="004E68EB" w:rsidRPr="004E68EB" w:rsidRDefault="004E68EB" w:rsidP="004E68EB">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Instrument finansowy</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Poziom – 04.12.2015</w:t>
            </w:r>
          </w:p>
        </w:tc>
        <w:tc>
          <w:tcPr>
            <w:tcW w:w="2303" w:type="dxa"/>
            <w:hideMark/>
          </w:tcPr>
          <w:p w:rsidR="004E68EB" w:rsidRPr="004E68EB" w:rsidRDefault="004E68EB" w:rsidP="00FA3D65">
            <w:pPr>
              <w:jc w:val="center"/>
              <w:rPr>
                <w:rFonts w:eastAsiaTheme="minorEastAsia"/>
                <w:b/>
                <w:lang w:eastAsia="pl-PL"/>
              </w:rPr>
            </w:pPr>
            <w:r w:rsidRPr="004E68EB">
              <w:rPr>
                <w:rFonts w:eastAsiaTheme="minorEastAsia"/>
                <w:lang w:eastAsia="pl-PL"/>
              </w:rPr>
              <w:t>Poziom – 23.12.2015</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Zmiana (w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Akcja spółki LC </w:t>
            </w:r>
            <w:proofErr w:type="spellStart"/>
            <w:r w:rsidRPr="004E68EB">
              <w:rPr>
                <w:rFonts w:eastAsiaTheme="minorEastAsia"/>
                <w:lang w:eastAsia="pl-PL"/>
              </w:rPr>
              <w:t>Corp</w:t>
            </w:r>
            <w:proofErr w:type="spellEnd"/>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1,62 zł.</w:t>
            </w:r>
          </w:p>
        </w:tc>
        <w:tc>
          <w:tcPr>
            <w:tcW w:w="2303" w:type="dxa"/>
            <w:hideMark/>
          </w:tcPr>
          <w:p w:rsidR="004E68EB" w:rsidRPr="004E68EB" w:rsidRDefault="004E68EB" w:rsidP="00FA3D65">
            <w:pPr>
              <w:jc w:val="center"/>
              <w:rPr>
                <w:rFonts w:eastAsiaTheme="minorEastAsia"/>
                <w:lang w:eastAsia="pl-PL"/>
              </w:rPr>
            </w:pPr>
            <w:r w:rsidRPr="004E68EB">
              <w:rPr>
                <w:rFonts w:eastAsiaTheme="minorEastAsia"/>
                <w:lang w:eastAsia="pl-PL"/>
              </w:rPr>
              <w:t>1,65 zł.</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1,9%</w:t>
            </w:r>
          </w:p>
        </w:tc>
      </w:tr>
      <w:tr w:rsidR="004E68EB" w:rsidRPr="004E68EB" w:rsidTr="00FA3D65">
        <w:tc>
          <w:tcPr>
            <w:tcW w:w="3402"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Średnio</w:t>
            </w:r>
          </w:p>
        </w:tc>
        <w:tc>
          <w:tcPr>
            <w:tcW w:w="2302" w:type="dxa"/>
            <w:tcBorders>
              <w:right w:val="nil"/>
            </w:tcBorders>
          </w:tcPr>
          <w:p w:rsidR="004E68EB" w:rsidRPr="004E68EB" w:rsidRDefault="004E68EB" w:rsidP="00FA3D65">
            <w:pPr>
              <w:jc w:val="center"/>
              <w:rPr>
                <w:rFonts w:eastAsiaTheme="minorEastAsia"/>
                <w:b/>
                <w:color w:val="FF0000"/>
                <w:lang w:eastAsia="pl-PL"/>
              </w:rPr>
            </w:pPr>
          </w:p>
        </w:tc>
        <w:tc>
          <w:tcPr>
            <w:tcW w:w="2303" w:type="dxa"/>
            <w:tcBorders>
              <w:left w:val="nil"/>
            </w:tcBorders>
          </w:tcPr>
          <w:p w:rsidR="004E68EB" w:rsidRPr="004E68EB" w:rsidRDefault="004E68EB" w:rsidP="00FA3D65">
            <w:pPr>
              <w:jc w:val="center"/>
              <w:rPr>
                <w:rFonts w:eastAsiaTheme="minorEastAsia"/>
                <w:b/>
                <w:color w:val="FF0000"/>
                <w:lang w:eastAsia="pl-PL"/>
              </w:rPr>
            </w:pPr>
          </w:p>
        </w:tc>
        <w:tc>
          <w:tcPr>
            <w:tcW w:w="1134" w:type="dxa"/>
            <w:hideMark/>
          </w:tcPr>
          <w:p w:rsidR="004E68EB" w:rsidRPr="004E68EB" w:rsidRDefault="004E68EB" w:rsidP="00FA3D65">
            <w:pPr>
              <w:jc w:val="center"/>
              <w:rPr>
                <w:rFonts w:eastAsiaTheme="minorEastAsia"/>
                <w:b/>
                <w:color w:val="FF0000"/>
                <w:lang w:eastAsia="pl-PL"/>
              </w:rPr>
            </w:pPr>
            <w:r w:rsidRPr="004E68EB">
              <w:rPr>
                <w:rFonts w:eastAsiaTheme="minorEastAsia"/>
                <w:b/>
                <w:color w:val="FF0000"/>
                <w:lang w:eastAsia="pl-PL"/>
              </w:rPr>
              <w:t xml:space="preserve">  1,9 %</w:t>
            </w:r>
          </w:p>
        </w:tc>
      </w:tr>
      <w:tr w:rsidR="004E68EB" w:rsidRPr="004E68EB" w:rsidTr="00FA3D65">
        <w:tc>
          <w:tcPr>
            <w:tcW w:w="3402" w:type="dxa"/>
            <w:hideMark/>
          </w:tcPr>
          <w:p w:rsidR="004E68EB" w:rsidRPr="004E68EB" w:rsidRDefault="004E68EB" w:rsidP="00FA3D65">
            <w:pPr>
              <w:jc w:val="center"/>
              <w:rPr>
                <w:rFonts w:eastAsiaTheme="minorEastAsia"/>
                <w:lang w:eastAsia="pl-PL"/>
              </w:rPr>
            </w:pPr>
            <w:r w:rsidRPr="004E68EB">
              <w:rPr>
                <w:rFonts w:eastAsiaTheme="minorEastAsia"/>
                <w:lang w:eastAsia="pl-PL"/>
              </w:rPr>
              <w:t>WIG 20</w:t>
            </w:r>
          </w:p>
        </w:tc>
        <w:tc>
          <w:tcPr>
            <w:tcW w:w="2302" w:type="dxa"/>
            <w:hideMark/>
          </w:tcPr>
          <w:p w:rsidR="004E68EB" w:rsidRPr="004E68EB" w:rsidRDefault="004E68EB" w:rsidP="00FA3D65">
            <w:pPr>
              <w:jc w:val="center"/>
              <w:rPr>
                <w:rFonts w:eastAsiaTheme="minorEastAsia"/>
                <w:lang w:eastAsia="pl-PL"/>
              </w:rPr>
            </w:pPr>
            <w:r w:rsidRPr="004E68EB">
              <w:rPr>
                <w:rFonts w:eastAsiaTheme="minorEastAsia"/>
                <w:lang w:eastAsia="pl-PL"/>
              </w:rPr>
              <w:t>1 868,24 pkt.</w:t>
            </w:r>
          </w:p>
        </w:tc>
        <w:tc>
          <w:tcPr>
            <w:tcW w:w="2303" w:type="dxa"/>
            <w:hideMark/>
          </w:tcPr>
          <w:p w:rsidR="004E68EB" w:rsidRPr="004E68EB" w:rsidRDefault="004E68EB" w:rsidP="00FA3D65">
            <w:pPr>
              <w:jc w:val="center"/>
              <w:rPr>
                <w:rFonts w:eastAsiaTheme="minorEastAsia"/>
                <w:b/>
                <w:lang w:eastAsia="pl-PL"/>
              </w:rPr>
            </w:pPr>
            <w:r w:rsidRPr="004E68EB">
              <w:rPr>
                <w:rFonts w:eastAsiaTheme="minorEastAsia"/>
                <w:lang w:eastAsia="pl-PL"/>
              </w:rPr>
              <w:t>1 879,75 pkt.</w:t>
            </w:r>
          </w:p>
        </w:tc>
        <w:tc>
          <w:tcPr>
            <w:tcW w:w="1134" w:type="dxa"/>
            <w:hideMark/>
          </w:tcPr>
          <w:p w:rsidR="004E68EB" w:rsidRPr="004E68EB" w:rsidRDefault="004E68EB" w:rsidP="00FA3D65">
            <w:pPr>
              <w:jc w:val="center"/>
              <w:rPr>
                <w:rFonts w:eastAsiaTheme="minorEastAsia"/>
                <w:lang w:eastAsia="pl-PL"/>
              </w:rPr>
            </w:pPr>
            <w:r w:rsidRPr="004E68EB">
              <w:rPr>
                <w:rFonts w:eastAsiaTheme="minorEastAsia"/>
                <w:lang w:eastAsia="pl-PL"/>
              </w:rPr>
              <w:t xml:space="preserve"> -0,5 %</w:t>
            </w:r>
          </w:p>
        </w:tc>
      </w:tr>
    </w:tbl>
    <w:p w:rsidR="004E68EB" w:rsidRPr="004E68EB" w:rsidRDefault="004E68EB" w:rsidP="004E68EB">
      <w:pPr>
        <w:spacing w:after="0" w:line="240" w:lineRule="auto"/>
        <w:jc w:val="both"/>
        <w:rPr>
          <w:rFonts w:eastAsia="Times New Roman" w:cs="Times New Roman"/>
          <w:sz w:val="36"/>
          <w:szCs w:val="36"/>
          <w:u w:val="single"/>
          <w:lang w:eastAsia="pl-PL"/>
        </w:rPr>
      </w:pPr>
      <w:r w:rsidRPr="004E68EB">
        <w:rPr>
          <w:rFonts w:eastAsia="Times New Roman" w:cs="Times New Roman"/>
          <w:sz w:val="36"/>
          <w:szCs w:val="36"/>
          <w:lang w:eastAsia="pl-PL"/>
        </w:rPr>
        <w:t xml:space="preserve">Spółek, </w:t>
      </w:r>
      <w:r w:rsidRPr="004E68EB">
        <w:rPr>
          <w:rFonts w:eastAsia="Times New Roman" w:cs="Times New Roman"/>
          <w:sz w:val="36"/>
          <w:szCs w:val="36"/>
          <w:u w:val="single"/>
          <w:lang w:eastAsia="pl-PL"/>
        </w:rPr>
        <w:t>dla których nie można jeszcze obliczyć</w:t>
      </w:r>
      <w:r w:rsidRPr="004E68EB">
        <w:rPr>
          <w:rFonts w:eastAsia="Times New Roman" w:cs="Times New Roman"/>
          <w:sz w:val="36"/>
          <w:szCs w:val="36"/>
          <w:lang w:eastAsia="pl-PL"/>
        </w:rPr>
        <w:t xml:space="preserve"> procentowej zmiany kursu akcji po wprowadzeniu jej do rubryki </w:t>
      </w:r>
      <w:proofErr w:type="gramStart"/>
      <w:r w:rsidRPr="004E68EB">
        <w:rPr>
          <w:rFonts w:eastAsia="Times New Roman" w:cs="Times New Roman"/>
          <w:sz w:val="36"/>
          <w:szCs w:val="36"/>
          <w:lang w:eastAsia="pl-PL"/>
        </w:rPr>
        <w:t>,,</w:t>
      </w:r>
      <w:proofErr w:type="gramEnd"/>
      <w:r w:rsidRPr="004E68EB">
        <w:rPr>
          <w:rFonts w:eastAsia="Times New Roman" w:cs="Times New Roman"/>
          <w:sz w:val="36"/>
          <w:szCs w:val="36"/>
          <w:lang w:eastAsia="pl-PL"/>
        </w:rPr>
        <w:t xml:space="preserve">Wykres do przemyślenia” w okresie 12 pierwszych miesięcy po jej wprowadzeniu do tej rubryki </w:t>
      </w:r>
      <w:r w:rsidRPr="004E68EB">
        <w:rPr>
          <w:rFonts w:eastAsia="Times New Roman" w:cs="Times New Roman"/>
          <w:sz w:val="36"/>
          <w:szCs w:val="36"/>
          <w:u w:val="single"/>
          <w:lang w:eastAsia="pl-PL"/>
        </w:rPr>
        <w:t xml:space="preserve">jest </w:t>
      </w:r>
      <w:r w:rsidRPr="004E68EB">
        <w:rPr>
          <w:rFonts w:eastAsia="Times New Roman" w:cs="Times New Roman"/>
          <w:b/>
          <w:sz w:val="36"/>
          <w:szCs w:val="36"/>
          <w:u w:val="single"/>
          <w:lang w:eastAsia="pl-PL"/>
        </w:rPr>
        <w:t>23</w:t>
      </w:r>
    </w:p>
    <w:p w:rsidR="004E68EB" w:rsidRPr="004E68EB" w:rsidRDefault="004E68EB" w:rsidP="004E68EB">
      <w:pPr>
        <w:spacing w:after="0" w:line="240" w:lineRule="auto"/>
        <w:jc w:val="both"/>
        <w:rPr>
          <w:rFonts w:eastAsia="Times New Roman" w:cs="Times New Roman"/>
          <w:sz w:val="36"/>
          <w:szCs w:val="36"/>
          <w:u w:val="single"/>
          <w:lang w:eastAsia="pl-PL"/>
        </w:rPr>
      </w:pPr>
    </w:p>
    <w:p w:rsidR="004E68EB" w:rsidRPr="004E68EB" w:rsidRDefault="004E68EB" w:rsidP="004E68EB">
      <w:pPr>
        <w:spacing w:after="0" w:line="240" w:lineRule="auto"/>
        <w:jc w:val="both"/>
        <w:rPr>
          <w:rFonts w:eastAsia="Times New Roman" w:cs="Times New Roman"/>
          <w:sz w:val="36"/>
          <w:szCs w:val="36"/>
          <w:lang w:eastAsia="pl-PL"/>
        </w:rPr>
      </w:pPr>
      <w:r w:rsidRPr="004E68EB">
        <w:rPr>
          <w:rFonts w:eastAsia="Times New Roman" w:cs="Times New Roman"/>
          <w:sz w:val="36"/>
          <w:szCs w:val="36"/>
          <w:lang w:eastAsia="pl-PL"/>
        </w:rPr>
        <w:lastRenderedPageBreak/>
        <w:t xml:space="preserve">W odniesieniu do tej grupy </w:t>
      </w:r>
      <w:r w:rsidRPr="004E68EB">
        <w:rPr>
          <w:rFonts w:eastAsia="Times New Roman" w:cs="Times New Roman"/>
          <w:b/>
          <w:sz w:val="36"/>
          <w:szCs w:val="36"/>
          <w:u w:val="single"/>
          <w:lang w:eastAsia="pl-PL"/>
        </w:rPr>
        <w:t>23 spółek</w:t>
      </w:r>
      <w:r w:rsidRPr="004E68EB">
        <w:rPr>
          <w:rFonts w:eastAsia="Times New Roman" w:cs="Times New Roman"/>
          <w:sz w:val="36"/>
          <w:szCs w:val="36"/>
          <w:lang w:eastAsia="pl-PL"/>
        </w:rPr>
        <w:t xml:space="preserve"> można sformułować następujący wniosek: </w:t>
      </w:r>
    </w:p>
    <w:p w:rsidR="004E68EB" w:rsidRPr="004E68EB" w:rsidRDefault="004E68EB" w:rsidP="004E68EB">
      <w:pPr>
        <w:spacing w:after="0" w:line="240" w:lineRule="auto"/>
        <w:jc w:val="both"/>
        <w:rPr>
          <w:rFonts w:eastAsia="Times New Roman" w:cs="Times New Roman"/>
          <w:sz w:val="200"/>
          <w:szCs w:val="200"/>
          <w:u w:val="single"/>
          <w:lang w:eastAsia="pl-PL"/>
        </w:rPr>
      </w:pPr>
      <w:r w:rsidRPr="004E68EB">
        <w:rPr>
          <w:rFonts w:eastAsia="Times New Roman" w:cs="Times New Roman"/>
          <w:sz w:val="200"/>
          <w:szCs w:val="200"/>
          <w:u w:val="single"/>
          <w:lang w:eastAsia="pl-PL"/>
        </w:rPr>
        <w:t xml:space="preserve">Wniosek </w:t>
      </w:r>
    </w:p>
    <w:p w:rsidR="004E68EB" w:rsidRPr="004E68EB" w:rsidRDefault="004E68EB" w:rsidP="004E68EB">
      <w:pPr>
        <w:spacing w:after="0" w:line="240" w:lineRule="auto"/>
        <w:jc w:val="both"/>
        <w:rPr>
          <w:rFonts w:eastAsia="Times New Roman" w:cs="Times New Roman"/>
          <w:sz w:val="100"/>
          <w:szCs w:val="100"/>
          <w:lang w:eastAsia="pl-PL"/>
        </w:rPr>
      </w:pPr>
    </w:p>
    <w:p w:rsidR="004E68EB" w:rsidRPr="004E68EB" w:rsidRDefault="004E68EB" w:rsidP="004E68EB">
      <w:pPr>
        <w:spacing w:after="0" w:line="240" w:lineRule="auto"/>
        <w:jc w:val="both"/>
        <w:rPr>
          <w:rFonts w:eastAsia="Times New Roman" w:cs="Times New Roman"/>
          <w:sz w:val="62"/>
          <w:szCs w:val="62"/>
          <w:lang w:eastAsia="pl-PL"/>
        </w:rPr>
      </w:pPr>
      <w:r w:rsidRPr="004E68EB">
        <w:rPr>
          <w:rFonts w:eastAsia="Times New Roman" w:cs="Times New Roman"/>
          <w:sz w:val="62"/>
          <w:szCs w:val="62"/>
          <w:lang w:eastAsia="pl-PL"/>
        </w:rPr>
        <w:t xml:space="preserve">Warto zauważyć, że </w:t>
      </w:r>
    </w:p>
    <w:p w:rsidR="004E68EB" w:rsidRPr="004E68EB" w:rsidRDefault="004E68EB" w:rsidP="004E68EB">
      <w:pPr>
        <w:spacing w:after="0" w:line="240" w:lineRule="auto"/>
        <w:jc w:val="both"/>
        <w:rPr>
          <w:rFonts w:eastAsia="Times New Roman" w:cs="Times New Roman"/>
          <w:sz w:val="62"/>
          <w:szCs w:val="62"/>
          <w:lang w:eastAsia="pl-PL"/>
        </w:rPr>
      </w:pPr>
    </w:p>
    <w:p w:rsidR="004E68EB" w:rsidRPr="004E68EB" w:rsidRDefault="004E68EB" w:rsidP="004E68EB">
      <w:pPr>
        <w:spacing w:after="0" w:line="240" w:lineRule="auto"/>
        <w:jc w:val="both"/>
        <w:rPr>
          <w:rFonts w:eastAsia="Times New Roman" w:cs="Times New Roman"/>
          <w:b/>
          <w:sz w:val="62"/>
          <w:szCs w:val="62"/>
          <w:lang w:eastAsia="pl-PL"/>
        </w:rPr>
      </w:pPr>
      <w:r w:rsidRPr="004E68EB">
        <w:rPr>
          <w:rFonts w:eastAsia="Times New Roman" w:cs="Times New Roman"/>
          <w:b/>
          <w:color w:val="000000" w:themeColor="text1"/>
          <w:sz w:val="62"/>
          <w:szCs w:val="62"/>
          <w:lang w:eastAsia="pl-PL"/>
        </w:rPr>
        <w:t xml:space="preserve">spośród </w:t>
      </w:r>
      <w:r w:rsidRPr="004E68EB">
        <w:rPr>
          <w:rFonts w:eastAsia="Times New Roman" w:cs="Times New Roman"/>
          <w:b/>
          <w:color w:val="000000" w:themeColor="text1"/>
          <w:sz w:val="62"/>
          <w:szCs w:val="62"/>
          <w:u w:val="single"/>
          <w:lang w:eastAsia="pl-PL"/>
        </w:rPr>
        <w:t xml:space="preserve">23 </w:t>
      </w:r>
      <w:proofErr w:type="gramStart"/>
      <w:r w:rsidRPr="004E68EB">
        <w:rPr>
          <w:rFonts w:eastAsia="Times New Roman" w:cs="Times New Roman"/>
          <w:b/>
          <w:color w:val="000000" w:themeColor="text1"/>
          <w:sz w:val="62"/>
          <w:szCs w:val="62"/>
          <w:u w:val="single"/>
          <w:lang w:eastAsia="pl-PL"/>
        </w:rPr>
        <w:t>spółek</w:t>
      </w:r>
      <w:r w:rsidRPr="004E68EB">
        <w:rPr>
          <w:rFonts w:eastAsia="Times New Roman" w:cs="Times New Roman"/>
          <w:sz w:val="62"/>
          <w:szCs w:val="62"/>
          <w:lang w:eastAsia="pl-PL"/>
        </w:rPr>
        <w:t xml:space="preserve"> (których</w:t>
      </w:r>
      <w:proofErr w:type="gramEnd"/>
      <w:r w:rsidRPr="004E68EB">
        <w:rPr>
          <w:rFonts w:eastAsia="Times New Roman" w:cs="Times New Roman"/>
          <w:sz w:val="62"/>
          <w:szCs w:val="62"/>
          <w:lang w:eastAsia="pl-PL"/>
        </w:rPr>
        <w:t xml:space="preserve"> lista </w:t>
      </w:r>
      <w:r w:rsidRPr="004E68EB">
        <w:rPr>
          <w:rFonts w:eastAsia="Times New Roman" w:cs="Times New Roman"/>
          <w:b/>
          <w:sz w:val="62"/>
          <w:szCs w:val="62"/>
          <w:lang w:eastAsia="pl-PL"/>
        </w:rPr>
        <w:t>opublikowana jest na str. 1</w:t>
      </w:r>
      <w:r w:rsidR="00051BB9">
        <w:rPr>
          <w:rFonts w:eastAsia="Times New Roman" w:cs="Times New Roman"/>
          <w:b/>
          <w:sz w:val="62"/>
          <w:szCs w:val="62"/>
          <w:lang w:eastAsia="pl-PL"/>
        </w:rPr>
        <w:t>3</w:t>
      </w:r>
      <w:r w:rsidRPr="004E68EB">
        <w:rPr>
          <w:rFonts w:eastAsia="Times New Roman" w:cs="Times New Roman"/>
          <w:b/>
          <w:sz w:val="62"/>
          <w:szCs w:val="62"/>
          <w:lang w:eastAsia="pl-PL"/>
        </w:rPr>
        <w:t>-1</w:t>
      </w:r>
      <w:r w:rsidR="00051BB9">
        <w:rPr>
          <w:rFonts w:eastAsia="Times New Roman" w:cs="Times New Roman"/>
          <w:b/>
          <w:sz w:val="62"/>
          <w:szCs w:val="62"/>
          <w:lang w:eastAsia="pl-PL"/>
        </w:rPr>
        <w:t>6</w:t>
      </w:r>
      <w:r w:rsidRPr="004E68EB">
        <w:rPr>
          <w:rFonts w:eastAsia="Times New Roman" w:cs="Times New Roman"/>
          <w:b/>
          <w:sz w:val="62"/>
          <w:szCs w:val="62"/>
          <w:lang w:eastAsia="pl-PL"/>
        </w:rPr>
        <w:t xml:space="preserve">) </w:t>
      </w:r>
    </w:p>
    <w:p w:rsidR="004E68EB" w:rsidRPr="004E68EB" w:rsidRDefault="004E68EB" w:rsidP="004E68EB">
      <w:pPr>
        <w:spacing w:after="0" w:line="240" w:lineRule="auto"/>
        <w:jc w:val="both"/>
        <w:rPr>
          <w:rFonts w:eastAsia="Times New Roman" w:cs="Times New Roman"/>
          <w:sz w:val="62"/>
          <w:szCs w:val="62"/>
          <w:lang w:eastAsia="pl-PL"/>
        </w:rPr>
      </w:pPr>
    </w:p>
    <w:p w:rsidR="004E68EB" w:rsidRPr="004E68EB" w:rsidRDefault="004E68EB" w:rsidP="004E68EB">
      <w:pPr>
        <w:spacing w:after="0" w:line="240" w:lineRule="auto"/>
        <w:jc w:val="both"/>
        <w:rPr>
          <w:rFonts w:eastAsia="Times New Roman" w:cs="Times New Roman"/>
          <w:b/>
          <w:sz w:val="62"/>
          <w:szCs w:val="62"/>
          <w:lang w:eastAsia="pl-PL"/>
        </w:rPr>
      </w:pPr>
      <w:proofErr w:type="gramStart"/>
      <w:r w:rsidRPr="004E68EB">
        <w:rPr>
          <w:rFonts w:eastAsia="Times New Roman" w:cs="Times New Roman"/>
          <w:b/>
          <w:sz w:val="62"/>
          <w:szCs w:val="62"/>
          <w:lang w:eastAsia="pl-PL"/>
        </w:rPr>
        <w:t>kursy</w:t>
      </w:r>
      <w:proofErr w:type="gramEnd"/>
      <w:r w:rsidRPr="004E68EB">
        <w:rPr>
          <w:rFonts w:eastAsia="Times New Roman" w:cs="Times New Roman"/>
          <w:b/>
          <w:sz w:val="62"/>
          <w:szCs w:val="62"/>
          <w:lang w:eastAsia="pl-PL"/>
        </w:rPr>
        <w:t xml:space="preserve"> akcji </w:t>
      </w:r>
      <w:r w:rsidRPr="004E68EB">
        <w:rPr>
          <w:rFonts w:eastAsia="Times New Roman" w:cs="Times New Roman"/>
          <w:b/>
          <w:color w:val="FF0000"/>
          <w:sz w:val="62"/>
          <w:szCs w:val="62"/>
          <w:lang w:eastAsia="pl-PL"/>
        </w:rPr>
        <w:t>21 spółek</w:t>
      </w:r>
      <w:r w:rsidRPr="004E68EB">
        <w:rPr>
          <w:rFonts w:eastAsia="Times New Roman" w:cs="Times New Roman"/>
          <w:sz w:val="62"/>
          <w:szCs w:val="62"/>
          <w:lang w:eastAsia="pl-PL"/>
        </w:rPr>
        <w:t xml:space="preserve"> od momentu owego zakwalifikowania do tej rubryki do dnia 11 grudnia 2015 roku zachowywały się </w:t>
      </w:r>
      <w:r w:rsidRPr="004E68EB">
        <w:rPr>
          <w:rFonts w:eastAsia="Times New Roman" w:cs="Times New Roman"/>
          <w:b/>
          <w:color w:val="FF0000"/>
          <w:sz w:val="62"/>
          <w:szCs w:val="62"/>
          <w:u w:val="single"/>
          <w:lang w:eastAsia="pl-PL"/>
        </w:rPr>
        <w:t>lepiej</w:t>
      </w:r>
      <w:r w:rsidRPr="004E68EB">
        <w:rPr>
          <w:rFonts w:eastAsia="Times New Roman" w:cs="Times New Roman"/>
          <w:b/>
          <w:color w:val="FF0000"/>
          <w:sz w:val="62"/>
          <w:szCs w:val="62"/>
          <w:lang w:eastAsia="pl-PL"/>
        </w:rPr>
        <w:t xml:space="preserve"> od indeksu WIG20</w:t>
      </w:r>
      <w:r w:rsidRPr="004E68EB">
        <w:rPr>
          <w:rFonts w:eastAsia="Times New Roman" w:cs="Times New Roman"/>
          <w:b/>
          <w:sz w:val="62"/>
          <w:szCs w:val="62"/>
          <w:lang w:eastAsia="pl-PL"/>
        </w:rPr>
        <w:t xml:space="preserve"> a 2 </w:t>
      </w:r>
      <w:r w:rsidRPr="004E68EB">
        <w:rPr>
          <w:rFonts w:eastAsia="Times New Roman" w:cs="Times New Roman"/>
          <w:b/>
          <w:sz w:val="62"/>
          <w:szCs w:val="62"/>
          <w:u w:val="single"/>
          <w:lang w:eastAsia="pl-PL"/>
        </w:rPr>
        <w:t xml:space="preserve">gorzej </w:t>
      </w:r>
      <w:r w:rsidRPr="004E68EB">
        <w:rPr>
          <w:rFonts w:eastAsia="Times New Roman" w:cs="Times New Roman"/>
          <w:b/>
          <w:sz w:val="62"/>
          <w:szCs w:val="62"/>
          <w:lang w:eastAsia="pl-PL"/>
        </w:rPr>
        <w:t xml:space="preserve">od indeksu WIG20 </w:t>
      </w:r>
    </w:p>
    <w:p w:rsidR="004E68EB" w:rsidRPr="004E68EB" w:rsidRDefault="004E68EB" w:rsidP="004E68EB">
      <w:pPr>
        <w:spacing w:after="0" w:line="240" w:lineRule="auto"/>
        <w:jc w:val="both"/>
        <w:rPr>
          <w:rFonts w:eastAsia="Times New Roman" w:cs="Times New Roman"/>
          <w:b/>
          <w:sz w:val="70"/>
          <w:szCs w:val="70"/>
          <w:lang w:eastAsia="pl-PL"/>
        </w:rPr>
      </w:pPr>
    </w:p>
    <w:p w:rsidR="004E68EB" w:rsidRPr="004E68EB" w:rsidRDefault="004E68EB" w:rsidP="004E68EB">
      <w:pPr>
        <w:spacing w:after="0" w:line="240" w:lineRule="auto"/>
        <w:jc w:val="both"/>
        <w:rPr>
          <w:rFonts w:eastAsia="Times New Roman" w:cs="Times New Roman"/>
          <w:color w:val="FF0000"/>
          <w:sz w:val="66"/>
          <w:szCs w:val="66"/>
          <w:lang w:eastAsia="pl-PL"/>
        </w:rPr>
      </w:pPr>
      <w:proofErr w:type="gramStart"/>
      <w:r w:rsidRPr="004E68EB">
        <w:rPr>
          <w:rFonts w:eastAsia="Times New Roman" w:cs="Times New Roman"/>
          <w:sz w:val="66"/>
          <w:szCs w:val="66"/>
          <w:lang w:eastAsia="pl-PL"/>
        </w:rPr>
        <w:lastRenderedPageBreak/>
        <w:t xml:space="preserve">Uwaga ! – </w:t>
      </w:r>
      <w:proofErr w:type="gramEnd"/>
      <w:r w:rsidRPr="004E68EB">
        <w:rPr>
          <w:rFonts w:eastAsia="Times New Roman" w:cs="Times New Roman"/>
          <w:sz w:val="66"/>
          <w:szCs w:val="66"/>
          <w:lang w:eastAsia="pl-PL"/>
        </w:rPr>
        <w:t xml:space="preserve">na poprzedniej stronie przedstawiłem wyniki badań dotyczących zachowania kursów akcji tych spółek, które znalazły się w rubryce </w:t>
      </w:r>
      <w:proofErr w:type="gramStart"/>
      <w:r w:rsidRPr="004E68EB">
        <w:rPr>
          <w:rFonts w:eastAsia="Times New Roman" w:cs="Times New Roman"/>
          <w:sz w:val="66"/>
          <w:szCs w:val="66"/>
          <w:lang w:eastAsia="pl-PL"/>
        </w:rPr>
        <w:t>,,</w:t>
      </w:r>
      <w:proofErr w:type="gramEnd"/>
      <w:r w:rsidRPr="004E68EB">
        <w:rPr>
          <w:rFonts w:eastAsia="Times New Roman" w:cs="Times New Roman"/>
          <w:sz w:val="66"/>
          <w:szCs w:val="66"/>
          <w:lang w:eastAsia="pl-PL"/>
        </w:rPr>
        <w:t xml:space="preserve">Wykres do przemyślenia” </w:t>
      </w:r>
      <w:r w:rsidRPr="004E68EB">
        <w:rPr>
          <w:rFonts w:eastAsia="Times New Roman" w:cs="Times New Roman"/>
          <w:b/>
          <w:color w:val="FF0000"/>
          <w:sz w:val="66"/>
          <w:szCs w:val="66"/>
          <w:u w:val="single"/>
          <w:lang w:eastAsia="pl-PL"/>
        </w:rPr>
        <w:t>na przestrzeni ostatnich 12 miesięcy.</w:t>
      </w:r>
    </w:p>
    <w:p w:rsidR="004E68EB" w:rsidRPr="004E68EB" w:rsidRDefault="004E68EB" w:rsidP="004E68EB">
      <w:pPr>
        <w:spacing w:after="0" w:line="240" w:lineRule="auto"/>
        <w:jc w:val="both"/>
        <w:rPr>
          <w:rFonts w:eastAsia="Times New Roman" w:cs="Times New Roman"/>
          <w:sz w:val="66"/>
          <w:szCs w:val="66"/>
          <w:lang w:eastAsia="pl-PL"/>
        </w:rPr>
      </w:pPr>
    </w:p>
    <w:p w:rsidR="004E68EB" w:rsidRPr="004E68EB" w:rsidRDefault="004E68EB" w:rsidP="004E68EB">
      <w:pPr>
        <w:spacing w:after="0" w:line="240" w:lineRule="auto"/>
        <w:jc w:val="both"/>
        <w:rPr>
          <w:rFonts w:eastAsia="Times New Roman" w:cs="Times New Roman"/>
          <w:sz w:val="66"/>
          <w:szCs w:val="66"/>
          <w:lang w:eastAsia="pl-PL"/>
        </w:rPr>
      </w:pPr>
      <w:r w:rsidRPr="004E68EB">
        <w:rPr>
          <w:rFonts w:eastAsia="Times New Roman" w:cs="Times New Roman"/>
          <w:sz w:val="66"/>
          <w:szCs w:val="66"/>
          <w:lang w:eastAsia="pl-PL"/>
        </w:rPr>
        <w:t xml:space="preserve">Spółki te będę starał się na prowadzonej przeze mnie stronie </w:t>
      </w:r>
      <w:proofErr w:type="gramStart"/>
      <w:r w:rsidRPr="004E68EB">
        <w:rPr>
          <w:rFonts w:eastAsia="Times New Roman" w:cs="Times New Roman"/>
          <w:sz w:val="66"/>
          <w:szCs w:val="66"/>
          <w:lang w:eastAsia="pl-PL"/>
        </w:rPr>
        <w:t xml:space="preserve">internetowej  </w:t>
      </w:r>
      <w:hyperlink r:id="rId36" w:history="1">
        <w:proofErr w:type="gramEnd"/>
        <w:r w:rsidRPr="004E68EB">
          <w:rPr>
            <w:rFonts w:eastAsia="Times New Roman" w:cs="Times New Roman"/>
            <w:color w:val="0000FF" w:themeColor="hyperlink"/>
            <w:sz w:val="66"/>
            <w:szCs w:val="66"/>
            <w:u w:val="single"/>
            <w:lang w:eastAsia="pl-PL"/>
          </w:rPr>
          <w:t>http://analizy-rynkowe.pl/</w:t>
        </w:r>
      </w:hyperlink>
      <w:r w:rsidRPr="004E68EB">
        <w:rPr>
          <w:rFonts w:eastAsia="Times New Roman" w:cs="Times New Roman"/>
          <w:sz w:val="66"/>
          <w:szCs w:val="66"/>
          <w:lang w:eastAsia="pl-PL"/>
        </w:rPr>
        <w:t xml:space="preserve"> </w:t>
      </w:r>
      <w:r w:rsidRPr="004E68EB">
        <w:rPr>
          <w:rFonts w:eastAsia="Times New Roman" w:cs="Times New Roman"/>
          <w:b/>
          <w:color w:val="FF0000"/>
          <w:sz w:val="66"/>
          <w:szCs w:val="66"/>
          <w:u w:val="single"/>
          <w:lang w:eastAsia="pl-PL"/>
        </w:rPr>
        <w:t>otaczać szczególną opieką intelektualną</w:t>
      </w:r>
      <w:r w:rsidRPr="004E68EB">
        <w:rPr>
          <w:rFonts w:eastAsia="Times New Roman" w:cs="Times New Roman"/>
          <w:color w:val="FF0000"/>
          <w:sz w:val="66"/>
          <w:szCs w:val="66"/>
          <w:lang w:eastAsia="pl-PL"/>
        </w:rPr>
        <w:t xml:space="preserve"> </w:t>
      </w:r>
      <w:r w:rsidRPr="004E68EB">
        <w:rPr>
          <w:rFonts w:eastAsia="Times New Roman" w:cs="Times New Roman"/>
          <w:sz w:val="66"/>
          <w:szCs w:val="66"/>
          <w:lang w:eastAsia="pl-PL"/>
        </w:rPr>
        <w:t xml:space="preserve">to znaczy analizy publikowane na tej stronie będą w znacznej mierzy dotyczyć właśnie tych spółek. </w:t>
      </w:r>
    </w:p>
    <w:p w:rsidR="004E68EB" w:rsidRPr="004E68EB" w:rsidRDefault="004E68EB" w:rsidP="004E68EB">
      <w:pPr>
        <w:spacing w:after="0" w:line="240" w:lineRule="auto"/>
        <w:jc w:val="both"/>
        <w:rPr>
          <w:rFonts w:eastAsia="Times New Roman" w:cs="Times New Roman"/>
          <w:sz w:val="66"/>
          <w:szCs w:val="66"/>
          <w:lang w:eastAsia="pl-PL"/>
        </w:rPr>
      </w:pPr>
    </w:p>
    <w:p w:rsidR="004E68EB" w:rsidRPr="004E68EB" w:rsidRDefault="004E68EB" w:rsidP="004E68EB">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eastAsia="Times New Roman" w:cs="Times New Roman"/>
          <w:b/>
          <w:color w:val="FFFFFF" w:themeColor="background1"/>
          <w:sz w:val="104"/>
          <w:szCs w:val="104"/>
          <w:lang w:eastAsia="pl-PL"/>
        </w:rPr>
      </w:pPr>
      <w:r w:rsidRPr="004E68EB">
        <w:rPr>
          <w:rFonts w:eastAsia="Times New Roman" w:cs="Times New Roman"/>
          <w:b/>
          <w:color w:val="FFFFFF" w:themeColor="background1"/>
          <w:sz w:val="104"/>
          <w:szCs w:val="104"/>
          <w:lang w:eastAsia="pl-PL"/>
        </w:rPr>
        <w:lastRenderedPageBreak/>
        <w:t>Generalny wniosek:</w:t>
      </w:r>
    </w:p>
    <w:p w:rsidR="004E68EB" w:rsidRPr="004E68EB" w:rsidRDefault="004E68EB" w:rsidP="004E68EB">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eastAsia="Times New Roman" w:cs="Times New Roman"/>
          <w:b/>
          <w:color w:val="FFFFFF" w:themeColor="background1"/>
          <w:sz w:val="104"/>
          <w:szCs w:val="104"/>
          <w:lang w:eastAsia="pl-PL"/>
        </w:rPr>
      </w:pPr>
      <w:r w:rsidRPr="004E68EB">
        <w:rPr>
          <w:rFonts w:eastAsia="Times New Roman" w:cs="Times New Roman"/>
          <w:b/>
          <w:color w:val="FFFFFF" w:themeColor="background1"/>
          <w:sz w:val="104"/>
          <w:szCs w:val="104"/>
          <w:lang w:eastAsia="pl-PL"/>
        </w:rPr>
        <w:t xml:space="preserve">kursy akcji spółki po wprowadzeniu jej do rubryki </w:t>
      </w:r>
      <w:proofErr w:type="gramStart"/>
      <w:r w:rsidRPr="004E68EB">
        <w:rPr>
          <w:rFonts w:eastAsia="Times New Roman" w:cs="Times New Roman"/>
          <w:b/>
          <w:color w:val="FFFFFF" w:themeColor="background1"/>
          <w:sz w:val="104"/>
          <w:szCs w:val="104"/>
          <w:lang w:eastAsia="pl-PL"/>
        </w:rPr>
        <w:t>,,</w:t>
      </w:r>
      <w:proofErr w:type="gramEnd"/>
      <w:r w:rsidRPr="004E68EB">
        <w:rPr>
          <w:rFonts w:eastAsia="Times New Roman" w:cs="Times New Roman"/>
          <w:b/>
          <w:color w:val="FFFFFF" w:themeColor="background1"/>
          <w:sz w:val="104"/>
          <w:szCs w:val="104"/>
          <w:lang w:eastAsia="pl-PL"/>
        </w:rPr>
        <w:t>Wykres do przemyślenia” zasadniczo rzecz biorąc wykazują relatywną przewagę nad indeksem WIG20</w:t>
      </w:r>
    </w:p>
    <w:p w:rsidR="004E68EB" w:rsidRPr="004E68EB" w:rsidRDefault="004E68EB" w:rsidP="004E68EB">
      <w:pPr>
        <w:rPr>
          <w:rFonts w:eastAsia="Times New Roman" w:cs="Times New Roman"/>
          <w:lang w:eastAsia="pl-PL"/>
        </w:rPr>
      </w:pPr>
    </w:p>
    <w:p w:rsidR="004E68EB" w:rsidRPr="004E68EB" w:rsidRDefault="004E68EB" w:rsidP="004E68EB">
      <w:pPr>
        <w:rPr>
          <w:rFonts w:eastAsia="Times New Roman" w:cs="Times New Roman"/>
          <w:lang w:eastAsia="pl-PL"/>
        </w:rPr>
      </w:pPr>
    </w:p>
    <w:p w:rsidR="004E68EB" w:rsidRPr="004E68EB" w:rsidRDefault="004E68EB" w:rsidP="004E68EB">
      <w:pPr>
        <w:spacing w:after="0" w:line="240" w:lineRule="auto"/>
        <w:jc w:val="both"/>
        <w:rPr>
          <w:rFonts w:eastAsia="Times New Roman" w:cs="Times New Roman"/>
          <w:b/>
          <w:lang w:eastAsia="pl-PL"/>
        </w:rPr>
      </w:pPr>
      <w:r w:rsidRPr="004E68EB">
        <w:rPr>
          <w:rFonts w:eastAsia="Times New Roman" w:cs="Times New Roman"/>
          <w:b/>
          <w:lang w:eastAsia="pl-PL"/>
        </w:rPr>
        <w:lastRenderedPageBreak/>
        <w:t>Wnioski końcowe</w:t>
      </w:r>
    </w:p>
    <w:p w:rsidR="004E68EB" w:rsidRPr="004E68EB" w:rsidRDefault="004E68EB" w:rsidP="004E68EB">
      <w:pPr>
        <w:spacing w:after="0" w:line="240" w:lineRule="auto"/>
        <w:jc w:val="both"/>
        <w:rPr>
          <w:rFonts w:eastAsia="Times New Roman" w:cs="Times New Roman"/>
          <w:lang w:eastAsia="pl-PL"/>
        </w:rPr>
      </w:pPr>
    </w:p>
    <w:p w:rsidR="004E68EB" w:rsidRPr="004E68EB" w:rsidRDefault="004E68EB" w:rsidP="004E68EB">
      <w:pPr>
        <w:numPr>
          <w:ilvl w:val="0"/>
          <w:numId w:val="5"/>
        </w:numPr>
        <w:spacing w:after="0" w:line="240" w:lineRule="auto"/>
        <w:contextualSpacing/>
        <w:jc w:val="both"/>
        <w:rPr>
          <w:rFonts w:eastAsia="Times New Roman" w:cs="Times New Roman"/>
          <w:b/>
          <w:color w:val="FF0000"/>
          <w:lang w:eastAsia="pl-PL"/>
        </w:rPr>
      </w:pPr>
      <w:r w:rsidRPr="004E68EB">
        <w:rPr>
          <w:rFonts w:eastAsia="Times New Roman" w:cs="Times New Roman"/>
          <w:color w:val="000000" w:themeColor="text1"/>
          <w:lang w:eastAsia="pl-PL"/>
        </w:rPr>
        <w:t xml:space="preserve">Kurs </w:t>
      </w:r>
      <w:r w:rsidRPr="004E68EB">
        <w:rPr>
          <w:rFonts w:eastAsia="Times New Roman" w:cs="Times New Roman"/>
          <w:lang w:eastAsia="pl-PL"/>
        </w:rPr>
        <w:t xml:space="preserve">dolara amerykańskiego (w złotych) przebił 52-tygodniowe maksimum, co było spowodowane zaprezentowaniem bardzo dobrych danych o sytuacji na rynku pracy w USA w piątek 6 listopada. Dzięki temu nastąpiło wybicie z nietypowej formacji podwójnego dna, co powinno skutkować wzrostem kursu dolara amerykańskiego </w:t>
      </w:r>
      <w:r w:rsidRPr="004E68EB">
        <w:rPr>
          <w:rFonts w:eastAsia="Times New Roman" w:cs="Times New Roman"/>
          <w:b/>
          <w:color w:val="FF0000"/>
          <w:lang w:eastAsia="pl-PL"/>
        </w:rPr>
        <w:t xml:space="preserve">do 4,4252 zł. </w:t>
      </w:r>
    </w:p>
    <w:p w:rsidR="004E68EB" w:rsidRPr="004E68EB" w:rsidRDefault="004E68EB" w:rsidP="004E68EB">
      <w:pPr>
        <w:spacing w:after="0" w:line="240" w:lineRule="auto"/>
        <w:contextualSpacing/>
        <w:jc w:val="both"/>
        <w:rPr>
          <w:rFonts w:eastAsia="Times New Roman" w:cs="Times New Roman"/>
          <w:b/>
          <w:color w:val="FF0000"/>
          <w:lang w:eastAsia="pl-PL"/>
        </w:rPr>
      </w:pPr>
    </w:p>
    <w:p w:rsidR="004E68EB" w:rsidRPr="004E68EB" w:rsidRDefault="004E68EB" w:rsidP="004E68EB">
      <w:pPr>
        <w:numPr>
          <w:ilvl w:val="0"/>
          <w:numId w:val="5"/>
        </w:numPr>
        <w:spacing w:after="0" w:line="240" w:lineRule="auto"/>
        <w:contextualSpacing/>
        <w:jc w:val="both"/>
        <w:rPr>
          <w:rFonts w:eastAsia="Times New Roman" w:cs="Times New Roman"/>
          <w:color w:val="000000" w:themeColor="text1"/>
          <w:lang w:eastAsia="pl-PL"/>
        </w:rPr>
      </w:pPr>
      <w:r w:rsidRPr="004E68EB">
        <w:rPr>
          <w:rFonts w:eastAsia="Times New Roman" w:cs="Times New Roman"/>
          <w:lang w:eastAsia="pl-PL"/>
        </w:rPr>
        <w:t xml:space="preserve">Kurs euro (w złotych) od końca kwietnia 2015 roku znajduje się w trendzie wzrostowym. Generalnie rzecz biorąc powyższy proces (będący mówiąc inaczej synonimem osłabienia złotego wobec euro) wynikał prawdopodobnie z odpływu kapitału zagranicznego z wschodzących rynków finansowych. Na wykresie kursu euro (w złotych) doszło do wybicia z formacji nietypowej formacji podwójnego dna, dzięki czemu doszło do wzrostu kursu euro (w złotych) do </w:t>
      </w:r>
      <w:r w:rsidRPr="004E68EB">
        <w:rPr>
          <w:rFonts w:eastAsia="Times New Roman" w:cs="Times New Roman"/>
          <w:b/>
          <w:color w:val="FF0000"/>
          <w:lang w:eastAsia="pl-PL"/>
        </w:rPr>
        <w:t>4,3607 zł</w:t>
      </w:r>
      <w:r w:rsidRPr="004E68EB">
        <w:rPr>
          <w:rFonts w:eastAsia="Times New Roman" w:cs="Times New Roman"/>
          <w:lang w:eastAsia="pl-PL"/>
        </w:rPr>
        <w:t xml:space="preserve">. Dojście do oporu (szczyt z 26 grudnia 2014 roku) może spowodować pewne osłabienie kursu euro (w złotych). </w:t>
      </w:r>
    </w:p>
    <w:p w:rsidR="004E68EB" w:rsidRPr="004E68EB" w:rsidRDefault="004E68EB" w:rsidP="004E68EB">
      <w:pPr>
        <w:spacing w:after="0" w:line="240" w:lineRule="auto"/>
        <w:contextualSpacing/>
        <w:jc w:val="both"/>
        <w:rPr>
          <w:rFonts w:eastAsia="Times New Roman" w:cs="Times New Roman"/>
          <w:b/>
          <w:u w:val="single"/>
          <w:lang w:eastAsia="pl-PL"/>
        </w:rPr>
      </w:pPr>
    </w:p>
    <w:p w:rsidR="004E68EB" w:rsidRPr="004E68EB" w:rsidRDefault="004E68EB" w:rsidP="004E68EB">
      <w:pPr>
        <w:numPr>
          <w:ilvl w:val="0"/>
          <w:numId w:val="2"/>
        </w:numPr>
        <w:spacing w:after="0" w:line="240" w:lineRule="auto"/>
        <w:contextualSpacing/>
        <w:jc w:val="both"/>
        <w:rPr>
          <w:rFonts w:eastAsia="Times New Roman" w:cs="Times New Roman"/>
          <w:b/>
          <w:u w:val="single"/>
          <w:lang w:eastAsia="pl-PL"/>
        </w:rPr>
      </w:pPr>
      <w:r w:rsidRPr="004E68EB">
        <w:rPr>
          <w:rFonts w:eastAsia="Times New Roman" w:cs="Times New Roman"/>
          <w:b/>
          <w:color w:val="000000" w:themeColor="text1"/>
          <w:lang w:eastAsia="pl-PL"/>
        </w:rPr>
        <w:t>Na wykresie chińskiego rynku akcji doszło do wybicia z formacji podwójnego dna</w:t>
      </w:r>
      <w:r w:rsidRPr="004E68EB">
        <w:rPr>
          <w:rFonts w:eastAsia="Times New Roman" w:cs="Times New Roman"/>
          <w:color w:val="000000" w:themeColor="text1"/>
          <w:lang w:eastAsia="pl-PL"/>
        </w:rPr>
        <w:t xml:space="preserve"> a formacja ta jeszcze się nie wypełniła, co zapowiada dalsze wzrosty. Jeżeli mamy być świadkami dalszych wzrostów indeksu prezentującego sytuację na największym wschodzącym rynku akcji to powinno to ogólnie rzecz biorąc sprzyjać </w:t>
      </w:r>
      <w:r w:rsidRPr="004E68EB">
        <w:rPr>
          <w:rFonts w:eastAsia="Times New Roman" w:cs="Times New Roman"/>
          <w:b/>
          <w:color w:val="000000" w:themeColor="text1"/>
          <w:lang w:eastAsia="pl-PL"/>
        </w:rPr>
        <w:t>to poprawie ogólnej sytuacji w grupie wschodzących rynków akcji, w tym polskiego.</w:t>
      </w:r>
    </w:p>
    <w:p w:rsidR="004E68EB" w:rsidRPr="004E68EB" w:rsidRDefault="004E68EB" w:rsidP="004E68EB">
      <w:pPr>
        <w:spacing w:after="0" w:line="240" w:lineRule="auto"/>
        <w:contextualSpacing/>
        <w:jc w:val="both"/>
        <w:rPr>
          <w:rFonts w:eastAsia="Times New Roman" w:cs="Times New Roman"/>
          <w:b/>
          <w:u w:val="single"/>
          <w:lang w:eastAsia="pl-PL"/>
        </w:rPr>
      </w:pPr>
    </w:p>
    <w:p w:rsidR="004E68EB" w:rsidRPr="004E68EB" w:rsidRDefault="004E68EB" w:rsidP="004E68EB">
      <w:pPr>
        <w:numPr>
          <w:ilvl w:val="0"/>
          <w:numId w:val="2"/>
        </w:numPr>
        <w:spacing w:after="0" w:line="240" w:lineRule="auto"/>
        <w:contextualSpacing/>
        <w:jc w:val="both"/>
        <w:rPr>
          <w:rFonts w:eastAsia="Times New Roman" w:cs="Times New Roman"/>
          <w:b/>
          <w:lang w:eastAsia="pl-PL"/>
        </w:rPr>
      </w:pPr>
      <w:r w:rsidRPr="004E68EB">
        <w:rPr>
          <w:rFonts w:eastAsia="Times New Roman" w:cs="Times New Roman"/>
          <w:lang w:eastAsia="pl-PL"/>
        </w:rPr>
        <w:t xml:space="preserve">Zbliża się styczeń 2016 roku. W tej sytuacji powstaje pytanie: czy znów pojawi się efekt małych spółek na GPW w </w:t>
      </w:r>
      <w:proofErr w:type="gramStart"/>
      <w:r w:rsidRPr="004E68EB">
        <w:rPr>
          <w:rFonts w:eastAsia="Times New Roman" w:cs="Times New Roman"/>
          <w:lang w:eastAsia="pl-PL"/>
        </w:rPr>
        <w:t xml:space="preserve">Warszawie ? </w:t>
      </w:r>
      <w:proofErr w:type="gramEnd"/>
      <w:r w:rsidRPr="004E68EB">
        <w:rPr>
          <w:rFonts w:eastAsia="Times New Roman" w:cs="Times New Roman"/>
          <w:b/>
          <w:lang w:eastAsia="pl-PL"/>
        </w:rPr>
        <w:t>Efekt małych spółek polega na stosunkowo silnym zachowaniu segmentu akcji małych spółek w stosunku do segmentu akcji innych spółek w styczniu.</w:t>
      </w:r>
      <w:r w:rsidRPr="004E68EB">
        <w:rPr>
          <w:rFonts w:eastAsia="Times New Roman" w:cs="Times New Roman"/>
          <w:lang w:eastAsia="pl-PL"/>
        </w:rPr>
        <w:t xml:space="preserve"> W przypadku polskiego rynku akcji jego istotą jest na przykład występowanie wyższej stopy zwrotu w przypadku indeksu małych spółek (sWIG80) niż w przypadku indeksu spółek dużych (WIG20). O ile do 2002 było w tej mierze bardzo różnie (raz lepszy w styczniu był pierwszy indeks, raz drugi) to od 2003 r. mamy już do czynienia z sytuacją wręcz zdumiewającą, gdyż </w:t>
      </w:r>
      <w:r w:rsidRPr="004E68EB">
        <w:rPr>
          <w:rFonts w:eastAsia="Times New Roman" w:cs="Times New Roman"/>
          <w:b/>
          <w:lang w:eastAsia="pl-PL"/>
        </w:rPr>
        <w:t>w każdym roku okresu 2003-2015 zachowanie indeksu małych spółek (sWIG80) w styczniu było lepsze niż zachowanie indeksu spółek dużych (WIG20).</w:t>
      </w:r>
    </w:p>
    <w:p w:rsidR="004E68EB" w:rsidRPr="004E68EB" w:rsidRDefault="004E68EB" w:rsidP="004E68EB">
      <w:pPr>
        <w:spacing w:after="0" w:line="240" w:lineRule="auto"/>
        <w:jc w:val="both"/>
        <w:rPr>
          <w:rFonts w:eastAsia="Times New Roman" w:cs="Times New Roman"/>
          <w:lang w:eastAsia="pl-PL"/>
        </w:rPr>
      </w:pPr>
    </w:p>
    <w:p w:rsidR="004E68EB" w:rsidRPr="004E68EB" w:rsidRDefault="004E68EB" w:rsidP="004E68EB">
      <w:pPr>
        <w:spacing w:after="0" w:line="240" w:lineRule="auto"/>
        <w:jc w:val="both"/>
        <w:rPr>
          <w:rFonts w:eastAsia="Times New Roman" w:cs="Times New Roman"/>
          <w:lang w:eastAsia="pl-PL"/>
        </w:rPr>
      </w:pPr>
      <w:r w:rsidRPr="004E68EB">
        <w:rPr>
          <w:rFonts w:eastAsia="Times New Roman" w:cs="Times New Roman"/>
          <w:lang w:eastAsia="pl-PL"/>
        </w:rPr>
        <w:t>Opracował: Sławomir Kłusek, 28 grudnia 2015 roku</w:t>
      </w:r>
    </w:p>
    <w:p w:rsidR="004E68EB" w:rsidRPr="004E68EB" w:rsidRDefault="004E68EB" w:rsidP="004E68EB">
      <w:pPr>
        <w:spacing w:after="0" w:line="240" w:lineRule="auto"/>
        <w:jc w:val="both"/>
        <w:rPr>
          <w:rFonts w:eastAsia="Times New Roman" w:cs="Times New Roman"/>
          <w:lang w:eastAsia="pl-PL"/>
        </w:rPr>
      </w:pPr>
    </w:p>
    <w:p w:rsidR="004E68EB" w:rsidRPr="004E68EB" w:rsidRDefault="004E68EB" w:rsidP="004E68EB">
      <w:pPr>
        <w:spacing w:after="0" w:line="240" w:lineRule="auto"/>
        <w:jc w:val="both"/>
        <w:rPr>
          <w:rFonts w:eastAsia="Times New Roman" w:cs="Times New Roman"/>
          <w:lang w:eastAsia="pl-PL"/>
        </w:rPr>
      </w:pPr>
      <w:r w:rsidRPr="004E68EB">
        <w:rPr>
          <w:rFonts w:eastAsia="Times New Roman" w:cs="Times New Roman"/>
          <w:lang w:eastAsia="pl-PL"/>
        </w:rPr>
        <w:t xml:space="preserve">Powyższy raport stanowi wyłącznie wyraz osobistych opinii autora. </w:t>
      </w:r>
    </w:p>
    <w:p w:rsidR="004E68EB" w:rsidRPr="004E68EB" w:rsidRDefault="004E68EB" w:rsidP="004E68EB">
      <w:pPr>
        <w:spacing w:after="0" w:line="240" w:lineRule="auto"/>
        <w:jc w:val="both"/>
        <w:rPr>
          <w:rFonts w:eastAsia="Times New Roman" w:cs="Times New Roman"/>
          <w:lang w:eastAsia="pl-PL"/>
        </w:rPr>
      </w:pPr>
    </w:p>
    <w:p w:rsidR="004E68EB" w:rsidRPr="004E68EB" w:rsidRDefault="004E68EB" w:rsidP="004E68EB">
      <w:pPr>
        <w:spacing w:after="0" w:line="240" w:lineRule="auto"/>
        <w:jc w:val="both"/>
        <w:rPr>
          <w:rFonts w:eastAsia="Times New Roman" w:cs="Times New Roman"/>
          <w:lang w:eastAsia="pl-PL"/>
        </w:rPr>
      </w:pPr>
      <w:r w:rsidRPr="004E68EB">
        <w:rPr>
          <w:rFonts w:eastAsia="Times New Roman" w:cs="Times New Roman"/>
          <w:lang w:eastAsia="pl-PL"/>
        </w:rPr>
        <w:t xml:space="preserve">Treści zawarte na stronie internetowej </w:t>
      </w:r>
      <w:hyperlink r:id="rId37" w:history="1">
        <w:r w:rsidRPr="004E68EB">
          <w:rPr>
            <w:rFonts w:eastAsia="Times New Roman" w:cs="Times New Roman"/>
            <w:color w:val="0000FF" w:themeColor="hyperlink"/>
            <w:u w:val="single"/>
            <w:lang w:eastAsia="pl-PL"/>
          </w:rPr>
          <w:t>www.analizy-rynkowe.pl</w:t>
        </w:r>
      </w:hyperlink>
      <w:r w:rsidRPr="004E68EB">
        <w:rPr>
          <w:rFonts w:eastAsia="Times New Roman" w:cs="Times New Roman"/>
          <w:lang w:eastAsia="pl-PL"/>
        </w:rPr>
        <w:t xml:space="preserve"> nie stanowią "rekomendacji" w rozumieniu przepisów Rozporządzenia Ministra Finansów z dnia 19 października 2005 r. w sprawie informacji stanowiących rekomendacje dotyczące instrumentów finansowych, lub ich emitentów (</w:t>
      </w:r>
      <w:proofErr w:type="spellStart"/>
      <w:r w:rsidRPr="004E68EB">
        <w:rPr>
          <w:rFonts w:eastAsia="Times New Roman" w:cs="Times New Roman"/>
          <w:lang w:eastAsia="pl-PL"/>
        </w:rPr>
        <w:t>Dz.U</w:t>
      </w:r>
      <w:proofErr w:type="spellEnd"/>
      <w:r w:rsidRPr="004E68EB">
        <w:rPr>
          <w:rFonts w:eastAsia="Times New Roman" w:cs="Times New Roman"/>
          <w:lang w:eastAsia="pl-PL"/>
        </w:rPr>
        <w:t xml:space="preserve">. </w:t>
      </w:r>
      <w:proofErr w:type="gramStart"/>
      <w:r w:rsidRPr="004E68EB">
        <w:rPr>
          <w:rFonts w:eastAsia="Times New Roman" w:cs="Times New Roman"/>
          <w:lang w:eastAsia="pl-PL"/>
        </w:rPr>
        <w:t>z</w:t>
      </w:r>
      <w:proofErr w:type="gramEnd"/>
      <w:r w:rsidRPr="004E68EB">
        <w:rPr>
          <w:rFonts w:eastAsia="Times New Roman" w:cs="Times New Roman"/>
          <w:lang w:eastAsia="pl-PL"/>
        </w:rPr>
        <w:t xml:space="preserve"> 2005 r. Nr 206, poz. 1715).</w:t>
      </w:r>
    </w:p>
    <w:p w:rsidR="004E68EB" w:rsidRPr="004E68EB" w:rsidRDefault="004E68EB" w:rsidP="004E68EB">
      <w:pPr>
        <w:spacing w:after="0" w:line="240" w:lineRule="auto"/>
        <w:jc w:val="both"/>
        <w:rPr>
          <w:rFonts w:eastAsia="Times New Roman" w:cs="Times New Roman"/>
          <w:lang w:eastAsia="pl-PL"/>
        </w:rPr>
      </w:pPr>
    </w:p>
    <w:p w:rsidR="004E68EB" w:rsidRPr="004E68EB" w:rsidRDefault="004E68EB" w:rsidP="004E68EB">
      <w:pPr>
        <w:spacing w:after="0" w:line="240" w:lineRule="auto"/>
        <w:jc w:val="both"/>
        <w:rPr>
          <w:rFonts w:eastAsia="Times New Roman" w:cs="Times New Roman"/>
          <w:color w:val="0000FF" w:themeColor="hyperlink"/>
          <w:u w:val="single"/>
          <w:lang w:eastAsia="pl-PL"/>
        </w:rPr>
      </w:pPr>
      <w:r w:rsidRPr="004E68EB">
        <w:rPr>
          <w:rFonts w:eastAsia="Times New Roman" w:cs="Times New Roman"/>
          <w:lang w:eastAsia="pl-PL"/>
        </w:rPr>
        <w:t xml:space="preserve">Autor nie ponosi odpowiedzialności za jakiekolwiek decyzje inwestycyjne podjęte na podstawie treści zawartych na stronie internetowej </w:t>
      </w:r>
      <w:hyperlink r:id="rId38" w:history="1">
        <w:r w:rsidRPr="004E68EB">
          <w:rPr>
            <w:rFonts w:eastAsia="Times New Roman" w:cs="Times New Roman"/>
            <w:color w:val="0000FF" w:themeColor="hyperlink"/>
            <w:u w:val="single"/>
            <w:lang w:eastAsia="pl-PL"/>
          </w:rPr>
          <w:t>www.analizy-rynkowe.pl</w:t>
        </w:r>
      </w:hyperlink>
    </w:p>
    <w:p w:rsidR="004E68EB" w:rsidRPr="004E68EB" w:rsidRDefault="004E68EB" w:rsidP="004E68EB">
      <w:pPr>
        <w:spacing w:after="0" w:line="240" w:lineRule="auto"/>
        <w:jc w:val="both"/>
        <w:rPr>
          <w:rFonts w:eastAsia="Times New Roman" w:cs="Times New Roman"/>
          <w:color w:val="0000FF" w:themeColor="hyperlink"/>
          <w:u w:val="single"/>
          <w:lang w:eastAsia="pl-PL"/>
        </w:rPr>
      </w:pPr>
    </w:p>
    <w:p w:rsidR="004E68EB" w:rsidRPr="004E68EB" w:rsidRDefault="004E68EB" w:rsidP="004E68EB">
      <w:pPr>
        <w:spacing w:after="0" w:line="240" w:lineRule="auto"/>
        <w:jc w:val="both"/>
        <w:rPr>
          <w:rFonts w:eastAsia="Times New Roman" w:cs="Times New Roman"/>
          <w:color w:val="0000FF" w:themeColor="hyperlink"/>
          <w:u w:val="single"/>
          <w:lang w:eastAsia="pl-PL"/>
        </w:rPr>
      </w:pPr>
    </w:p>
    <w:p w:rsidR="004E68EB" w:rsidRPr="004E68EB" w:rsidRDefault="004E68EB" w:rsidP="004E68EB">
      <w:pPr>
        <w:spacing w:after="0" w:line="240" w:lineRule="auto"/>
        <w:jc w:val="both"/>
        <w:rPr>
          <w:b/>
          <w:sz w:val="26"/>
          <w:szCs w:val="26"/>
          <w:u w:val="single"/>
        </w:rPr>
      </w:pPr>
    </w:p>
    <w:p w:rsidR="004E68EB" w:rsidRPr="004E68EB" w:rsidRDefault="004E68EB" w:rsidP="004E68EB">
      <w:pPr>
        <w:spacing w:after="0" w:line="240" w:lineRule="auto"/>
        <w:jc w:val="both"/>
        <w:rPr>
          <w:rFonts w:eastAsiaTheme="minorEastAsia"/>
          <w:lang w:eastAsia="pl-PL"/>
        </w:rPr>
      </w:pPr>
    </w:p>
    <w:p w:rsidR="004E68EB" w:rsidRPr="004E68EB" w:rsidRDefault="004E68EB" w:rsidP="004E68EB">
      <w:pPr>
        <w:spacing w:after="0" w:line="240" w:lineRule="auto"/>
        <w:jc w:val="both"/>
        <w:rPr>
          <w:sz w:val="26"/>
          <w:szCs w:val="26"/>
        </w:rPr>
      </w:pPr>
    </w:p>
    <w:p w:rsidR="004E68EB" w:rsidRPr="004E68EB" w:rsidRDefault="004E68EB" w:rsidP="004E68EB">
      <w:pPr>
        <w:spacing w:after="0" w:line="240" w:lineRule="auto"/>
        <w:jc w:val="both"/>
        <w:rPr>
          <w:color w:val="000000"/>
          <w:sz w:val="26"/>
          <w:szCs w:val="26"/>
        </w:rPr>
      </w:pPr>
    </w:p>
    <w:p w:rsidR="004E68EB" w:rsidRPr="004E68EB" w:rsidRDefault="004E68EB" w:rsidP="004E68EB">
      <w:pPr>
        <w:spacing w:after="0" w:line="240" w:lineRule="auto"/>
        <w:jc w:val="both"/>
        <w:rPr>
          <w:color w:val="000000"/>
          <w:sz w:val="26"/>
          <w:szCs w:val="26"/>
        </w:rPr>
      </w:pPr>
    </w:p>
    <w:p w:rsidR="004E68EB" w:rsidRPr="004E68EB" w:rsidRDefault="004E68EB" w:rsidP="004E68EB">
      <w:pPr>
        <w:spacing w:after="0" w:line="240" w:lineRule="auto"/>
        <w:jc w:val="both"/>
        <w:rPr>
          <w:color w:val="000000"/>
          <w:sz w:val="26"/>
          <w:szCs w:val="26"/>
        </w:rPr>
      </w:pPr>
    </w:p>
    <w:p w:rsidR="004E68EB" w:rsidRDefault="004E68EB"/>
    <w:sectPr w:rsidR="004E6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5806"/>
    <w:multiLevelType w:val="hybridMultilevel"/>
    <w:tmpl w:val="F59E7A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697854"/>
    <w:multiLevelType w:val="hybridMultilevel"/>
    <w:tmpl w:val="6422D31C"/>
    <w:lvl w:ilvl="0" w:tplc="0FD6D906">
      <w:numFmt w:val="bullet"/>
      <w:lvlText w:val=""/>
      <w:lvlJc w:val="left"/>
      <w:pPr>
        <w:ind w:left="720" w:hanging="360"/>
      </w:pPr>
      <w:rPr>
        <w:rFonts w:ascii="Wingdings" w:eastAsia="Times New Roman" w:hAnsi="Wingdings"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F094DEE"/>
    <w:multiLevelType w:val="hybridMultilevel"/>
    <w:tmpl w:val="CBFE8794"/>
    <w:lvl w:ilvl="0" w:tplc="BB8469FE">
      <w:numFmt w:val="bullet"/>
      <w:lvlText w:val=""/>
      <w:lvlJc w:val="left"/>
      <w:pPr>
        <w:ind w:left="720" w:hanging="360"/>
      </w:pPr>
      <w:rPr>
        <w:rFonts w:ascii="Wingdings" w:eastAsia="Times New Roman" w:hAnsi="Wingdings" w:hint="default"/>
        <w:b w:val="0"/>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04E666A"/>
    <w:multiLevelType w:val="hybridMultilevel"/>
    <w:tmpl w:val="98B61FF6"/>
    <w:lvl w:ilvl="0" w:tplc="112E6D90">
      <w:start w:val="29"/>
      <w:numFmt w:val="bullet"/>
      <w:lvlText w:val=""/>
      <w:lvlJc w:val="left"/>
      <w:pPr>
        <w:ind w:left="780" w:hanging="42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6893AAB"/>
    <w:multiLevelType w:val="hybridMultilevel"/>
    <w:tmpl w:val="CA48B87A"/>
    <w:lvl w:ilvl="0" w:tplc="5AD895C2">
      <w:numFmt w:val="bullet"/>
      <w:lvlText w:val=""/>
      <w:lvlJc w:val="left"/>
      <w:pPr>
        <w:ind w:left="720" w:hanging="360"/>
      </w:pPr>
      <w:rPr>
        <w:rFonts w:ascii="Wingdings" w:eastAsiaTheme="minorEastAsia"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EB"/>
    <w:rsid w:val="00051BB9"/>
    <w:rsid w:val="004E68EB"/>
    <w:rsid w:val="00AA0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E68EB"/>
  </w:style>
  <w:style w:type="paragraph" w:styleId="Bezodstpw">
    <w:name w:val="No Spacing"/>
    <w:uiPriority w:val="1"/>
    <w:qFormat/>
    <w:rsid w:val="004E68EB"/>
    <w:pPr>
      <w:spacing w:after="0" w:line="240" w:lineRule="auto"/>
    </w:pPr>
  </w:style>
  <w:style w:type="paragraph" w:styleId="Tekstdymka">
    <w:name w:val="Balloon Text"/>
    <w:basedOn w:val="Normalny"/>
    <w:link w:val="TekstdymkaZnak"/>
    <w:uiPriority w:val="99"/>
    <w:semiHidden/>
    <w:unhideWhenUsed/>
    <w:rsid w:val="004E68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68EB"/>
    <w:rPr>
      <w:rFonts w:ascii="Tahoma" w:hAnsi="Tahoma" w:cs="Tahoma"/>
      <w:sz w:val="16"/>
      <w:szCs w:val="16"/>
    </w:rPr>
  </w:style>
  <w:style w:type="paragraph" w:styleId="NormalnyWeb">
    <w:name w:val="Normal (Web)"/>
    <w:basedOn w:val="Normalny"/>
    <w:uiPriority w:val="99"/>
    <w:semiHidden/>
    <w:unhideWhenUsed/>
    <w:rsid w:val="004E68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E68EB"/>
    <w:rPr>
      <w:b/>
      <w:bCs/>
    </w:rPr>
  </w:style>
  <w:style w:type="character" w:styleId="Hipercze">
    <w:name w:val="Hyperlink"/>
    <w:basedOn w:val="Domylnaczcionkaakapitu"/>
    <w:uiPriority w:val="99"/>
    <w:unhideWhenUsed/>
    <w:rsid w:val="004E68EB"/>
    <w:rPr>
      <w:color w:val="0000FF"/>
      <w:u w:val="single"/>
    </w:rPr>
  </w:style>
  <w:style w:type="table" w:styleId="Tabela-Siatka">
    <w:name w:val="Table Grid"/>
    <w:basedOn w:val="Standardowy"/>
    <w:uiPriority w:val="59"/>
    <w:rsid w:val="004E6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4E68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68EB"/>
    <w:rPr>
      <w:sz w:val="20"/>
      <w:szCs w:val="20"/>
    </w:rPr>
  </w:style>
  <w:style w:type="character" w:styleId="Odwoanieprzypisukocowego">
    <w:name w:val="endnote reference"/>
    <w:basedOn w:val="Domylnaczcionkaakapitu"/>
    <w:uiPriority w:val="99"/>
    <w:semiHidden/>
    <w:unhideWhenUsed/>
    <w:rsid w:val="004E68EB"/>
    <w:rPr>
      <w:vertAlign w:val="superscript"/>
    </w:rPr>
  </w:style>
  <w:style w:type="numbering" w:customStyle="1" w:styleId="Bezlisty11">
    <w:name w:val="Bez listy11"/>
    <w:next w:val="Bezlisty"/>
    <w:uiPriority w:val="99"/>
    <w:semiHidden/>
    <w:unhideWhenUsed/>
    <w:rsid w:val="004E68EB"/>
  </w:style>
  <w:style w:type="table" w:customStyle="1" w:styleId="Tabela-Siatka1">
    <w:name w:val="Tabela - Siatka1"/>
    <w:basedOn w:val="Standardowy"/>
    <w:next w:val="Tabela-Siatka"/>
    <w:uiPriority w:val="59"/>
    <w:rsid w:val="004E68E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E68EB"/>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E68EB"/>
  </w:style>
  <w:style w:type="paragraph" w:styleId="Bezodstpw">
    <w:name w:val="No Spacing"/>
    <w:uiPriority w:val="1"/>
    <w:qFormat/>
    <w:rsid w:val="004E68EB"/>
    <w:pPr>
      <w:spacing w:after="0" w:line="240" w:lineRule="auto"/>
    </w:pPr>
  </w:style>
  <w:style w:type="paragraph" w:styleId="Tekstdymka">
    <w:name w:val="Balloon Text"/>
    <w:basedOn w:val="Normalny"/>
    <w:link w:val="TekstdymkaZnak"/>
    <w:uiPriority w:val="99"/>
    <w:semiHidden/>
    <w:unhideWhenUsed/>
    <w:rsid w:val="004E68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68EB"/>
    <w:rPr>
      <w:rFonts w:ascii="Tahoma" w:hAnsi="Tahoma" w:cs="Tahoma"/>
      <w:sz w:val="16"/>
      <w:szCs w:val="16"/>
    </w:rPr>
  </w:style>
  <w:style w:type="paragraph" w:styleId="NormalnyWeb">
    <w:name w:val="Normal (Web)"/>
    <w:basedOn w:val="Normalny"/>
    <w:uiPriority w:val="99"/>
    <w:semiHidden/>
    <w:unhideWhenUsed/>
    <w:rsid w:val="004E68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E68EB"/>
    <w:rPr>
      <w:b/>
      <w:bCs/>
    </w:rPr>
  </w:style>
  <w:style w:type="character" w:styleId="Hipercze">
    <w:name w:val="Hyperlink"/>
    <w:basedOn w:val="Domylnaczcionkaakapitu"/>
    <w:uiPriority w:val="99"/>
    <w:unhideWhenUsed/>
    <w:rsid w:val="004E68EB"/>
    <w:rPr>
      <w:color w:val="0000FF"/>
      <w:u w:val="single"/>
    </w:rPr>
  </w:style>
  <w:style w:type="table" w:styleId="Tabela-Siatka">
    <w:name w:val="Table Grid"/>
    <w:basedOn w:val="Standardowy"/>
    <w:uiPriority w:val="59"/>
    <w:rsid w:val="004E6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4E68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68EB"/>
    <w:rPr>
      <w:sz w:val="20"/>
      <w:szCs w:val="20"/>
    </w:rPr>
  </w:style>
  <w:style w:type="character" w:styleId="Odwoanieprzypisukocowego">
    <w:name w:val="endnote reference"/>
    <w:basedOn w:val="Domylnaczcionkaakapitu"/>
    <w:uiPriority w:val="99"/>
    <w:semiHidden/>
    <w:unhideWhenUsed/>
    <w:rsid w:val="004E68EB"/>
    <w:rPr>
      <w:vertAlign w:val="superscript"/>
    </w:rPr>
  </w:style>
  <w:style w:type="numbering" w:customStyle="1" w:styleId="Bezlisty11">
    <w:name w:val="Bez listy11"/>
    <w:next w:val="Bezlisty"/>
    <w:uiPriority w:val="99"/>
    <w:semiHidden/>
    <w:unhideWhenUsed/>
    <w:rsid w:val="004E68EB"/>
  </w:style>
  <w:style w:type="table" w:customStyle="1" w:styleId="Tabela-Siatka1">
    <w:name w:val="Tabela - Siatka1"/>
    <w:basedOn w:val="Standardowy"/>
    <w:next w:val="Tabela-Siatka"/>
    <w:uiPriority w:val="59"/>
    <w:rsid w:val="004E68E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E68EB"/>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analizy-rynkowe.pl" TargetMode="External"/><Relationship Id="rId18" Type="http://schemas.openxmlformats.org/officeDocument/2006/relationships/hyperlink" Target="http://www.analizy-rynkowe.pl" TargetMode="External"/><Relationship Id="rId26" Type="http://schemas.openxmlformats.org/officeDocument/2006/relationships/hyperlink" Target="http://www.analizy-rynkowe.p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nalizy-rynkowe.pl" TargetMode="External"/><Relationship Id="rId34" Type="http://schemas.openxmlformats.org/officeDocument/2006/relationships/hyperlink" Target="http://www.analizy-rynkowe.pl" TargetMode="External"/><Relationship Id="rId7" Type="http://schemas.openxmlformats.org/officeDocument/2006/relationships/image" Target="media/image2.gif"/><Relationship Id="rId12" Type="http://schemas.openxmlformats.org/officeDocument/2006/relationships/hyperlink" Target="http://analizy-rynkowe.pl/" TargetMode="External"/><Relationship Id="rId17" Type="http://schemas.openxmlformats.org/officeDocument/2006/relationships/hyperlink" Target="http://www.analizy-rynkowe.pl" TargetMode="External"/><Relationship Id="rId25" Type="http://schemas.openxmlformats.org/officeDocument/2006/relationships/hyperlink" Target="http://www.analizy-rynkowe.pl" TargetMode="External"/><Relationship Id="rId33" Type="http://schemas.openxmlformats.org/officeDocument/2006/relationships/hyperlink" Target="http://www.analizy-rynkowe.pl" TargetMode="External"/><Relationship Id="rId38" Type="http://schemas.openxmlformats.org/officeDocument/2006/relationships/hyperlink" Target="http://www.analizy-rynkowe.pl" TargetMode="External"/><Relationship Id="rId2" Type="http://schemas.openxmlformats.org/officeDocument/2006/relationships/styles" Target="styles.xml"/><Relationship Id="rId16" Type="http://schemas.openxmlformats.org/officeDocument/2006/relationships/hyperlink" Target="http://www.analizy-rynkowe.pl" TargetMode="External"/><Relationship Id="rId20" Type="http://schemas.openxmlformats.org/officeDocument/2006/relationships/hyperlink" Target="http://www.analizy-rynkowe.pl" TargetMode="External"/><Relationship Id="rId29" Type="http://schemas.openxmlformats.org/officeDocument/2006/relationships/hyperlink" Target="http://www.analizy-rynkowe.p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gif"/><Relationship Id="rId24" Type="http://schemas.openxmlformats.org/officeDocument/2006/relationships/hyperlink" Target="http://analizy-rynkowe.pl/" TargetMode="External"/><Relationship Id="rId32" Type="http://schemas.openxmlformats.org/officeDocument/2006/relationships/hyperlink" Target="http://www.analizy-rynkowe.pl" TargetMode="External"/><Relationship Id="rId37" Type="http://schemas.openxmlformats.org/officeDocument/2006/relationships/hyperlink" Target="http://www.analizy-rynkowe.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nalizy-rynkowe.pl" TargetMode="External"/><Relationship Id="rId23" Type="http://schemas.openxmlformats.org/officeDocument/2006/relationships/hyperlink" Target="http://www.analizy-rynkowe.pl" TargetMode="External"/><Relationship Id="rId28" Type="http://schemas.openxmlformats.org/officeDocument/2006/relationships/hyperlink" Target="http://www.analizy-rynkowe.pl" TargetMode="External"/><Relationship Id="rId36" Type="http://schemas.openxmlformats.org/officeDocument/2006/relationships/hyperlink" Target="http://analizy-rynkowe.pl/" TargetMode="External"/><Relationship Id="rId10" Type="http://schemas.openxmlformats.org/officeDocument/2006/relationships/image" Target="media/image4.gif"/><Relationship Id="rId19" Type="http://schemas.openxmlformats.org/officeDocument/2006/relationships/hyperlink" Target="http://www.analizy-rynkowe.pl" TargetMode="External"/><Relationship Id="rId31" Type="http://schemas.openxmlformats.org/officeDocument/2006/relationships/hyperlink" Target="http://www.analizy-rynkowe.pl" TargetMode="External"/><Relationship Id="rId4" Type="http://schemas.openxmlformats.org/officeDocument/2006/relationships/settings" Target="settings.xml"/><Relationship Id="rId9" Type="http://schemas.openxmlformats.org/officeDocument/2006/relationships/hyperlink" Target="https://www.msci.com/resources/factsheets/index_fact_sheet/msci-emerging-markets-index-usd-net.pdf" TargetMode="External"/><Relationship Id="rId14" Type="http://schemas.openxmlformats.org/officeDocument/2006/relationships/hyperlink" Target="http://www.analizy-rynkowe.pl" TargetMode="External"/><Relationship Id="rId22" Type="http://schemas.openxmlformats.org/officeDocument/2006/relationships/hyperlink" Target="http://www.analizy-rynkowe.pl" TargetMode="External"/><Relationship Id="rId27" Type="http://schemas.openxmlformats.org/officeDocument/2006/relationships/hyperlink" Target="http://www.analizy-rynkowe.pl" TargetMode="External"/><Relationship Id="rId30" Type="http://schemas.openxmlformats.org/officeDocument/2006/relationships/hyperlink" Target="http://www.analizy-rynkowe.pl" TargetMode="External"/><Relationship Id="rId35" Type="http://schemas.openxmlformats.org/officeDocument/2006/relationships/hyperlink" Target="http://www.analizy-rynkow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4112</Words>
  <Characters>24676</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2</cp:revision>
  <dcterms:created xsi:type="dcterms:W3CDTF">2015-12-27T11:35:00Z</dcterms:created>
  <dcterms:modified xsi:type="dcterms:W3CDTF">2015-12-27T11:36:00Z</dcterms:modified>
</cp:coreProperties>
</file>