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36C" w:rsidRPr="0047436C" w:rsidRDefault="0047436C" w:rsidP="0047436C">
      <w:pPr>
        <w:spacing w:after="0" w:line="240" w:lineRule="auto"/>
        <w:jc w:val="center"/>
        <w:rPr>
          <w:color w:val="FF0000"/>
          <w:sz w:val="180"/>
          <w:szCs w:val="180"/>
          <w14:shadow w14:blurRad="50800" w14:dist="38100" w14:dir="2700000" w14:sx="100000" w14:sy="100000" w14:kx="0" w14:ky="0" w14:algn="tl">
            <w14:srgbClr w14:val="000000">
              <w14:alpha w14:val="60000"/>
            </w14:srgbClr>
          </w14:shadow>
        </w:rPr>
      </w:pPr>
      <w:r w:rsidRPr="0047436C">
        <w:rPr>
          <w:color w:val="FF0000"/>
          <w:sz w:val="180"/>
          <w:szCs w:val="180"/>
          <w14:shadow w14:blurRad="50800" w14:dist="38100" w14:dir="2700000" w14:sx="100000" w14:sy="100000" w14:kx="0" w14:ky="0" w14:algn="tl">
            <w14:srgbClr w14:val="000000">
              <w14:alpha w14:val="60000"/>
            </w14:srgbClr>
          </w14:shadow>
        </w:rPr>
        <w:t>Raport</w:t>
      </w:r>
    </w:p>
    <w:p w:rsidR="0047436C" w:rsidRPr="0047436C" w:rsidRDefault="0047436C" w:rsidP="0047436C">
      <w:pPr>
        <w:spacing w:after="0" w:line="240" w:lineRule="auto"/>
        <w:jc w:val="center"/>
        <w:rPr>
          <w:color w:val="FF0000"/>
          <w:sz w:val="180"/>
          <w:szCs w:val="180"/>
          <w14:shadow w14:blurRad="50800" w14:dist="38100" w14:dir="2700000" w14:sx="100000" w14:sy="100000" w14:kx="0" w14:ky="0" w14:algn="tl">
            <w14:srgbClr w14:val="000000">
              <w14:alpha w14:val="60000"/>
            </w14:srgbClr>
          </w14:shadow>
        </w:rPr>
      </w:pPr>
      <w:r w:rsidRPr="0047436C">
        <w:rPr>
          <w:color w:val="FF0000"/>
          <w:sz w:val="180"/>
          <w:szCs w:val="180"/>
          <w14:shadow w14:blurRad="50800" w14:dist="38100" w14:dir="2700000" w14:sx="100000" w14:sy="100000" w14:kx="0" w14:ky="0" w14:algn="tl">
            <w14:srgbClr w14:val="000000">
              <w14:alpha w14:val="60000"/>
            </w14:srgbClr>
          </w14:shadow>
        </w:rPr>
        <w:t>Tygodniowy</w:t>
      </w:r>
    </w:p>
    <w:p w:rsidR="0047436C" w:rsidRPr="0047436C" w:rsidRDefault="0047436C" w:rsidP="0047436C">
      <w:pPr>
        <w:spacing w:after="0" w:line="240" w:lineRule="auto"/>
        <w:jc w:val="center"/>
        <w:rPr>
          <w:color w:val="FF0000"/>
          <w:sz w:val="100"/>
          <w:szCs w:val="100"/>
          <w14:shadow w14:blurRad="50800" w14:dist="38100" w14:dir="2700000" w14:sx="100000" w14:sy="100000" w14:kx="0" w14:ky="0" w14:algn="tl">
            <w14:srgbClr w14:val="000000">
              <w14:alpha w14:val="60000"/>
            </w14:srgbClr>
          </w14:shadow>
        </w:rPr>
      </w:pPr>
      <w:proofErr w:type="gramStart"/>
      <w:r w:rsidRPr="0047436C">
        <w:rPr>
          <w:color w:val="FF0000"/>
          <w:sz w:val="100"/>
          <w:szCs w:val="100"/>
          <w14:shadow w14:blurRad="50800" w14:dist="38100" w14:dir="2700000" w14:sx="100000" w14:sy="100000" w14:kx="0" w14:ky="0" w14:algn="tl">
            <w14:srgbClr w14:val="000000">
              <w14:alpha w14:val="60000"/>
            </w14:srgbClr>
          </w14:shadow>
        </w:rPr>
        <w:t>o</w:t>
      </w:r>
      <w:proofErr w:type="gramEnd"/>
      <w:r w:rsidRPr="0047436C">
        <w:rPr>
          <w:color w:val="FF0000"/>
          <w:sz w:val="100"/>
          <w:szCs w:val="100"/>
          <w14:shadow w14:blurRad="50800" w14:dist="38100" w14:dir="2700000" w14:sx="100000" w14:sy="100000" w14:kx="0" w14:ky="0" w14:algn="tl">
            <w14:srgbClr w14:val="000000">
              <w14:alpha w14:val="60000"/>
            </w14:srgbClr>
          </w14:shadow>
        </w:rPr>
        <w:t xml:space="preserve"> sytuacji na</w:t>
      </w:r>
    </w:p>
    <w:p w:rsidR="0047436C" w:rsidRPr="0047436C" w:rsidRDefault="0047436C" w:rsidP="0047436C">
      <w:pPr>
        <w:spacing w:after="0" w:line="240" w:lineRule="auto"/>
        <w:jc w:val="center"/>
        <w:rPr>
          <w:color w:val="FF0000"/>
          <w:sz w:val="100"/>
          <w:szCs w:val="100"/>
          <w14:shadow w14:blurRad="50800" w14:dist="38100" w14:dir="2700000" w14:sx="100000" w14:sy="100000" w14:kx="0" w14:ky="0" w14:algn="tl">
            <w14:srgbClr w14:val="000000">
              <w14:alpha w14:val="60000"/>
            </w14:srgbClr>
          </w14:shadow>
        </w:rPr>
      </w:pPr>
      <w:proofErr w:type="gramStart"/>
      <w:r w:rsidRPr="0047436C">
        <w:rPr>
          <w:color w:val="FF0000"/>
          <w:sz w:val="100"/>
          <w:szCs w:val="100"/>
          <w14:shadow w14:blurRad="50800" w14:dist="38100" w14:dir="2700000" w14:sx="100000" w14:sy="100000" w14:kx="0" w14:ky="0" w14:algn="tl">
            <w14:srgbClr w14:val="000000">
              <w14:alpha w14:val="60000"/>
            </w14:srgbClr>
          </w14:shadow>
        </w:rPr>
        <w:t>rynkach</w:t>
      </w:r>
      <w:proofErr w:type="gramEnd"/>
      <w:r w:rsidRPr="0047436C">
        <w:rPr>
          <w:color w:val="FF0000"/>
          <w:sz w:val="100"/>
          <w:szCs w:val="100"/>
          <w14:shadow w14:blurRad="50800" w14:dist="38100" w14:dir="2700000" w14:sx="100000" w14:sy="100000" w14:kx="0" w14:ky="0" w14:algn="tl">
            <w14:srgbClr w14:val="000000">
              <w14:alpha w14:val="60000"/>
            </w14:srgbClr>
          </w14:shadow>
        </w:rPr>
        <w:t xml:space="preserve"> finansowych</w:t>
      </w:r>
    </w:p>
    <w:p w:rsidR="0047436C" w:rsidRPr="0047436C" w:rsidRDefault="0047436C" w:rsidP="0047436C">
      <w:pPr>
        <w:spacing w:after="0" w:line="240" w:lineRule="auto"/>
        <w:jc w:val="center"/>
        <w:rPr>
          <w:sz w:val="48"/>
          <w:szCs w:val="48"/>
        </w:rPr>
      </w:pPr>
    </w:p>
    <w:p w:rsidR="0047436C" w:rsidRPr="0047436C" w:rsidRDefault="0047436C" w:rsidP="0047436C">
      <w:pPr>
        <w:spacing w:after="0" w:line="240" w:lineRule="auto"/>
        <w:jc w:val="center"/>
        <w:rPr>
          <w:sz w:val="48"/>
          <w:szCs w:val="48"/>
        </w:rPr>
      </w:pPr>
    </w:p>
    <w:p w:rsidR="0047436C" w:rsidRPr="0047436C" w:rsidRDefault="0047436C" w:rsidP="0047436C">
      <w:pPr>
        <w:spacing w:after="0" w:line="240" w:lineRule="auto"/>
        <w:jc w:val="center"/>
        <w:rPr>
          <w:sz w:val="100"/>
          <w:szCs w:val="100"/>
          <w:u w:val="single"/>
          <w14:shadow w14:blurRad="50800" w14:dist="38100" w14:dir="2700000" w14:sx="100000" w14:sy="100000" w14:kx="0" w14:ky="0" w14:algn="tl">
            <w14:srgbClr w14:val="000000">
              <w14:alpha w14:val="60000"/>
            </w14:srgbClr>
          </w14:shadow>
        </w:rPr>
      </w:pPr>
      <w:r w:rsidRPr="0047436C">
        <w:rPr>
          <w:sz w:val="100"/>
          <w:szCs w:val="100"/>
          <w:u w:val="single"/>
          <w14:shadow w14:blurRad="50800" w14:dist="38100" w14:dir="2700000" w14:sx="100000" w14:sy="100000" w14:kx="0" w14:ky="0" w14:algn="tl">
            <w14:srgbClr w14:val="000000">
              <w14:alpha w14:val="60000"/>
            </w14:srgbClr>
          </w14:shadow>
        </w:rPr>
        <w:t>Rynek walutowy</w:t>
      </w:r>
    </w:p>
    <w:p w:rsidR="0047436C" w:rsidRPr="0047436C" w:rsidRDefault="0047436C" w:rsidP="0047436C">
      <w:pPr>
        <w:spacing w:after="0" w:line="240" w:lineRule="auto"/>
        <w:jc w:val="center"/>
        <w:rPr>
          <w:sz w:val="100"/>
          <w:szCs w:val="100"/>
          <w14:shadow w14:blurRad="50800" w14:dist="38100" w14:dir="2700000" w14:sx="100000" w14:sy="100000" w14:kx="0" w14:ky="0" w14:algn="tl">
            <w14:srgbClr w14:val="000000">
              <w14:alpha w14:val="60000"/>
            </w14:srgbClr>
          </w14:shadow>
        </w:rPr>
      </w:pPr>
    </w:p>
    <w:p w:rsidR="0047436C" w:rsidRPr="0047436C" w:rsidRDefault="0047436C" w:rsidP="0047436C">
      <w:pPr>
        <w:jc w:val="center"/>
        <w:rPr>
          <w:sz w:val="100"/>
          <w:szCs w:val="100"/>
          <w:u w:val="single"/>
          <w14:shadow w14:blurRad="50800" w14:dist="38100" w14:dir="2700000" w14:sx="100000" w14:sy="100000" w14:kx="0" w14:ky="0" w14:algn="tl">
            <w14:srgbClr w14:val="000000">
              <w14:alpha w14:val="60000"/>
            </w14:srgbClr>
          </w14:shadow>
        </w:rPr>
      </w:pPr>
      <w:r w:rsidRPr="0047436C">
        <w:rPr>
          <w:sz w:val="100"/>
          <w:szCs w:val="100"/>
          <w:u w:val="single"/>
          <w14:shadow w14:blurRad="50800" w14:dist="38100" w14:dir="2700000" w14:sx="100000" w14:sy="100000" w14:kx="0" w14:ky="0" w14:algn="tl">
            <w14:srgbClr w14:val="000000">
              <w14:alpha w14:val="60000"/>
            </w14:srgbClr>
          </w14:shadow>
        </w:rPr>
        <w:t>Rynek akcji</w:t>
      </w:r>
    </w:p>
    <w:p w:rsidR="0047436C" w:rsidRPr="0047436C" w:rsidRDefault="0047436C" w:rsidP="0047436C">
      <w:pPr>
        <w:spacing w:after="0" w:line="240" w:lineRule="auto"/>
        <w:jc w:val="both"/>
        <w:rPr>
          <w:sz w:val="26"/>
          <w:szCs w:val="26"/>
        </w:rPr>
      </w:pPr>
    </w:p>
    <w:p w:rsidR="0047436C" w:rsidRPr="0047436C" w:rsidRDefault="0047436C" w:rsidP="0047436C">
      <w:pPr>
        <w:spacing w:after="0" w:line="240" w:lineRule="auto"/>
        <w:jc w:val="both"/>
        <w:rPr>
          <w:sz w:val="26"/>
          <w:szCs w:val="26"/>
        </w:rPr>
      </w:pPr>
    </w:p>
    <w:p w:rsidR="0047436C" w:rsidRPr="0047436C" w:rsidRDefault="0047436C" w:rsidP="0047436C">
      <w:pPr>
        <w:spacing w:after="0" w:line="240" w:lineRule="auto"/>
        <w:jc w:val="both"/>
        <w:rPr>
          <w:sz w:val="24"/>
          <w:szCs w:val="24"/>
          <w14:shadow w14:blurRad="50800" w14:dist="38100" w14:dir="2700000" w14:sx="100000" w14:sy="100000" w14:kx="0" w14:ky="0" w14:algn="tl">
            <w14:srgbClr w14:val="000000">
              <w14:alpha w14:val="60000"/>
            </w14:srgbClr>
          </w14:shadow>
        </w:rPr>
      </w:pPr>
      <w:r w:rsidRPr="0047436C">
        <w:rPr>
          <w:sz w:val="24"/>
          <w:szCs w:val="24"/>
          <w14:shadow w14:blurRad="50800" w14:dist="38100" w14:dir="2700000" w14:sx="100000" w14:sy="100000" w14:kx="0" w14:ky="0" w14:algn="tl">
            <w14:srgbClr w14:val="000000">
              <w14:alpha w14:val="60000"/>
            </w14:srgbClr>
          </w14:shadow>
        </w:rPr>
        <w:lastRenderedPageBreak/>
        <w:t xml:space="preserve">Poniedziałek, </w:t>
      </w:r>
      <w:r w:rsidR="001C58D2">
        <w:rPr>
          <w:sz w:val="24"/>
          <w:szCs w:val="24"/>
          <w14:shadow w14:blurRad="50800" w14:dist="38100" w14:dir="2700000" w14:sx="100000" w14:sy="100000" w14:kx="0" w14:ky="0" w14:algn="tl">
            <w14:srgbClr w14:val="000000">
              <w14:alpha w14:val="60000"/>
            </w14:srgbClr>
          </w14:shadow>
        </w:rPr>
        <w:t>21</w:t>
      </w:r>
      <w:r w:rsidRPr="0047436C">
        <w:rPr>
          <w:sz w:val="24"/>
          <w:szCs w:val="24"/>
          <w14:shadow w14:blurRad="50800" w14:dist="38100" w14:dir="2700000" w14:sx="100000" w14:sy="100000" w14:kx="0" w14:ky="0" w14:algn="tl">
            <w14:srgbClr w14:val="000000">
              <w14:alpha w14:val="60000"/>
            </w14:srgbClr>
          </w14:shadow>
        </w:rPr>
        <w:t xml:space="preserve"> listopada 2016 roku</w:t>
      </w:r>
    </w:p>
    <w:p w:rsidR="0047436C" w:rsidRPr="0047436C" w:rsidRDefault="0047436C" w:rsidP="0047436C">
      <w:pPr>
        <w:pBdr>
          <w:top w:val="single" w:sz="4" w:space="1" w:color="auto"/>
          <w:left w:val="single" w:sz="4" w:space="4" w:color="auto"/>
          <w:bottom w:val="single" w:sz="4" w:space="1" w:color="auto"/>
          <w:right w:val="single" w:sz="4" w:space="4" w:color="auto"/>
        </w:pBdr>
        <w:shd w:val="clear" w:color="auto" w:fill="FFCCFF"/>
        <w:spacing w:after="0" w:line="240" w:lineRule="auto"/>
        <w:jc w:val="center"/>
      </w:pPr>
      <w:r w:rsidRPr="0047436C">
        <w:t xml:space="preserve">Kurs USD/PLN – perspektywa długoterminowa, kurs </w:t>
      </w:r>
      <w:r w:rsidR="001C58D2">
        <w:t>z 18 listopada 2016 roku = 4,1900</w:t>
      </w:r>
    </w:p>
    <w:p w:rsidR="0047436C" w:rsidRDefault="0009138C" w:rsidP="0047436C">
      <w:pPr>
        <w:spacing w:after="0" w:line="240" w:lineRule="auto"/>
        <w:jc w:val="both"/>
      </w:pPr>
      <w:r>
        <w:rPr>
          <w:noProof/>
          <w:lang w:eastAsia="pl-PL"/>
        </w:rPr>
        <w:drawing>
          <wp:inline distT="0" distB="0" distL="0" distR="0" wp14:anchorId="21D83B64">
            <wp:extent cx="4829175" cy="29051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2905125"/>
                    </a:xfrm>
                    <a:prstGeom prst="rect">
                      <a:avLst/>
                    </a:prstGeom>
                    <a:noFill/>
                  </pic:spPr>
                </pic:pic>
              </a:graphicData>
            </a:graphic>
          </wp:inline>
        </w:drawing>
      </w:r>
    </w:p>
    <w:p w:rsidR="00D92260" w:rsidRPr="0047436C" w:rsidRDefault="00D92260" w:rsidP="0047436C">
      <w:pPr>
        <w:spacing w:after="0" w:line="240" w:lineRule="auto"/>
        <w:jc w:val="both"/>
      </w:pPr>
      <w:r w:rsidRPr="00D92260">
        <w:t xml:space="preserve">Kurs dolara amerykańskiego (w złotych) w ubiegłym tygodniu </w:t>
      </w:r>
      <w:r w:rsidRPr="00D92260">
        <w:rPr>
          <w:b/>
        </w:rPr>
        <w:t>przebił maksimum</w:t>
      </w:r>
      <w:r w:rsidRPr="00D92260">
        <w:t xml:space="preserve"> z 21 stycznia 2016 roku (</w:t>
      </w:r>
      <w:r w:rsidRPr="00D92260">
        <w:rPr>
          <w:b/>
        </w:rPr>
        <w:t>4,1322 zł</w:t>
      </w:r>
      <w:r w:rsidRPr="00D92260">
        <w:t xml:space="preserve">.). W pewnym stopniu można to prawdopodobnie wiązać z zaprezentowaniem słabszych od oczekiwanych danych o PKB za III kwartał tego roku. Być może opisana tendencja była także kontynuacją reakcji na opublikowanie danych o </w:t>
      </w:r>
      <w:r w:rsidR="0073240A">
        <w:t xml:space="preserve">stosunkowo słabych </w:t>
      </w:r>
      <w:r w:rsidRPr="00D92260">
        <w:t>nastrojach PMI w przemyśle w naszym kraju. Informacje te powodują, że perspektywa rozpoczęcie fazy zaostrzania polityki pien</w:t>
      </w:r>
      <w:r w:rsidR="0073240A">
        <w:t>iężnej przez RPP ulega oddaleniu</w:t>
      </w:r>
      <w:r w:rsidRPr="00D92260">
        <w:t xml:space="preserve">. </w:t>
      </w:r>
      <w:r>
        <w:t xml:space="preserve">Po pokonaniu oporu możliwe są dalsze zwyżki. </w:t>
      </w:r>
    </w:p>
    <w:p w:rsidR="0047436C" w:rsidRPr="0047436C" w:rsidRDefault="0047436C" w:rsidP="0047436C">
      <w:pPr>
        <w:pBdr>
          <w:top w:val="single" w:sz="4" w:space="1" w:color="auto"/>
          <w:left w:val="single" w:sz="4" w:space="4" w:color="auto"/>
          <w:bottom w:val="single" w:sz="4" w:space="1" w:color="auto"/>
          <w:right w:val="single" w:sz="4" w:space="4" w:color="auto"/>
        </w:pBdr>
        <w:shd w:val="clear" w:color="auto" w:fill="FFCCFF"/>
        <w:spacing w:after="0" w:line="240" w:lineRule="auto"/>
        <w:jc w:val="center"/>
      </w:pPr>
      <w:r w:rsidRPr="0047436C">
        <w:t xml:space="preserve">Kurs EUR/PLN – perspektywa średniookresowa, kurs </w:t>
      </w:r>
      <w:r w:rsidR="001C58D2">
        <w:t>z 18 listopada 2016 roku = 4,4392</w:t>
      </w:r>
    </w:p>
    <w:p w:rsidR="0047436C" w:rsidRPr="0047436C" w:rsidRDefault="0009138C" w:rsidP="0047436C">
      <w:pPr>
        <w:spacing w:after="0" w:line="240" w:lineRule="auto"/>
        <w:jc w:val="both"/>
      </w:pPr>
      <w:r>
        <w:rPr>
          <w:noProof/>
          <w:lang w:eastAsia="pl-PL"/>
        </w:rPr>
        <w:drawing>
          <wp:inline distT="0" distB="0" distL="0" distR="0" wp14:anchorId="70516364">
            <wp:extent cx="4829175" cy="29051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9175" cy="2905125"/>
                    </a:xfrm>
                    <a:prstGeom prst="rect">
                      <a:avLst/>
                    </a:prstGeom>
                    <a:noFill/>
                  </pic:spPr>
                </pic:pic>
              </a:graphicData>
            </a:graphic>
          </wp:inline>
        </w:drawing>
      </w:r>
    </w:p>
    <w:p w:rsidR="00D92260" w:rsidRDefault="0047436C" w:rsidP="0047436C">
      <w:pPr>
        <w:spacing w:after="0" w:line="240" w:lineRule="auto"/>
        <w:jc w:val="both"/>
      </w:pPr>
      <w:r w:rsidRPr="0047436C">
        <w:t xml:space="preserve">Kurs euro amerykańskiego (w złotych) </w:t>
      </w:r>
      <w:r w:rsidR="00D92260" w:rsidRPr="00D92260">
        <w:rPr>
          <w:b/>
        </w:rPr>
        <w:t>zbliża się powoli do ważnego oporu</w:t>
      </w:r>
      <w:r w:rsidR="00D92260">
        <w:t xml:space="preserve"> znajdującego się na poziomie </w:t>
      </w:r>
      <w:r w:rsidR="00D92260" w:rsidRPr="00D92260">
        <w:rPr>
          <w:b/>
        </w:rPr>
        <w:t>4,4970 zł</w:t>
      </w:r>
      <w:r w:rsidR="00D92260">
        <w:t>. Jest to szczyt z</w:t>
      </w:r>
      <w:r w:rsidR="0073240A">
        <w:t xml:space="preserve"> 20</w:t>
      </w:r>
      <w:r w:rsidR="00D92260">
        <w:t xml:space="preserve"> stycznia 2016 roku. Pokonanie tego poziomu otworzyłoby drogę do dalszych zwyżek. Z fundamentalnego punktu widzenia wydaje si, że za umocnieniem kursu euro (w złotych) stały prawdopodobnie te same czynniki, które stały za umocnieniem kursu dolara amerykańskiego w złotych. Warto jednak zauważyć, że o ile w przypadku kursu dolara amerykańskiego (w złotych) pokonany już został opór ze stycznia tego roku, o tyle w przypadku kursu euro (w złotych) jeszcze do tego nie doszło, co powoduje, że szansę na wzrosty w przypadku kursu euro (w złotych) są chyba mniejsze. </w:t>
      </w:r>
    </w:p>
    <w:p w:rsidR="00AC16B8" w:rsidRPr="00B46241" w:rsidRDefault="00AC16B8" w:rsidP="00AC16B8">
      <w:pPr>
        <w:pStyle w:val="Bezodstpw"/>
        <w:pBdr>
          <w:top w:val="single" w:sz="4" w:space="1" w:color="auto"/>
          <w:left w:val="single" w:sz="4" w:space="4" w:color="auto"/>
          <w:bottom w:val="single" w:sz="4" w:space="1" w:color="auto"/>
          <w:right w:val="single" w:sz="4" w:space="4" w:color="auto"/>
        </w:pBdr>
        <w:shd w:val="clear" w:color="auto" w:fill="FFC000"/>
        <w:jc w:val="center"/>
        <w:rPr>
          <w:sz w:val="26"/>
          <w:szCs w:val="26"/>
        </w:rPr>
      </w:pPr>
      <w:r w:rsidRPr="00B46241">
        <w:rPr>
          <w:sz w:val="26"/>
          <w:szCs w:val="26"/>
        </w:rPr>
        <w:lastRenderedPageBreak/>
        <w:t xml:space="preserve">Czy dalsze umocnienie kursów walut obcych (w złotych) jest </w:t>
      </w:r>
      <w:proofErr w:type="gramStart"/>
      <w:r w:rsidRPr="00B46241">
        <w:rPr>
          <w:sz w:val="26"/>
          <w:szCs w:val="26"/>
        </w:rPr>
        <w:t>realne ?</w:t>
      </w:r>
      <w:proofErr w:type="gramEnd"/>
    </w:p>
    <w:p w:rsidR="00AC16B8" w:rsidRPr="00B46241" w:rsidRDefault="00AC16B8" w:rsidP="00AC16B8">
      <w:pPr>
        <w:pStyle w:val="Bezodstpw"/>
        <w:jc w:val="center"/>
        <w:rPr>
          <w:sz w:val="26"/>
          <w:szCs w:val="26"/>
        </w:rPr>
      </w:pPr>
    </w:p>
    <w:p w:rsidR="00AC16B8" w:rsidRDefault="00AC16B8" w:rsidP="001F1EA6">
      <w:pPr>
        <w:pStyle w:val="Bezodstpw"/>
        <w:jc w:val="both"/>
        <w:rPr>
          <w:sz w:val="26"/>
          <w:szCs w:val="26"/>
        </w:rPr>
      </w:pPr>
      <w:r w:rsidRPr="00B46241">
        <w:rPr>
          <w:sz w:val="26"/>
          <w:szCs w:val="26"/>
        </w:rPr>
        <w:t xml:space="preserve">Wedle mojej opinii jest ono możliwe, ale nie jest jeszcze przesądzone. Co więcej na razie za bardziej prawdopodobny uważam wariant </w:t>
      </w:r>
      <w:proofErr w:type="gramStart"/>
      <w:r w:rsidRPr="00B46241">
        <w:rPr>
          <w:sz w:val="26"/>
          <w:szCs w:val="26"/>
        </w:rPr>
        <w:t>konsolidacji po której</w:t>
      </w:r>
      <w:proofErr w:type="gramEnd"/>
      <w:r w:rsidRPr="00B46241">
        <w:rPr>
          <w:sz w:val="26"/>
          <w:szCs w:val="26"/>
        </w:rPr>
        <w:t xml:space="preserve"> może dojść do osłabienia kursów walut obcych. Dlaczego tak </w:t>
      </w:r>
      <w:proofErr w:type="gramStart"/>
      <w:r w:rsidRPr="00B46241">
        <w:rPr>
          <w:sz w:val="26"/>
          <w:szCs w:val="26"/>
        </w:rPr>
        <w:t xml:space="preserve">sądzę ?. </w:t>
      </w:r>
      <w:r>
        <w:rPr>
          <w:sz w:val="26"/>
          <w:szCs w:val="26"/>
        </w:rPr>
        <w:t xml:space="preserve"> </w:t>
      </w:r>
      <w:proofErr w:type="gramEnd"/>
    </w:p>
    <w:p w:rsidR="00AC16B8" w:rsidRDefault="00AC16B8" w:rsidP="00AC16B8">
      <w:pPr>
        <w:pStyle w:val="Bezodstpw"/>
        <w:rPr>
          <w:sz w:val="26"/>
          <w:szCs w:val="26"/>
        </w:rPr>
      </w:pPr>
    </w:p>
    <w:p w:rsidR="00AC16B8" w:rsidRPr="00B46241" w:rsidRDefault="00AC16B8" w:rsidP="00AC16B8">
      <w:pPr>
        <w:pStyle w:val="Bezodstpw"/>
        <w:jc w:val="both"/>
        <w:rPr>
          <w:sz w:val="26"/>
          <w:szCs w:val="26"/>
        </w:rPr>
      </w:pPr>
      <w:r w:rsidRPr="001F1EA6">
        <w:rPr>
          <w:b/>
          <w:sz w:val="26"/>
          <w:szCs w:val="26"/>
          <w:u w:val="single"/>
        </w:rPr>
        <w:t>Polish Zloty Basket</w:t>
      </w:r>
      <w:r w:rsidRPr="00B46241">
        <w:rPr>
          <w:sz w:val="26"/>
          <w:szCs w:val="26"/>
        </w:rPr>
        <w:t xml:space="preserve"> to wskaźnik walutowy wyliczany przez znany i ceniony polski portal finansowy </w:t>
      </w:r>
      <w:hyperlink r:id="rId11" w:history="1">
        <w:r w:rsidRPr="00A91659">
          <w:rPr>
            <w:rStyle w:val="Hipercze"/>
            <w:sz w:val="26"/>
            <w:szCs w:val="26"/>
          </w:rPr>
          <w:t>http://stooq.pl/</w:t>
        </w:r>
      </w:hyperlink>
      <w:r>
        <w:rPr>
          <w:sz w:val="26"/>
          <w:szCs w:val="26"/>
        </w:rPr>
        <w:t xml:space="preserve"> </w:t>
      </w:r>
      <w:r w:rsidRPr="00B46241">
        <w:rPr>
          <w:sz w:val="26"/>
          <w:szCs w:val="26"/>
        </w:rPr>
        <w:t>odzwierciedlający cenę euro i dolara amerykańskiego w polskich złotych w proporcji 55:45.</w:t>
      </w:r>
    </w:p>
    <w:p w:rsidR="00AC16B8" w:rsidRPr="00B46241" w:rsidRDefault="00AC16B8" w:rsidP="00AC16B8">
      <w:pPr>
        <w:pStyle w:val="Bezodstpw"/>
        <w:jc w:val="both"/>
        <w:rPr>
          <w:sz w:val="26"/>
          <w:szCs w:val="26"/>
        </w:rPr>
      </w:pPr>
    </w:p>
    <w:p w:rsidR="00AC16B8" w:rsidRDefault="00AC16B8" w:rsidP="00AC16B8">
      <w:pPr>
        <w:pStyle w:val="Bezodstpw"/>
        <w:jc w:val="both"/>
        <w:rPr>
          <w:sz w:val="26"/>
          <w:szCs w:val="26"/>
        </w:rPr>
      </w:pPr>
      <w:r w:rsidRPr="00B46241">
        <w:rPr>
          <w:sz w:val="26"/>
          <w:szCs w:val="26"/>
        </w:rPr>
        <w:t xml:space="preserve">Wartość wskaźnika wyliczana jest z sumy iloczynu kursu euro (w złotych) i współczynnika 0.55 </w:t>
      </w:r>
      <w:proofErr w:type="gramStart"/>
      <w:r w:rsidRPr="00B46241">
        <w:rPr>
          <w:sz w:val="26"/>
          <w:szCs w:val="26"/>
        </w:rPr>
        <w:t>oraz</w:t>
      </w:r>
      <w:proofErr w:type="gramEnd"/>
      <w:r w:rsidRPr="00B46241">
        <w:rPr>
          <w:sz w:val="26"/>
          <w:szCs w:val="26"/>
        </w:rPr>
        <w:t xml:space="preserve"> iloczynu kursu dolara amerykańskiego (w złotych) i współczynnika 0.45.</w:t>
      </w:r>
      <w:r>
        <w:rPr>
          <w:sz w:val="26"/>
          <w:szCs w:val="26"/>
        </w:rPr>
        <w:t xml:space="preserve"> </w:t>
      </w:r>
      <w:r w:rsidRPr="001F1EA6">
        <w:rPr>
          <w:b/>
          <w:sz w:val="26"/>
          <w:szCs w:val="26"/>
          <w:u w:val="single"/>
        </w:rPr>
        <w:t>Na wykresie tego wskaźnika doszliśmy do oporu</w:t>
      </w:r>
      <w:r>
        <w:rPr>
          <w:sz w:val="26"/>
          <w:szCs w:val="26"/>
        </w:rPr>
        <w:t xml:space="preserve">. Zgodnie z teorią analizy technicznej po dojściu do oporu można oczekiwać spadków. </w:t>
      </w:r>
    </w:p>
    <w:p w:rsidR="00AC16B8" w:rsidRDefault="00AC16B8" w:rsidP="00AC16B8">
      <w:pPr>
        <w:pStyle w:val="Bezodstpw"/>
        <w:jc w:val="both"/>
        <w:rPr>
          <w:sz w:val="26"/>
          <w:szCs w:val="26"/>
        </w:rPr>
      </w:pPr>
    </w:p>
    <w:p w:rsidR="00AC16B8" w:rsidRDefault="00AC16B8" w:rsidP="00AC16B8">
      <w:pPr>
        <w:pStyle w:val="Bezodstpw"/>
        <w:jc w:val="both"/>
        <w:rPr>
          <w:b/>
          <w:sz w:val="26"/>
          <w:szCs w:val="26"/>
          <w:u w:val="single"/>
        </w:rPr>
      </w:pPr>
      <w:r>
        <w:rPr>
          <w:b/>
          <w:sz w:val="26"/>
          <w:szCs w:val="26"/>
          <w:u w:val="single"/>
        </w:rPr>
        <w:t xml:space="preserve">POLISH ZLOTY BASKET </w:t>
      </w:r>
    </w:p>
    <w:p w:rsidR="00AC16B8" w:rsidRPr="00B46241" w:rsidRDefault="00AC16B8" w:rsidP="00AC16B8">
      <w:pPr>
        <w:pStyle w:val="Bezodstpw"/>
        <w:jc w:val="both"/>
        <w:rPr>
          <w:b/>
          <w:sz w:val="26"/>
          <w:szCs w:val="26"/>
          <w:u w:val="single"/>
        </w:rPr>
      </w:pPr>
      <w:r>
        <w:rPr>
          <w:b/>
          <w:noProof/>
          <w:sz w:val="26"/>
          <w:szCs w:val="26"/>
          <w:u w:val="single"/>
          <w:lang w:eastAsia="pl-PL"/>
        </w:rPr>
        <w:drawing>
          <wp:inline distT="0" distB="0" distL="0" distR="0" wp14:anchorId="58DE7FCB" wp14:editId="6AD97CAA">
            <wp:extent cx="5429250" cy="32575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3257550"/>
                    </a:xfrm>
                    <a:prstGeom prst="rect">
                      <a:avLst/>
                    </a:prstGeom>
                    <a:noFill/>
                  </pic:spPr>
                </pic:pic>
              </a:graphicData>
            </a:graphic>
          </wp:inline>
        </w:drawing>
      </w:r>
    </w:p>
    <w:p w:rsidR="00AC16B8" w:rsidRDefault="00AC16B8" w:rsidP="00AC16B8">
      <w:pPr>
        <w:pStyle w:val="Bezodstpw"/>
        <w:jc w:val="both"/>
        <w:rPr>
          <w:sz w:val="26"/>
          <w:szCs w:val="26"/>
        </w:rPr>
      </w:pPr>
    </w:p>
    <w:p w:rsidR="00AC16B8" w:rsidRDefault="00AC16B8" w:rsidP="00AC16B8">
      <w:pPr>
        <w:pStyle w:val="Bezodstpw"/>
        <w:jc w:val="both"/>
        <w:rPr>
          <w:sz w:val="26"/>
          <w:szCs w:val="26"/>
        </w:rPr>
      </w:pPr>
      <w:r>
        <w:rPr>
          <w:sz w:val="26"/>
          <w:szCs w:val="26"/>
        </w:rPr>
        <w:t xml:space="preserve">Gdyby więc ktoś mnie zapytał: </w:t>
      </w:r>
      <w:proofErr w:type="gramStart"/>
      <w:r>
        <w:rPr>
          <w:sz w:val="26"/>
          <w:szCs w:val="26"/>
        </w:rPr>
        <w:t>,,</w:t>
      </w:r>
      <w:proofErr w:type="gramEnd"/>
      <w:r>
        <w:rPr>
          <w:sz w:val="26"/>
          <w:szCs w:val="26"/>
        </w:rPr>
        <w:t xml:space="preserve">czy realne są dalsze zwyżki kursów czołowych walut zagranicznych (w złotych) ?” </w:t>
      </w:r>
      <w:proofErr w:type="gramStart"/>
      <w:r>
        <w:rPr>
          <w:sz w:val="26"/>
          <w:szCs w:val="26"/>
        </w:rPr>
        <w:t>to</w:t>
      </w:r>
      <w:proofErr w:type="gramEnd"/>
      <w:r>
        <w:rPr>
          <w:sz w:val="26"/>
          <w:szCs w:val="26"/>
        </w:rPr>
        <w:t xml:space="preserve"> dokonując analizy powyższego wykresu </w:t>
      </w:r>
      <w:r w:rsidRPr="00AC16B8">
        <w:rPr>
          <w:b/>
          <w:sz w:val="26"/>
          <w:szCs w:val="26"/>
        </w:rPr>
        <w:t>skłonny byłbym założyć, że na razie bardziej prawdopodobny wydaje się być wariant odwrócenia trendu wzrostowego</w:t>
      </w:r>
      <w:r>
        <w:rPr>
          <w:sz w:val="26"/>
          <w:szCs w:val="26"/>
        </w:rPr>
        <w:t>. Wariant ten nazywam wariantem pierwszym.</w:t>
      </w:r>
    </w:p>
    <w:p w:rsidR="00AC16B8" w:rsidRDefault="00AC16B8" w:rsidP="00AC16B8">
      <w:pPr>
        <w:pStyle w:val="Bezodstpw"/>
        <w:jc w:val="both"/>
        <w:rPr>
          <w:sz w:val="26"/>
          <w:szCs w:val="26"/>
        </w:rPr>
      </w:pPr>
    </w:p>
    <w:p w:rsidR="00AC16B8" w:rsidRDefault="00AC16B8" w:rsidP="00AC16B8">
      <w:pPr>
        <w:pStyle w:val="Bezodstpw"/>
        <w:jc w:val="both"/>
      </w:pPr>
      <w:r>
        <w:rPr>
          <w:sz w:val="26"/>
          <w:szCs w:val="26"/>
        </w:rPr>
        <w:t xml:space="preserve">Gdyby jednak doszło do pokonania oporu na powyższym wykresie wówczas skłonny byłbym raczej opowiedzieć się za tym, iż bardziej prawdopodobne są dalsze zwyżki kursów walut obcych. Wariant ten nazywam wariantem drugim. Na razie jednak bardziej prawdopodobny jest moim zdaniem wariant pierwszy. Przyszłość </w:t>
      </w:r>
      <w:proofErr w:type="gramStart"/>
      <w:r>
        <w:rPr>
          <w:sz w:val="26"/>
          <w:szCs w:val="26"/>
        </w:rPr>
        <w:t>pokaże co</w:t>
      </w:r>
      <w:proofErr w:type="gramEnd"/>
      <w:r>
        <w:rPr>
          <w:sz w:val="26"/>
          <w:szCs w:val="26"/>
        </w:rPr>
        <w:t xml:space="preserve"> się wydarzy. Zobaczymy. </w:t>
      </w:r>
    </w:p>
    <w:p w:rsidR="0047436C" w:rsidRDefault="0047436C" w:rsidP="0047436C">
      <w:pPr>
        <w:pStyle w:val="Bezodstpw"/>
        <w:pBdr>
          <w:top w:val="single" w:sz="4" w:space="1" w:color="auto"/>
          <w:left w:val="single" w:sz="4" w:space="4" w:color="auto"/>
          <w:bottom w:val="single" w:sz="4" w:space="1" w:color="auto"/>
          <w:right w:val="single" w:sz="4" w:space="4" w:color="auto"/>
        </w:pBdr>
        <w:shd w:val="clear" w:color="auto" w:fill="FFFF00"/>
        <w:jc w:val="center"/>
        <w:rPr>
          <w:sz w:val="26"/>
          <w:szCs w:val="26"/>
        </w:rPr>
      </w:pPr>
      <w:r w:rsidRPr="00AD124C">
        <w:rPr>
          <w:sz w:val="26"/>
          <w:szCs w:val="26"/>
        </w:rPr>
        <w:lastRenderedPageBreak/>
        <w:t xml:space="preserve">Realna zmiana polskiego PKB </w:t>
      </w:r>
      <w:r>
        <w:rPr>
          <w:sz w:val="26"/>
          <w:szCs w:val="26"/>
        </w:rPr>
        <w:t xml:space="preserve">oraz nakładów inwestycyjnych </w:t>
      </w:r>
    </w:p>
    <w:p w:rsidR="0047436C" w:rsidRDefault="0047436C" w:rsidP="0047436C">
      <w:pPr>
        <w:pStyle w:val="Bezodstpw"/>
        <w:pBdr>
          <w:top w:val="single" w:sz="4" w:space="1" w:color="auto"/>
          <w:left w:val="single" w:sz="4" w:space="4" w:color="auto"/>
          <w:bottom w:val="single" w:sz="4" w:space="1" w:color="auto"/>
          <w:right w:val="single" w:sz="4" w:space="4" w:color="auto"/>
        </w:pBdr>
        <w:shd w:val="clear" w:color="auto" w:fill="FFFF00"/>
        <w:jc w:val="center"/>
        <w:rPr>
          <w:sz w:val="26"/>
          <w:szCs w:val="26"/>
        </w:rPr>
      </w:pPr>
      <w:proofErr w:type="gramStart"/>
      <w:r w:rsidRPr="00AD124C">
        <w:rPr>
          <w:sz w:val="26"/>
          <w:szCs w:val="26"/>
        </w:rPr>
        <w:t>a</w:t>
      </w:r>
      <w:proofErr w:type="gramEnd"/>
      <w:r w:rsidRPr="00AD124C">
        <w:rPr>
          <w:sz w:val="26"/>
          <w:szCs w:val="26"/>
        </w:rPr>
        <w:t xml:space="preserve"> zachowanie polskich indeksów giełdowych</w:t>
      </w:r>
    </w:p>
    <w:p w:rsidR="0047436C" w:rsidRDefault="0047436C" w:rsidP="0047436C">
      <w:pPr>
        <w:pStyle w:val="Bezodstpw"/>
        <w:jc w:val="center"/>
        <w:rPr>
          <w:sz w:val="26"/>
          <w:szCs w:val="26"/>
        </w:rPr>
      </w:pPr>
    </w:p>
    <w:p w:rsidR="0047436C" w:rsidRDefault="0047436C" w:rsidP="0047436C">
      <w:pPr>
        <w:pStyle w:val="Bezodstpw"/>
        <w:jc w:val="both"/>
        <w:rPr>
          <w:sz w:val="26"/>
          <w:szCs w:val="26"/>
        </w:rPr>
      </w:pPr>
      <w:r>
        <w:rPr>
          <w:sz w:val="26"/>
          <w:szCs w:val="26"/>
        </w:rPr>
        <w:t xml:space="preserve">W poprzednim tygodniu Główny Urząd Statystyczny zaprezentował dane o rocznej realnej zmianie PKB w III kwartale 2016 roku. Dane to okazało się stosunkowo słabe, gdyż tempo wyniosło 2,5 % w skali rocznej. W rezultacie </w:t>
      </w:r>
      <w:r w:rsidR="0073240A">
        <w:rPr>
          <w:sz w:val="26"/>
          <w:szCs w:val="26"/>
        </w:rPr>
        <w:t>może się okazać, że także realna</w:t>
      </w:r>
      <w:r>
        <w:rPr>
          <w:sz w:val="26"/>
          <w:szCs w:val="26"/>
        </w:rPr>
        <w:t xml:space="preserve"> zmiana PKB w całym 2016 roku będzie niższa, niż można było tego oczekiwać jeszcze kilka miesięcy temu. </w:t>
      </w:r>
    </w:p>
    <w:p w:rsidR="0047436C" w:rsidRDefault="0047436C" w:rsidP="0047436C">
      <w:pPr>
        <w:pStyle w:val="Bezodstpw"/>
        <w:jc w:val="both"/>
        <w:rPr>
          <w:sz w:val="26"/>
          <w:szCs w:val="26"/>
        </w:rPr>
      </w:pPr>
    </w:p>
    <w:p w:rsidR="0047436C" w:rsidRDefault="0047436C" w:rsidP="0047436C">
      <w:pPr>
        <w:pStyle w:val="Bezodstpw"/>
        <w:jc w:val="both"/>
        <w:rPr>
          <w:sz w:val="26"/>
          <w:szCs w:val="26"/>
        </w:rPr>
      </w:pPr>
      <w:r>
        <w:rPr>
          <w:sz w:val="26"/>
          <w:szCs w:val="26"/>
        </w:rPr>
        <w:t xml:space="preserve">Według prognoz naszego Ministerstwa Finansów z września 2016 roku realna zmiana PKB w tym roku w Polsce ma wynieść 3,4 %. W 2015 roku tempo to wynosiło 3,9 %. Prawdopodobnie w tym roku będzie niższe. Jaki może mieć to związek z przyszłym zachowaniem polskich indeksów </w:t>
      </w:r>
      <w:proofErr w:type="gramStart"/>
      <w:r>
        <w:rPr>
          <w:sz w:val="26"/>
          <w:szCs w:val="26"/>
        </w:rPr>
        <w:t>giełdowych ?.</w:t>
      </w:r>
      <w:proofErr w:type="gramEnd"/>
    </w:p>
    <w:p w:rsidR="0047436C" w:rsidRDefault="0047436C" w:rsidP="0047436C">
      <w:pPr>
        <w:pStyle w:val="Bezodstpw"/>
        <w:jc w:val="both"/>
        <w:rPr>
          <w:sz w:val="26"/>
          <w:szCs w:val="26"/>
        </w:rPr>
      </w:pPr>
    </w:p>
    <w:p w:rsidR="0047436C" w:rsidRDefault="0047436C" w:rsidP="0047436C">
      <w:pPr>
        <w:pStyle w:val="Bezodstpw"/>
        <w:jc w:val="both"/>
        <w:rPr>
          <w:sz w:val="26"/>
          <w:szCs w:val="26"/>
        </w:rPr>
      </w:pPr>
      <w:r>
        <w:rPr>
          <w:sz w:val="26"/>
          <w:szCs w:val="26"/>
        </w:rPr>
        <w:t>Popatrzmy na poniższą tabelę. W pierwszej rubryce zaprezentow</w:t>
      </w:r>
      <w:r w:rsidR="0073240A">
        <w:rPr>
          <w:sz w:val="26"/>
          <w:szCs w:val="26"/>
        </w:rPr>
        <w:t>ano rok, w drugiej realną zmianę</w:t>
      </w:r>
      <w:r>
        <w:rPr>
          <w:sz w:val="26"/>
          <w:szCs w:val="26"/>
        </w:rPr>
        <w:t xml:space="preserve"> PKB</w:t>
      </w:r>
      <w:r w:rsidR="0073240A">
        <w:rPr>
          <w:sz w:val="26"/>
          <w:szCs w:val="26"/>
        </w:rPr>
        <w:t xml:space="preserve"> w %</w:t>
      </w:r>
      <w:r>
        <w:rPr>
          <w:sz w:val="26"/>
          <w:szCs w:val="26"/>
        </w:rPr>
        <w:t xml:space="preserve">, w trzeciej realną zmianą nakładów inwestycyjnych </w:t>
      </w:r>
      <w:r w:rsidR="0073240A">
        <w:rPr>
          <w:sz w:val="26"/>
          <w:szCs w:val="26"/>
        </w:rPr>
        <w:t xml:space="preserve">w % </w:t>
      </w:r>
      <w:r>
        <w:rPr>
          <w:sz w:val="26"/>
          <w:szCs w:val="26"/>
        </w:rPr>
        <w:t xml:space="preserve">a w czwartej zmianę indeksu WIG20 w %. </w:t>
      </w:r>
    </w:p>
    <w:tbl>
      <w:tblPr>
        <w:tblStyle w:val="Tabela-Siatka"/>
        <w:tblW w:w="0" w:type="auto"/>
        <w:tblLook w:val="04A0" w:firstRow="1" w:lastRow="0" w:firstColumn="1" w:lastColumn="0" w:noHBand="0" w:noVBand="1"/>
      </w:tblPr>
      <w:tblGrid>
        <w:gridCol w:w="2303"/>
        <w:gridCol w:w="2303"/>
        <w:gridCol w:w="2303"/>
        <w:gridCol w:w="2303"/>
      </w:tblGrid>
      <w:tr w:rsidR="0047436C" w:rsidTr="00B46241">
        <w:tc>
          <w:tcPr>
            <w:tcW w:w="2303" w:type="dxa"/>
            <w:shd w:val="clear" w:color="auto" w:fill="000000" w:themeFill="text1"/>
          </w:tcPr>
          <w:p w:rsidR="0047436C" w:rsidRPr="00BC7FED" w:rsidRDefault="0047436C" w:rsidP="00B46241">
            <w:pPr>
              <w:pStyle w:val="Bezodstpw"/>
              <w:jc w:val="center"/>
              <w:rPr>
                <w:b/>
                <w:color w:val="FFFFFF" w:themeColor="background1"/>
              </w:rPr>
            </w:pPr>
            <w:r w:rsidRPr="00BC7FED">
              <w:rPr>
                <w:b/>
                <w:color w:val="FFFFFF" w:themeColor="background1"/>
              </w:rPr>
              <w:t>Rok</w:t>
            </w:r>
          </w:p>
        </w:tc>
        <w:tc>
          <w:tcPr>
            <w:tcW w:w="2303" w:type="dxa"/>
            <w:shd w:val="clear" w:color="auto" w:fill="000000" w:themeFill="text1"/>
          </w:tcPr>
          <w:p w:rsidR="0047436C" w:rsidRPr="00BC7FED" w:rsidRDefault="0047436C" w:rsidP="00B46241">
            <w:pPr>
              <w:pStyle w:val="Bezodstpw"/>
              <w:jc w:val="center"/>
              <w:rPr>
                <w:b/>
                <w:color w:val="FFFFFF" w:themeColor="background1"/>
              </w:rPr>
            </w:pPr>
            <w:r w:rsidRPr="00BC7FED">
              <w:rPr>
                <w:b/>
                <w:color w:val="FFFFFF" w:themeColor="background1"/>
              </w:rPr>
              <w:t>PKB</w:t>
            </w:r>
          </w:p>
        </w:tc>
        <w:tc>
          <w:tcPr>
            <w:tcW w:w="2303" w:type="dxa"/>
            <w:shd w:val="clear" w:color="auto" w:fill="000000" w:themeFill="text1"/>
          </w:tcPr>
          <w:p w:rsidR="0047436C" w:rsidRPr="00BC7FED" w:rsidRDefault="0047436C" w:rsidP="00B46241">
            <w:pPr>
              <w:pStyle w:val="Bezodstpw"/>
              <w:jc w:val="center"/>
              <w:rPr>
                <w:b/>
                <w:color w:val="FFFFFF" w:themeColor="background1"/>
              </w:rPr>
            </w:pPr>
            <w:r w:rsidRPr="00BC7FED">
              <w:rPr>
                <w:b/>
                <w:color w:val="FFFFFF" w:themeColor="background1"/>
              </w:rPr>
              <w:t>Nakłady inwestycyjne</w:t>
            </w:r>
          </w:p>
        </w:tc>
        <w:tc>
          <w:tcPr>
            <w:tcW w:w="2303" w:type="dxa"/>
            <w:shd w:val="clear" w:color="auto" w:fill="000000" w:themeFill="text1"/>
          </w:tcPr>
          <w:p w:rsidR="0047436C" w:rsidRPr="00BC7FED" w:rsidRDefault="0047436C" w:rsidP="00B46241">
            <w:pPr>
              <w:pStyle w:val="Bezodstpw"/>
              <w:jc w:val="center"/>
              <w:rPr>
                <w:b/>
                <w:color w:val="FFFFFF" w:themeColor="background1"/>
              </w:rPr>
            </w:pPr>
            <w:r w:rsidRPr="00BC7FED">
              <w:rPr>
                <w:b/>
                <w:color w:val="FFFFFF" w:themeColor="background1"/>
              </w:rPr>
              <w:t>WIG</w:t>
            </w:r>
            <w:r>
              <w:rPr>
                <w:b/>
                <w:color w:val="FFFFFF" w:themeColor="background1"/>
              </w:rPr>
              <w:t>2</w:t>
            </w:r>
            <w:r w:rsidRPr="00BC7FED">
              <w:rPr>
                <w:b/>
                <w:color w:val="FFFFFF" w:themeColor="background1"/>
              </w:rPr>
              <w:t>0</w:t>
            </w:r>
          </w:p>
        </w:tc>
      </w:tr>
      <w:tr w:rsidR="0047436C" w:rsidTr="00B46241">
        <w:tc>
          <w:tcPr>
            <w:tcW w:w="2303" w:type="dxa"/>
          </w:tcPr>
          <w:p w:rsidR="0047436C" w:rsidRPr="00010E55" w:rsidRDefault="0047436C" w:rsidP="00B46241">
            <w:pPr>
              <w:pStyle w:val="Bezodstpw"/>
              <w:jc w:val="center"/>
            </w:pPr>
            <w:r w:rsidRPr="00010E55">
              <w:t>2002</w:t>
            </w:r>
          </w:p>
        </w:tc>
        <w:tc>
          <w:tcPr>
            <w:tcW w:w="2303" w:type="dxa"/>
          </w:tcPr>
          <w:p w:rsidR="0047436C" w:rsidRPr="00010E55" w:rsidRDefault="0047436C" w:rsidP="00B46241">
            <w:pPr>
              <w:pStyle w:val="Bezodstpw"/>
              <w:jc w:val="center"/>
            </w:pPr>
            <w:r>
              <w:t>1,4</w:t>
            </w:r>
          </w:p>
        </w:tc>
        <w:tc>
          <w:tcPr>
            <w:tcW w:w="2303" w:type="dxa"/>
          </w:tcPr>
          <w:p w:rsidR="0047436C" w:rsidRPr="00010E55" w:rsidRDefault="0047436C" w:rsidP="00B46241">
            <w:pPr>
              <w:pStyle w:val="Bezodstpw"/>
              <w:jc w:val="center"/>
            </w:pPr>
            <w:r>
              <w:t>-6,9</w:t>
            </w:r>
          </w:p>
        </w:tc>
        <w:tc>
          <w:tcPr>
            <w:tcW w:w="2303" w:type="dxa"/>
          </w:tcPr>
          <w:p w:rsidR="0047436C" w:rsidRPr="00010E55" w:rsidRDefault="0047436C" w:rsidP="00B46241">
            <w:pPr>
              <w:pStyle w:val="Bezodstpw"/>
              <w:jc w:val="center"/>
            </w:pPr>
            <w:r>
              <w:t xml:space="preserve"> -2,7</w:t>
            </w:r>
          </w:p>
        </w:tc>
      </w:tr>
      <w:tr w:rsidR="0047436C" w:rsidTr="00B46241">
        <w:tc>
          <w:tcPr>
            <w:tcW w:w="2303" w:type="dxa"/>
          </w:tcPr>
          <w:p w:rsidR="0047436C" w:rsidRPr="00010E55" w:rsidRDefault="0047436C" w:rsidP="00B46241">
            <w:pPr>
              <w:pStyle w:val="Bezodstpw"/>
              <w:jc w:val="center"/>
            </w:pPr>
            <w:r w:rsidRPr="00010E55">
              <w:t>2003</w:t>
            </w:r>
          </w:p>
        </w:tc>
        <w:tc>
          <w:tcPr>
            <w:tcW w:w="2303" w:type="dxa"/>
          </w:tcPr>
          <w:p w:rsidR="0047436C" w:rsidRPr="00010E55" w:rsidRDefault="0047436C" w:rsidP="00B46241">
            <w:pPr>
              <w:pStyle w:val="Bezodstpw"/>
              <w:jc w:val="center"/>
            </w:pPr>
            <w:r>
              <w:t>3,6</w:t>
            </w:r>
          </w:p>
        </w:tc>
        <w:tc>
          <w:tcPr>
            <w:tcW w:w="2303" w:type="dxa"/>
          </w:tcPr>
          <w:p w:rsidR="0047436C" w:rsidRPr="00010E55" w:rsidRDefault="0047436C" w:rsidP="00B46241">
            <w:pPr>
              <w:pStyle w:val="Bezodstpw"/>
              <w:jc w:val="center"/>
            </w:pPr>
            <w:r>
              <w:t xml:space="preserve">  1,2</w:t>
            </w:r>
          </w:p>
        </w:tc>
        <w:tc>
          <w:tcPr>
            <w:tcW w:w="2303" w:type="dxa"/>
          </w:tcPr>
          <w:p w:rsidR="0047436C" w:rsidRPr="00010E55" w:rsidRDefault="0047436C" w:rsidP="00B46241">
            <w:pPr>
              <w:pStyle w:val="Bezodstpw"/>
              <w:jc w:val="center"/>
            </w:pPr>
            <w:r>
              <w:t>33,9</w:t>
            </w:r>
          </w:p>
        </w:tc>
      </w:tr>
      <w:tr w:rsidR="0047436C" w:rsidTr="00B46241">
        <w:tc>
          <w:tcPr>
            <w:tcW w:w="2303" w:type="dxa"/>
          </w:tcPr>
          <w:p w:rsidR="0047436C" w:rsidRPr="00010E55" w:rsidRDefault="0047436C" w:rsidP="00B46241">
            <w:pPr>
              <w:pStyle w:val="Bezodstpw"/>
              <w:jc w:val="center"/>
            </w:pPr>
            <w:r w:rsidRPr="00010E55">
              <w:t>2004</w:t>
            </w:r>
          </w:p>
        </w:tc>
        <w:tc>
          <w:tcPr>
            <w:tcW w:w="2303" w:type="dxa"/>
          </w:tcPr>
          <w:p w:rsidR="0047436C" w:rsidRPr="00010E55" w:rsidRDefault="0047436C" w:rsidP="00B46241">
            <w:pPr>
              <w:pStyle w:val="Bezodstpw"/>
              <w:jc w:val="center"/>
            </w:pPr>
            <w:r>
              <w:t>5,1</w:t>
            </w:r>
          </w:p>
        </w:tc>
        <w:tc>
          <w:tcPr>
            <w:tcW w:w="2303" w:type="dxa"/>
          </w:tcPr>
          <w:p w:rsidR="0047436C" w:rsidRPr="00010E55" w:rsidRDefault="0047436C" w:rsidP="00B46241">
            <w:pPr>
              <w:pStyle w:val="Bezodstpw"/>
              <w:jc w:val="center"/>
            </w:pPr>
            <w:r>
              <w:t xml:space="preserve">  6,7</w:t>
            </w:r>
          </w:p>
        </w:tc>
        <w:tc>
          <w:tcPr>
            <w:tcW w:w="2303" w:type="dxa"/>
          </w:tcPr>
          <w:p w:rsidR="0047436C" w:rsidRPr="00010E55" w:rsidRDefault="0047436C" w:rsidP="00B46241">
            <w:pPr>
              <w:pStyle w:val="Bezodstpw"/>
              <w:jc w:val="center"/>
            </w:pPr>
            <w:r>
              <w:t>24,6</w:t>
            </w:r>
          </w:p>
        </w:tc>
      </w:tr>
      <w:tr w:rsidR="0047436C" w:rsidTr="00B46241">
        <w:tc>
          <w:tcPr>
            <w:tcW w:w="2303" w:type="dxa"/>
          </w:tcPr>
          <w:p w:rsidR="0047436C" w:rsidRPr="00010E55" w:rsidRDefault="0047436C" w:rsidP="00B46241">
            <w:pPr>
              <w:pStyle w:val="Bezodstpw"/>
              <w:jc w:val="center"/>
            </w:pPr>
            <w:r w:rsidRPr="00010E55">
              <w:t>2005</w:t>
            </w:r>
          </w:p>
        </w:tc>
        <w:tc>
          <w:tcPr>
            <w:tcW w:w="2303" w:type="dxa"/>
          </w:tcPr>
          <w:p w:rsidR="0047436C" w:rsidRPr="00010E55" w:rsidRDefault="0047436C" w:rsidP="00B46241">
            <w:pPr>
              <w:pStyle w:val="Bezodstpw"/>
              <w:jc w:val="center"/>
            </w:pPr>
            <w:r>
              <w:t>3,5</w:t>
            </w:r>
          </w:p>
        </w:tc>
        <w:tc>
          <w:tcPr>
            <w:tcW w:w="2303" w:type="dxa"/>
          </w:tcPr>
          <w:p w:rsidR="0047436C" w:rsidRPr="00010E55" w:rsidRDefault="0047436C" w:rsidP="00B46241">
            <w:pPr>
              <w:pStyle w:val="Bezodstpw"/>
              <w:jc w:val="center"/>
            </w:pPr>
            <w:r>
              <w:t xml:space="preserve">  8,7</w:t>
            </w:r>
          </w:p>
        </w:tc>
        <w:tc>
          <w:tcPr>
            <w:tcW w:w="2303" w:type="dxa"/>
          </w:tcPr>
          <w:p w:rsidR="0047436C" w:rsidRPr="00010E55" w:rsidRDefault="0047436C" w:rsidP="00B46241">
            <w:pPr>
              <w:pStyle w:val="Bezodstpw"/>
              <w:jc w:val="center"/>
            </w:pPr>
            <w:r>
              <w:t>35,4</w:t>
            </w:r>
          </w:p>
        </w:tc>
      </w:tr>
      <w:tr w:rsidR="0047436C" w:rsidTr="00B46241">
        <w:tc>
          <w:tcPr>
            <w:tcW w:w="2303" w:type="dxa"/>
          </w:tcPr>
          <w:p w:rsidR="0047436C" w:rsidRPr="00010E55" w:rsidRDefault="0047436C" w:rsidP="00B46241">
            <w:pPr>
              <w:pStyle w:val="Bezodstpw"/>
              <w:jc w:val="center"/>
            </w:pPr>
            <w:r w:rsidRPr="00010E55">
              <w:t>2006</w:t>
            </w:r>
          </w:p>
        </w:tc>
        <w:tc>
          <w:tcPr>
            <w:tcW w:w="2303" w:type="dxa"/>
          </w:tcPr>
          <w:p w:rsidR="0047436C" w:rsidRPr="00010E55" w:rsidRDefault="0047436C" w:rsidP="00B46241">
            <w:pPr>
              <w:pStyle w:val="Bezodstpw"/>
              <w:jc w:val="center"/>
            </w:pPr>
            <w:r>
              <w:t>6,2</w:t>
            </w:r>
          </w:p>
        </w:tc>
        <w:tc>
          <w:tcPr>
            <w:tcW w:w="2303" w:type="dxa"/>
          </w:tcPr>
          <w:p w:rsidR="0047436C" w:rsidRPr="00010E55" w:rsidRDefault="0047436C" w:rsidP="00B46241">
            <w:pPr>
              <w:pStyle w:val="Bezodstpw"/>
              <w:jc w:val="center"/>
            </w:pPr>
            <w:r>
              <w:t>13,3</w:t>
            </w:r>
          </w:p>
        </w:tc>
        <w:tc>
          <w:tcPr>
            <w:tcW w:w="2303" w:type="dxa"/>
          </w:tcPr>
          <w:p w:rsidR="0047436C" w:rsidRPr="00010E55" w:rsidRDefault="0047436C" w:rsidP="00B46241">
            <w:pPr>
              <w:pStyle w:val="Bezodstpw"/>
              <w:jc w:val="center"/>
            </w:pPr>
            <w:r>
              <w:t>23,7</w:t>
            </w:r>
          </w:p>
        </w:tc>
      </w:tr>
      <w:tr w:rsidR="0047436C" w:rsidTr="00B46241">
        <w:tc>
          <w:tcPr>
            <w:tcW w:w="2303" w:type="dxa"/>
          </w:tcPr>
          <w:p w:rsidR="0047436C" w:rsidRPr="00010E55" w:rsidRDefault="0047436C" w:rsidP="00B46241">
            <w:pPr>
              <w:pStyle w:val="Bezodstpw"/>
              <w:jc w:val="center"/>
            </w:pPr>
            <w:r w:rsidRPr="00010E55">
              <w:t>2007</w:t>
            </w:r>
          </w:p>
        </w:tc>
        <w:tc>
          <w:tcPr>
            <w:tcW w:w="2303" w:type="dxa"/>
          </w:tcPr>
          <w:p w:rsidR="0047436C" w:rsidRPr="00010E55" w:rsidRDefault="0047436C" w:rsidP="00B46241">
            <w:pPr>
              <w:pStyle w:val="Bezodstpw"/>
              <w:jc w:val="center"/>
            </w:pPr>
            <w:r>
              <w:t>7,2</w:t>
            </w:r>
          </w:p>
        </w:tc>
        <w:tc>
          <w:tcPr>
            <w:tcW w:w="2303" w:type="dxa"/>
          </w:tcPr>
          <w:p w:rsidR="0047436C" w:rsidRPr="00010E55" w:rsidRDefault="0047436C" w:rsidP="00B46241">
            <w:pPr>
              <w:pStyle w:val="Bezodstpw"/>
              <w:jc w:val="center"/>
            </w:pPr>
            <w:r w:rsidRPr="00010E55">
              <w:t>1</w:t>
            </w:r>
            <w:r>
              <w:t>9,2</w:t>
            </w:r>
          </w:p>
        </w:tc>
        <w:tc>
          <w:tcPr>
            <w:tcW w:w="2303" w:type="dxa"/>
          </w:tcPr>
          <w:p w:rsidR="0047436C" w:rsidRPr="00010E55" w:rsidRDefault="0047436C" w:rsidP="00B46241">
            <w:pPr>
              <w:pStyle w:val="Bezodstpw"/>
              <w:jc w:val="center"/>
            </w:pPr>
            <w:r>
              <w:t xml:space="preserve">  5,2</w:t>
            </w:r>
          </w:p>
        </w:tc>
      </w:tr>
      <w:tr w:rsidR="0047436C" w:rsidTr="00B46241">
        <w:tc>
          <w:tcPr>
            <w:tcW w:w="2303" w:type="dxa"/>
          </w:tcPr>
          <w:p w:rsidR="0047436C" w:rsidRPr="00215413" w:rsidRDefault="0047436C" w:rsidP="00B46241">
            <w:pPr>
              <w:pStyle w:val="Bezodstpw"/>
              <w:jc w:val="center"/>
              <w:rPr>
                <w:b/>
                <w:color w:val="FF0000"/>
              </w:rPr>
            </w:pPr>
            <w:r w:rsidRPr="00215413">
              <w:rPr>
                <w:b/>
                <w:color w:val="FF0000"/>
              </w:rPr>
              <w:t>2008</w:t>
            </w:r>
          </w:p>
        </w:tc>
        <w:tc>
          <w:tcPr>
            <w:tcW w:w="2303" w:type="dxa"/>
          </w:tcPr>
          <w:p w:rsidR="0047436C" w:rsidRPr="00010E55" w:rsidRDefault="0047436C" w:rsidP="00B46241">
            <w:pPr>
              <w:pStyle w:val="Bezodstpw"/>
              <w:jc w:val="center"/>
            </w:pPr>
            <w:r>
              <w:t>3,9</w:t>
            </w:r>
          </w:p>
        </w:tc>
        <w:tc>
          <w:tcPr>
            <w:tcW w:w="2303" w:type="dxa"/>
          </w:tcPr>
          <w:p w:rsidR="0047436C" w:rsidRPr="00010E55" w:rsidRDefault="0047436C" w:rsidP="00B46241">
            <w:pPr>
              <w:pStyle w:val="Bezodstpw"/>
              <w:jc w:val="center"/>
            </w:pPr>
            <w:r>
              <w:t xml:space="preserve">  8,3</w:t>
            </w:r>
          </w:p>
        </w:tc>
        <w:tc>
          <w:tcPr>
            <w:tcW w:w="2303" w:type="dxa"/>
          </w:tcPr>
          <w:p w:rsidR="0047436C" w:rsidRPr="00010E55" w:rsidRDefault="0047436C" w:rsidP="00B46241">
            <w:pPr>
              <w:pStyle w:val="Bezodstpw"/>
              <w:jc w:val="center"/>
            </w:pPr>
            <w:r>
              <w:t>-48,2</w:t>
            </w:r>
          </w:p>
        </w:tc>
      </w:tr>
      <w:tr w:rsidR="0047436C" w:rsidTr="00B46241">
        <w:tc>
          <w:tcPr>
            <w:tcW w:w="2303" w:type="dxa"/>
          </w:tcPr>
          <w:p w:rsidR="0047436C" w:rsidRPr="00215413" w:rsidRDefault="0047436C" w:rsidP="00B46241">
            <w:pPr>
              <w:pStyle w:val="Bezodstpw"/>
              <w:jc w:val="center"/>
              <w:rPr>
                <w:b/>
                <w:color w:val="FF0000"/>
              </w:rPr>
            </w:pPr>
            <w:r w:rsidRPr="00215413">
              <w:rPr>
                <w:b/>
                <w:color w:val="FF0000"/>
              </w:rPr>
              <w:t>2009</w:t>
            </w:r>
          </w:p>
        </w:tc>
        <w:tc>
          <w:tcPr>
            <w:tcW w:w="2303" w:type="dxa"/>
          </w:tcPr>
          <w:p w:rsidR="0047436C" w:rsidRPr="00010E55" w:rsidRDefault="0047436C" w:rsidP="00B46241">
            <w:pPr>
              <w:pStyle w:val="Bezodstpw"/>
              <w:jc w:val="center"/>
            </w:pPr>
            <w:r>
              <w:t>2,6</w:t>
            </w:r>
          </w:p>
        </w:tc>
        <w:tc>
          <w:tcPr>
            <w:tcW w:w="2303" w:type="dxa"/>
          </w:tcPr>
          <w:p w:rsidR="0047436C" w:rsidRPr="00010E55" w:rsidRDefault="0047436C" w:rsidP="00B46241">
            <w:pPr>
              <w:pStyle w:val="Bezodstpw"/>
              <w:jc w:val="center"/>
            </w:pPr>
            <w:r>
              <w:t>-1,9</w:t>
            </w:r>
          </w:p>
        </w:tc>
        <w:tc>
          <w:tcPr>
            <w:tcW w:w="2303" w:type="dxa"/>
          </w:tcPr>
          <w:p w:rsidR="0047436C" w:rsidRPr="00010E55" w:rsidRDefault="0047436C" w:rsidP="00B46241">
            <w:pPr>
              <w:pStyle w:val="Bezodstpw"/>
              <w:jc w:val="center"/>
            </w:pPr>
            <w:r>
              <w:t>33,5</w:t>
            </w:r>
          </w:p>
        </w:tc>
      </w:tr>
      <w:tr w:rsidR="0047436C" w:rsidTr="00B46241">
        <w:tc>
          <w:tcPr>
            <w:tcW w:w="2303" w:type="dxa"/>
          </w:tcPr>
          <w:p w:rsidR="0047436C" w:rsidRPr="00010E55" w:rsidRDefault="0047436C" w:rsidP="00B46241">
            <w:pPr>
              <w:pStyle w:val="Bezodstpw"/>
              <w:jc w:val="center"/>
            </w:pPr>
            <w:r w:rsidRPr="00010E55">
              <w:t>2010</w:t>
            </w:r>
          </w:p>
        </w:tc>
        <w:tc>
          <w:tcPr>
            <w:tcW w:w="2303" w:type="dxa"/>
          </w:tcPr>
          <w:p w:rsidR="0047436C" w:rsidRPr="00010E55" w:rsidRDefault="0047436C" w:rsidP="00B46241">
            <w:pPr>
              <w:pStyle w:val="Bezodstpw"/>
              <w:jc w:val="center"/>
            </w:pPr>
            <w:r>
              <w:t>3,7</w:t>
            </w:r>
          </w:p>
        </w:tc>
        <w:tc>
          <w:tcPr>
            <w:tcW w:w="2303" w:type="dxa"/>
          </w:tcPr>
          <w:p w:rsidR="0047436C" w:rsidRPr="00010E55" w:rsidRDefault="0047436C" w:rsidP="00B46241">
            <w:pPr>
              <w:pStyle w:val="Bezodstpw"/>
              <w:jc w:val="center"/>
            </w:pPr>
            <w:r>
              <w:t>-0,2</w:t>
            </w:r>
          </w:p>
        </w:tc>
        <w:tc>
          <w:tcPr>
            <w:tcW w:w="2303" w:type="dxa"/>
          </w:tcPr>
          <w:p w:rsidR="0047436C" w:rsidRPr="00010E55" w:rsidRDefault="0047436C" w:rsidP="00B46241">
            <w:pPr>
              <w:pStyle w:val="Bezodstpw"/>
              <w:jc w:val="center"/>
            </w:pPr>
            <w:r>
              <w:t>14,9</w:t>
            </w:r>
          </w:p>
        </w:tc>
      </w:tr>
      <w:tr w:rsidR="0047436C" w:rsidTr="00B46241">
        <w:tc>
          <w:tcPr>
            <w:tcW w:w="2303" w:type="dxa"/>
          </w:tcPr>
          <w:p w:rsidR="0047436C" w:rsidRPr="00010E55" w:rsidRDefault="0047436C" w:rsidP="00B46241">
            <w:pPr>
              <w:pStyle w:val="Bezodstpw"/>
              <w:jc w:val="center"/>
            </w:pPr>
            <w:r w:rsidRPr="00010E55">
              <w:t>2011</w:t>
            </w:r>
          </w:p>
        </w:tc>
        <w:tc>
          <w:tcPr>
            <w:tcW w:w="2303" w:type="dxa"/>
          </w:tcPr>
          <w:p w:rsidR="0047436C" w:rsidRPr="00010E55" w:rsidRDefault="0047436C" w:rsidP="00B46241">
            <w:pPr>
              <w:pStyle w:val="Bezodstpw"/>
              <w:jc w:val="center"/>
            </w:pPr>
            <w:r>
              <w:t>5,0</w:t>
            </w:r>
          </w:p>
        </w:tc>
        <w:tc>
          <w:tcPr>
            <w:tcW w:w="2303" w:type="dxa"/>
          </w:tcPr>
          <w:p w:rsidR="0047436C" w:rsidRPr="00010E55" w:rsidRDefault="0047436C" w:rsidP="00B46241">
            <w:pPr>
              <w:pStyle w:val="Bezodstpw"/>
              <w:jc w:val="center"/>
            </w:pPr>
            <w:r>
              <w:t xml:space="preserve">  8,8</w:t>
            </w:r>
          </w:p>
        </w:tc>
        <w:tc>
          <w:tcPr>
            <w:tcW w:w="2303" w:type="dxa"/>
          </w:tcPr>
          <w:p w:rsidR="0047436C" w:rsidRPr="00010E55" w:rsidRDefault="0047436C" w:rsidP="00B46241">
            <w:pPr>
              <w:pStyle w:val="Bezodstpw"/>
              <w:jc w:val="center"/>
            </w:pPr>
            <w:r>
              <w:t>-21,9</w:t>
            </w:r>
          </w:p>
        </w:tc>
      </w:tr>
      <w:tr w:rsidR="0047436C" w:rsidTr="00B46241">
        <w:tc>
          <w:tcPr>
            <w:tcW w:w="2303" w:type="dxa"/>
          </w:tcPr>
          <w:p w:rsidR="0047436C" w:rsidRPr="00215413" w:rsidRDefault="0047436C" w:rsidP="00B46241">
            <w:pPr>
              <w:pStyle w:val="Bezodstpw"/>
              <w:jc w:val="center"/>
              <w:rPr>
                <w:b/>
                <w:color w:val="FF0000"/>
              </w:rPr>
            </w:pPr>
            <w:r w:rsidRPr="00215413">
              <w:rPr>
                <w:b/>
                <w:color w:val="FF0000"/>
              </w:rPr>
              <w:t>2012</w:t>
            </w:r>
          </w:p>
        </w:tc>
        <w:tc>
          <w:tcPr>
            <w:tcW w:w="2303" w:type="dxa"/>
          </w:tcPr>
          <w:p w:rsidR="0047436C" w:rsidRPr="00010E55" w:rsidRDefault="0047436C" w:rsidP="00B46241">
            <w:pPr>
              <w:pStyle w:val="Bezodstpw"/>
              <w:jc w:val="center"/>
            </w:pPr>
            <w:r>
              <w:t>1,6</w:t>
            </w:r>
          </w:p>
        </w:tc>
        <w:tc>
          <w:tcPr>
            <w:tcW w:w="2303" w:type="dxa"/>
          </w:tcPr>
          <w:p w:rsidR="0047436C" w:rsidRPr="00010E55" w:rsidRDefault="0047436C" w:rsidP="00B46241">
            <w:pPr>
              <w:pStyle w:val="Bezodstpw"/>
              <w:jc w:val="center"/>
            </w:pPr>
            <w:r>
              <w:t>-1,8</w:t>
            </w:r>
          </w:p>
        </w:tc>
        <w:tc>
          <w:tcPr>
            <w:tcW w:w="2303" w:type="dxa"/>
          </w:tcPr>
          <w:p w:rsidR="0047436C" w:rsidRPr="00010E55" w:rsidRDefault="0047436C" w:rsidP="00B46241">
            <w:pPr>
              <w:pStyle w:val="Bezodstpw"/>
              <w:jc w:val="center"/>
            </w:pPr>
            <w:r>
              <w:t>20,4</w:t>
            </w:r>
          </w:p>
        </w:tc>
      </w:tr>
      <w:tr w:rsidR="0047436C" w:rsidTr="00B46241">
        <w:tc>
          <w:tcPr>
            <w:tcW w:w="2303" w:type="dxa"/>
          </w:tcPr>
          <w:p w:rsidR="0047436C" w:rsidRPr="00010E55" w:rsidRDefault="0047436C" w:rsidP="00B46241">
            <w:pPr>
              <w:pStyle w:val="Bezodstpw"/>
              <w:jc w:val="center"/>
            </w:pPr>
            <w:r w:rsidRPr="00010E55">
              <w:t>2013</w:t>
            </w:r>
          </w:p>
        </w:tc>
        <w:tc>
          <w:tcPr>
            <w:tcW w:w="2303" w:type="dxa"/>
          </w:tcPr>
          <w:p w:rsidR="0047436C" w:rsidRPr="00010E55" w:rsidRDefault="0047436C" w:rsidP="00B46241">
            <w:pPr>
              <w:pStyle w:val="Bezodstpw"/>
              <w:jc w:val="center"/>
            </w:pPr>
            <w:r>
              <w:t>1,3</w:t>
            </w:r>
          </w:p>
        </w:tc>
        <w:tc>
          <w:tcPr>
            <w:tcW w:w="2303" w:type="dxa"/>
          </w:tcPr>
          <w:p w:rsidR="0047436C" w:rsidRPr="00010E55" w:rsidRDefault="0047436C" w:rsidP="00B46241">
            <w:pPr>
              <w:pStyle w:val="Bezodstpw"/>
              <w:jc w:val="center"/>
            </w:pPr>
            <w:r>
              <w:t>-1,1</w:t>
            </w:r>
          </w:p>
        </w:tc>
        <w:tc>
          <w:tcPr>
            <w:tcW w:w="2303" w:type="dxa"/>
          </w:tcPr>
          <w:p w:rsidR="0047436C" w:rsidRPr="00010E55" w:rsidRDefault="0047436C" w:rsidP="00B46241">
            <w:pPr>
              <w:pStyle w:val="Bezodstpw"/>
              <w:jc w:val="center"/>
            </w:pPr>
            <w:r>
              <w:t xml:space="preserve"> -7,0</w:t>
            </w:r>
          </w:p>
        </w:tc>
      </w:tr>
      <w:tr w:rsidR="0047436C" w:rsidTr="00B46241">
        <w:tc>
          <w:tcPr>
            <w:tcW w:w="2303" w:type="dxa"/>
          </w:tcPr>
          <w:p w:rsidR="0047436C" w:rsidRPr="00010E55" w:rsidRDefault="0047436C" w:rsidP="00B46241">
            <w:pPr>
              <w:pStyle w:val="Bezodstpw"/>
              <w:jc w:val="center"/>
            </w:pPr>
            <w:r w:rsidRPr="00010E55">
              <w:t>2014</w:t>
            </w:r>
          </w:p>
        </w:tc>
        <w:tc>
          <w:tcPr>
            <w:tcW w:w="2303" w:type="dxa"/>
          </w:tcPr>
          <w:p w:rsidR="0047436C" w:rsidRPr="00010E55" w:rsidRDefault="0047436C" w:rsidP="00B46241">
            <w:pPr>
              <w:pStyle w:val="Bezodstpw"/>
              <w:jc w:val="center"/>
            </w:pPr>
            <w:r>
              <w:t>3,3</w:t>
            </w:r>
          </w:p>
        </w:tc>
        <w:tc>
          <w:tcPr>
            <w:tcW w:w="2303" w:type="dxa"/>
          </w:tcPr>
          <w:p w:rsidR="0047436C" w:rsidRPr="00010E55" w:rsidRDefault="0047436C" w:rsidP="00B46241">
            <w:pPr>
              <w:pStyle w:val="Bezodstpw"/>
              <w:jc w:val="center"/>
            </w:pPr>
            <w:r>
              <w:t>10,0</w:t>
            </w:r>
          </w:p>
        </w:tc>
        <w:tc>
          <w:tcPr>
            <w:tcW w:w="2303" w:type="dxa"/>
          </w:tcPr>
          <w:p w:rsidR="0047436C" w:rsidRPr="00010E55" w:rsidRDefault="0047436C" w:rsidP="00B46241">
            <w:pPr>
              <w:pStyle w:val="Bezodstpw"/>
              <w:jc w:val="center"/>
            </w:pPr>
            <w:r>
              <w:t xml:space="preserve"> -3,5</w:t>
            </w:r>
          </w:p>
        </w:tc>
      </w:tr>
      <w:tr w:rsidR="0047436C" w:rsidTr="00B46241">
        <w:tc>
          <w:tcPr>
            <w:tcW w:w="2303" w:type="dxa"/>
          </w:tcPr>
          <w:p w:rsidR="0047436C" w:rsidRPr="00010E55" w:rsidRDefault="0047436C" w:rsidP="00B46241">
            <w:pPr>
              <w:pStyle w:val="Bezodstpw"/>
              <w:jc w:val="center"/>
            </w:pPr>
            <w:r w:rsidRPr="00010E55">
              <w:t>2015</w:t>
            </w:r>
          </w:p>
        </w:tc>
        <w:tc>
          <w:tcPr>
            <w:tcW w:w="2303" w:type="dxa"/>
          </w:tcPr>
          <w:p w:rsidR="0047436C" w:rsidRPr="00010E55" w:rsidRDefault="0047436C" w:rsidP="00B46241">
            <w:pPr>
              <w:pStyle w:val="Bezodstpw"/>
              <w:jc w:val="center"/>
            </w:pPr>
            <w:r>
              <w:t>3,9</w:t>
            </w:r>
          </w:p>
        </w:tc>
        <w:tc>
          <w:tcPr>
            <w:tcW w:w="2303" w:type="dxa"/>
          </w:tcPr>
          <w:p w:rsidR="0047436C" w:rsidRPr="00010E55" w:rsidRDefault="0047436C" w:rsidP="00B46241">
            <w:pPr>
              <w:pStyle w:val="Bezodstpw"/>
              <w:jc w:val="center"/>
            </w:pPr>
            <w:r>
              <w:t xml:space="preserve">  5,8</w:t>
            </w:r>
          </w:p>
        </w:tc>
        <w:tc>
          <w:tcPr>
            <w:tcW w:w="2303" w:type="dxa"/>
          </w:tcPr>
          <w:p w:rsidR="0047436C" w:rsidRDefault="0047436C" w:rsidP="00B46241">
            <w:pPr>
              <w:pStyle w:val="Bezodstpw"/>
              <w:jc w:val="center"/>
            </w:pPr>
            <w:r>
              <w:t>-19,7</w:t>
            </w:r>
          </w:p>
        </w:tc>
      </w:tr>
    </w:tbl>
    <w:p w:rsidR="0047436C" w:rsidRDefault="0047436C" w:rsidP="0047436C">
      <w:pPr>
        <w:pStyle w:val="Bezodstpw"/>
        <w:jc w:val="both"/>
        <w:rPr>
          <w:sz w:val="26"/>
          <w:szCs w:val="26"/>
        </w:rPr>
      </w:pPr>
    </w:p>
    <w:p w:rsidR="0047436C" w:rsidRPr="00EF60F5" w:rsidRDefault="0047436C" w:rsidP="0047436C">
      <w:pPr>
        <w:pStyle w:val="Bezodstpw"/>
        <w:jc w:val="both"/>
        <w:rPr>
          <w:sz w:val="26"/>
          <w:szCs w:val="26"/>
        </w:rPr>
      </w:pPr>
      <w:r w:rsidRPr="00EF60F5">
        <w:rPr>
          <w:sz w:val="26"/>
          <w:szCs w:val="26"/>
        </w:rPr>
        <w:t>Współczynnik korelacji liniowej Pearsona pokazuje siłę i kierunek związku pomiędzy dwoma zmiennymi. Współczynnik ten może przyjmować wartości od minus 1,0 do plus 1,0.</w:t>
      </w:r>
    </w:p>
    <w:p w:rsidR="0047436C" w:rsidRPr="00EF60F5" w:rsidRDefault="0047436C" w:rsidP="0047436C">
      <w:pPr>
        <w:pStyle w:val="Bezodstpw"/>
        <w:jc w:val="both"/>
        <w:rPr>
          <w:sz w:val="26"/>
          <w:szCs w:val="26"/>
        </w:rPr>
      </w:pPr>
    </w:p>
    <w:p w:rsidR="0047436C" w:rsidRPr="00EF60F5" w:rsidRDefault="0047436C" w:rsidP="0047436C">
      <w:pPr>
        <w:pStyle w:val="Bezodstpw"/>
        <w:jc w:val="both"/>
        <w:rPr>
          <w:sz w:val="26"/>
          <w:szCs w:val="26"/>
        </w:rPr>
      </w:pPr>
      <w:r w:rsidRPr="00EF60F5">
        <w:rPr>
          <w:sz w:val="26"/>
          <w:szCs w:val="26"/>
        </w:rPr>
        <w:t>Jeżeli przyjmuje on wartości wyraźnie dodatnie (na przykład plus 0,93, plus 0,84, plus 0,65 itd.) to można powiedzieć, że powiązanie pomiędzy dwoma zmiennymi ma charakter dodatni. Im wyższy poziom pierwszej zmiennej X tym wyższy poziom zmiennej drugiej.</w:t>
      </w:r>
    </w:p>
    <w:p w:rsidR="0047436C" w:rsidRPr="00EF60F5" w:rsidRDefault="0047436C" w:rsidP="0047436C">
      <w:pPr>
        <w:pStyle w:val="Bezodstpw"/>
        <w:jc w:val="both"/>
        <w:rPr>
          <w:sz w:val="26"/>
          <w:szCs w:val="26"/>
        </w:rPr>
      </w:pPr>
    </w:p>
    <w:p w:rsidR="0047436C" w:rsidRDefault="0047436C" w:rsidP="0047436C">
      <w:pPr>
        <w:pStyle w:val="Bezodstpw"/>
        <w:jc w:val="both"/>
        <w:rPr>
          <w:sz w:val="26"/>
          <w:szCs w:val="26"/>
        </w:rPr>
      </w:pPr>
      <w:r w:rsidRPr="00EF60F5">
        <w:rPr>
          <w:sz w:val="26"/>
          <w:szCs w:val="26"/>
        </w:rPr>
        <w:t xml:space="preserve">Jeżeli współczynnik ten przyjmuje wartości wyraźnie ujemne (na przykład minus 0,91, minus 0,74, minus 0,51 itd.) to można powiedzieć, że powiązanie pomiędzy dwoma zmiennymi ma charakter ujemny. Im wyższy poziom pierwszej zmiennej tym niższy </w:t>
      </w:r>
      <w:r w:rsidRPr="00EF60F5">
        <w:rPr>
          <w:sz w:val="26"/>
          <w:szCs w:val="26"/>
        </w:rPr>
        <w:lastRenderedPageBreak/>
        <w:t>poziom zmiennej drugiej.</w:t>
      </w:r>
      <w:r>
        <w:rPr>
          <w:sz w:val="26"/>
          <w:szCs w:val="26"/>
        </w:rPr>
        <w:t xml:space="preserve"> </w:t>
      </w:r>
      <w:r w:rsidRPr="00EF60F5">
        <w:rPr>
          <w:sz w:val="26"/>
          <w:szCs w:val="26"/>
        </w:rPr>
        <w:t>Jeżeli współczynnik ten przyjmuje wartości bliskie zeru (na przykład minus 0,05, plus 0,12, plus 0,07) to można powiedzieć, że powiązania pomiędzy oboma zmiennymi praktycznie nie ma, bądź, że jest ono minimalne.</w:t>
      </w:r>
    </w:p>
    <w:p w:rsidR="0047436C" w:rsidRDefault="0047436C" w:rsidP="0047436C">
      <w:pPr>
        <w:pStyle w:val="Bezodstpw"/>
        <w:jc w:val="both"/>
        <w:rPr>
          <w:sz w:val="26"/>
          <w:szCs w:val="26"/>
        </w:rPr>
      </w:pPr>
    </w:p>
    <w:p w:rsidR="0047436C" w:rsidRDefault="0047436C" w:rsidP="0047436C">
      <w:pPr>
        <w:pStyle w:val="Bezodstpw"/>
        <w:jc w:val="both"/>
        <w:rPr>
          <w:sz w:val="26"/>
          <w:szCs w:val="26"/>
        </w:rPr>
      </w:pPr>
      <w:r>
        <w:rPr>
          <w:sz w:val="26"/>
          <w:szCs w:val="26"/>
        </w:rPr>
        <w:t xml:space="preserve">Na podstawie danych z lat 2002 – 2015 można powiedzieć, że </w:t>
      </w:r>
      <w:r w:rsidRPr="00AC16B8">
        <w:rPr>
          <w:b/>
          <w:sz w:val="26"/>
          <w:szCs w:val="26"/>
        </w:rPr>
        <w:t>poziom korelacji liniowej Pearsona pomiędzy stopą zwrotu z indeksu WIG20 w roku T a realną zmianą PKB w roku T+1 wynosił minus 0,25</w:t>
      </w:r>
      <w:r>
        <w:rPr>
          <w:sz w:val="26"/>
          <w:szCs w:val="26"/>
        </w:rPr>
        <w:t xml:space="preserve">. Z kolei </w:t>
      </w:r>
      <w:r w:rsidRPr="00EF60F5">
        <w:rPr>
          <w:sz w:val="26"/>
          <w:szCs w:val="26"/>
        </w:rPr>
        <w:t xml:space="preserve">poziom korelacji liniowej Pearsona pomiędzy stopą zwrotu z indeksu </w:t>
      </w:r>
      <w:r>
        <w:rPr>
          <w:sz w:val="26"/>
          <w:szCs w:val="26"/>
        </w:rPr>
        <w:t xml:space="preserve">WIG20 </w:t>
      </w:r>
      <w:r w:rsidRPr="00EF60F5">
        <w:rPr>
          <w:sz w:val="26"/>
          <w:szCs w:val="26"/>
        </w:rPr>
        <w:t xml:space="preserve">w roku T a realną zmianą </w:t>
      </w:r>
      <w:r>
        <w:rPr>
          <w:sz w:val="26"/>
          <w:szCs w:val="26"/>
        </w:rPr>
        <w:t xml:space="preserve">nakładów inwestycyjnych </w:t>
      </w:r>
      <w:r w:rsidRPr="00EF60F5">
        <w:rPr>
          <w:sz w:val="26"/>
          <w:szCs w:val="26"/>
        </w:rPr>
        <w:t xml:space="preserve">w roku T+1 </w:t>
      </w:r>
      <w:r>
        <w:rPr>
          <w:sz w:val="26"/>
          <w:szCs w:val="26"/>
        </w:rPr>
        <w:t xml:space="preserve">wynosił minus 0,36. </w:t>
      </w:r>
    </w:p>
    <w:p w:rsidR="0047436C" w:rsidRDefault="0047436C" w:rsidP="0047436C">
      <w:pPr>
        <w:pStyle w:val="Bezodstpw"/>
        <w:jc w:val="both"/>
        <w:rPr>
          <w:sz w:val="26"/>
          <w:szCs w:val="26"/>
        </w:rPr>
      </w:pPr>
    </w:p>
    <w:p w:rsidR="0047436C" w:rsidRDefault="0047436C" w:rsidP="0047436C">
      <w:pPr>
        <w:pStyle w:val="Bezodstpw"/>
        <w:jc w:val="both"/>
        <w:rPr>
          <w:sz w:val="26"/>
          <w:szCs w:val="26"/>
        </w:rPr>
      </w:pPr>
      <w:r>
        <w:rPr>
          <w:sz w:val="26"/>
          <w:szCs w:val="26"/>
        </w:rPr>
        <w:t xml:space="preserve">Wynikało by z tego, że ogólnie rzecz biorąc </w:t>
      </w:r>
      <w:r w:rsidRPr="001F1EA6">
        <w:rPr>
          <w:b/>
          <w:color w:val="FFFFFF" w:themeColor="background1"/>
          <w:sz w:val="26"/>
          <w:szCs w:val="26"/>
          <w:bdr w:val="single" w:sz="4" w:space="0" w:color="auto"/>
          <w:shd w:val="clear" w:color="auto" w:fill="FF0000"/>
        </w:rPr>
        <w:t>im gorsze dane o PKB i nakładach inwestycyjnych w roku T tym lepsze zachowanie indeksu WIG20 w roku T+1</w:t>
      </w:r>
      <w:r w:rsidRPr="001F1EA6">
        <w:rPr>
          <w:color w:val="FFFFFF" w:themeColor="background1"/>
          <w:sz w:val="26"/>
          <w:szCs w:val="26"/>
          <w:bdr w:val="single" w:sz="4" w:space="0" w:color="auto"/>
          <w:shd w:val="clear" w:color="auto" w:fill="FF0000"/>
        </w:rPr>
        <w:t>.</w:t>
      </w:r>
      <w:r w:rsidRPr="001F1EA6">
        <w:rPr>
          <w:color w:val="FFFFFF" w:themeColor="background1"/>
          <w:sz w:val="26"/>
          <w:szCs w:val="26"/>
        </w:rPr>
        <w:t xml:space="preserve"> </w:t>
      </w:r>
      <w:r>
        <w:rPr>
          <w:sz w:val="26"/>
          <w:szCs w:val="26"/>
        </w:rPr>
        <w:t xml:space="preserve">Dlaczego tak się </w:t>
      </w:r>
      <w:proofErr w:type="gramStart"/>
      <w:r>
        <w:rPr>
          <w:sz w:val="26"/>
          <w:szCs w:val="26"/>
        </w:rPr>
        <w:t xml:space="preserve">dzieję ?. </w:t>
      </w:r>
      <w:proofErr w:type="gramEnd"/>
      <w:r>
        <w:rPr>
          <w:sz w:val="26"/>
          <w:szCs w:val="26"/>
        </w:rPr>
        <w:t xml:space="preserve">Jest tak być </w:t>
      </w:r>
      <w:proofErr w:type="gramStart"/>
      <w:r>
        <w:rPr>
          <w:sz w:val="26"/>
          <w:szCs w:val="26"/>
        </w:rPr>
        <w:t>może dlatego</w:t>
      </w:r>
      <w:proofErr w:type="gramEnd"/>
      <w:r>
        <w:rPr>
          <w:sz w:val="26"/>
          <w:szCs w:val="26"/>
        </w:rPr>
        <w:t xml:space="preserve">, że rynek akcji stanowi swoisty barometr przyszłego stanu aktywności gospodarczej. Z tego punktu widzenia można powiedzieć, że </w:t>
      </w:r>
      <w:r w:rsidRPr="00AC16B8">
        <w:rPr>
          <w:b/>
          <w:sz w:val="26"/>
          <w:szCs w:val="26"/>
        </w:rPr>
        <w:t>warto kupować akcje spółek z indeksu WIG20 już wtedy, gdy dane o PKB i nakładach inwestycyjnych są stosunkowo słabe licząc na to, że w przyszłości ulegną poprawie, co poprawi też wyniki spółek</w:t>
      </w:r>
      <w:r>
        <w:rPr>
          <w:sz w:val="26"/>
          <w:szCs w:val="26"/>
        </w:rPr>
        <w:t xml:space="preserve">. </w:t>
      </w:r>
    </w:p>
    <w:p w:rsidR="0047436C" w:rsidRDefault="0047436C" w:rsidP="0047436C">
      <w:pPr>
        <w:pStyle w:val="Bezodstpw"/>
        <w:jc w:val="both"/>
        <w:rPr>
          <w:sz w:val="26"/>
          <w:szCs w:val="26"/>
        </w:rPr>
      </w:pPr>
    </w:p>
    <w:p w:rsidR="0047436C" w:rsidRDefault="0047436C" w:rsidP="0047436C">
      <w:pPr>
        <w:pStyle w:val="Bezodstpw"/>
        <w:jc w:val="both"/>
        <w:rPr>
          <w:sz w:val="26"/>
          <w:szCs w:val="26"/>
        </w:rPr>
      </w:pPr>
      <w:r>
        <w:rPr>
          <w:sz w:val="26"/>
          <w:szCs w:val="26"/>
        </w:rPr>
        <w:t xml:space="preserve">W tabeli kolorem czerwonym zaznaczyłem lata </w:t>
      </w:r>
      <w:proofErr w:type="gramStart"/>
      <w:r w:rsidRPr="001F1EA6">
        <w:rPr>
          <w:b/>
          <w:color w:val="FFFFFF" w:themeColor="background1"/>
          <w:sz w:val="26"/>
          <w:szCs w:val="26"/>
          <w:bdr w:val="single" w:sz="4" w:space="0" w:color="auto"/>
          <w:shd w:val="clear" w:color="auto" w:fill="FF0000"/>
        </w:rPr>
        <w:t>,,</w:t>
      </w:r>
      <w:proofErr w:type="gramEnd"/>
      <w:r w:rsidRPr="001F1EA6">
        <w:rPr>
          <w:b/>
          <w:color w:val="FFFFFF" w:themeColor="background1"/>
          <w:sz w:val="26"/>
          <w:szCs w:val="26"/>
          <w:bdr w:val="single" w:sz="4" w:space="0" w:color="auto"/>
          <w:shd w:val="clear" w:color="auto" w:fill="FF0000"/>
        </w:rPr>
        <w:t>podwójnego” ochłodzenie gospodarczego</w:t>
      </w:r>
      <w:r w:rsidRPr="0073240A">
        <w:rPr>
          <w:b/>
          <w:color w:val="FFFFFF" w:themeColor="background1"/>
          <w:sz w:val="26"/>
          <w:szCs w:val="26"/>
          <w:bdr w:val="single" w:sz="4" w:space="0" w:color="auto"/>
          <w:shd w:val="clear" w:color="auto" w:fill="FF0000"/>
        </w:rPr>
        <w:t xml:space="preserve">. Przez rok </w:t>
      </w:r>
      <w:proofErr w:type="gramStart"/>
      <w:r w:rsidRPr="0073240A">
        <w:rPr>
          <w:b/>
          <w:color w:val="FFFFFF" w:themeColor="background1"/>
          <w:sz w:val="26"/>
          <w:szCs w:val="26"/>
          <w:bdr w:val="single" w:sz="4" w:space="0" w:color="auto"/>
          <w:shd w:val="clear" w:color="auto" w:fill="FF0000"/>
        </w:rPr>
        <w:t>,,</w:t>
      </w:r>
      <w:proofErr w:type="gramEnd"/>
      <w:r w:rsidRPr="0073240A">
        <w:rPr>
          <w:b/>
          <w:color w:val="FFFFFF" w:themeColor="background1"/>
          <w:sz w:val="26"/>
          <w:szCs w:val="26"/>
          <w:bdr w:val="single" w:sz="4" w:space="0" w:color="auto"/>
          <w:shd w:val="clear" w:color="auto" w:fill="FF0000"/>
        </w:rPr>
        <w:t>podwójnego” ochłodzenia gospodarczego rozumiem taki rok T, w którym spełnione były 2 warunki</w:t>
      </w:r>
      <w:r w:rsidRPr="0073240A">
        <w:rPr>
          <w:color w:val="FFFFFF" w:themeColor="background1"/>
          <w:sz w:val="26"/>
          <w:szCs w:val="26"/>
          <w:bdr w:val="single" w:sz="4" w:space="0" w:color="auto"/>
          <w:shd w:val="clear" w:color="auto" w:fill="FF0000"/>
        </w:rPr>
        <w:t>:</w:t>
      </w:r>
      <w:r>
        <w:rPr>
          <w:sz w:val="26"/>
          <w:szCs w:val="26"/>
        </w:rPr>
        <w:t xml:space="preserve"> po pierwsze: realne tempo zmian PKB kształtowało się na mniej korzystnym poziomie, niż w roku T-1 a po drugie: </w:t>
      </w:r>
      <w:r w:rsidRPr="00215413">
        <w:rPr>
          <w:sz w:val="26"/>
          <w:szCs w:val="26"/>
        </w:rPr>
        <w:t xml:space="preserve">realne tempo zmian </w:t>
      </w:r>
      <w:r>
        <w:rPr>
          <w:sz w:val="26"/>
          <w:szCs w:val="26"/>
        </w:rPr>
        <w:t xml:space="preserve">nakładów inwestycyjnych </w:t>
      </w:r>
      <w:r w:rsidRPr="00215413">
        <w:rPr>
          <w:sz w:val="26"/>
          <w:szCs w:val="26"/>
        </w:rPr>
        <w:t xml:space="preserve">kształtowało się </w:t>
      </w:r>
      <w:r w:rsidR="0073240A">
        <w:rPr>
          <w:sz w:val="26"/>
          <w:szCs w:val="26"/>
        </w:rPr>
        <w:t xml:space="preserve">także </w:t>
      </w:r>
      <w:r w:rsidRPr="00215413">
        <w:rPr>
          <w:sz w:val="26"/>
          <w:szCs w:val="26"/>
        </w:rPr>
        <w:t>na mniej korzystnym poziomie, niż w roku T-1</w:t>
      </w:r>
      <w:r>
        <w:rPr>
          <w:sz w:val="26"/>
          <w:szCs w:val="26"/>
        </w:rPr>
        <w:t xml:space="preserve">. </w:t>
      </w:r>
    </w:p>
    <w:p w:rsidR="0047436C" w:rsidRDefault="0047436C" w:rsidP="0047436C">
      <w:pPr>
        <w:pStyle w:val="Bezodstpw"/>
        <w:jc w:val="both"/>
        <w:rPr>
          <w:sz w:val="26"/>
          <w:szCs w:val="26"/>
        </w:rPr>
      </w:pPr>
    </w:p>
    <w:p w:rsidR="0047436C" w:rsidRDefault="0047436C" w:rsidP="0047436C">
      <w:pPr>
        <w:pStyle w:val="Bezodstpw"/>
        <w:jc w:val="both"/>
        <w:rPr>
          <w:sz w:val="26"/>
          <w:szCs w:val="26"/>
        </w:rPr>
      </w:pPr>
      <w:r>
        <w:rPr>
          <w:sz w:val="26"/>
          <w:szCs w:val="26"/>
        </w:rPr>
        <w:t xml:space="preserve">Jakie było zachowanie indeksu WIG20 w roku następnym następującym bezpośrednio po roku </w:t>
      </w:r>
      <w:proofErr w:type="gramStart"/>
      <w:r>
        <w:rPr>
          <w:sz w:val="26"/>
          <w:szCs w:val="26"/>
        </w:rPr>
        <w:t>,,</w:t>
      </w:r>
      <w:proofErr w:type="gramEnd"/>
      <w:r>
        <w:rPr>
          <w:sz w:val="26"/>
          <w:szCs w:val="26"/>
        </w:rPr>
        <w:t xml:space="preserve">podwójnego” ochłodzenia gospodarczego ?. Było różnie. W 2009 roku indeks WIG20 zwyżkował o 33,5 %. W 2010 roku indeks ten zwiększył swą wartość o 14,9 % a w 2013 roku spadł o 7,0 %. </w:t>
      </w:r>
    </w:p>
    <w:p w:rsidR="0047436C" w:rsidRDefault="0047436C" w:rsidP="0047436C">
      <w:pPr>
        <w:pStyle w:val="Bezodstpw"/>
        <w:jc w:val="both"/>
        <w:rPr>
          <w:sz w:val="26"/>
          <w:szCs w:val="26"/>
        </w:rPr>
      </w:pPr>
    </w:p>
    <w:p w:rsidR="0047436C" w:rsidRDefault="0047436C" w:rsidP="0047436C">
      <w:pPr>
        <w:pStyle w:val="Bezodstpw"/>
        <w:jc w:val="both"/>
        <w:rPr>
          <w:sz w:val="26"/>
          <w:szCs w:val="26"/>
        </w:rPr>
      </w:pPr>
      <w:r>
        <w:rPr>
          <w:sz w:val="26"/>
          <w:szCs w:val="26"/>
        </w:rPr>
        <w:t xml:space="preserve">Średnio w roku następującym bezpośrednio po roku </w:t>
      </w:r>
      <w:proofErr w:type="gramStart"/>
      <w:r>
        <w:rPr>
          <w:sz w:val="26"/>
          <w:szCs w:val="26"/>
        </w:rPr>
        <w:t>,,</w:t>
      </w:r>
      <w:proofErr w:type="gramEnd"/>
      <w:r>
        <w:rPr>
          <w:sz w:val="26"/>
          <w:szCs w:val="26"/>
        </w:rPr>
        <w:t xml:space="preserve">podwójnego” ochłodzenia gospodarczego indeks WIG20 rósł o 13,8 %. Czy to dużo czy </w:t>
      </w:r>
      <w:proofErr w:type="gramStart"/>
      <w:r>
        <w:rPr>
          <w:sz w:val="26"/>
          <w:szCs w:val="26"/>
        </w:rPr>
        <w:t xml:space="preserve">mało ?. </w:t>
      </w:r>
      <w:proofErr w:type="gramEnd"/>
      <w:r>
        <w:rPr>
          <w:sz w:val="26"/>
          <w:szCs w:val="26"/>
        </w:rPr>
        <w:t xml:space="preserve">Otóż średnia roczna zmiana indeksu WIG20 w latach 2002-2015 wyniosła 6,3 %. Na tym tle 13,8 % to całkiem dobrze, w każdym razie lepiej. </w:t>
      </w:r>
    </w:p>
    <w:p w:rsidR="0047436C" w:rsidRDefault="0047436C" w:rsidP="0047436C">
      <w:pPr>
        <w:pStyle w:val="Bezodstpw"/>
        <w:jc w:val="both"/>
        <w:rPr>
          <w:sz w:val="26"/>
          <w:szCs w:val="26"/>
        </w:rPr>
      </w:pPr>
    </w:p>
    <w:p w:rsidR="0047436C" w:rsidRDefault="0047436C" w:rsidP="0047436C">
      <w:pPr>
        <w:pStyle w:val="Bezodstpw"/>
        <w:jc w:val="both"/>
        <w:rPr>
          <w:sz w:val="26"/>
          <w:szCs w:val="26"/>
        </w:rPr>
      </w:pPr>
      <w:r w:rsidRPr="001F1EA6">
        <w:rPr>
          <w:b/>
          <w:sz w:val="26"/>
          <w:szCs w:val="26"/>
        </w:rPr>
        <w:t xml:space="preserve">Dlaczego o tym wszystkim </w:t>
      </w:r>
      <w:proofErr w:type="gramStart"/>
      <w:r w:rsidRPr="001F1EA6">
        <w:rPr>
          <w:b/>
          <w:sz w:val="26"/>
          <w:szCs w:val="26"/>
        </w:rPr>
        <w:t xml:space="preserve">piszę ? </w:t>
      </w:r>
      <w:proofErr w:type="gramEnd"/>
      <w:r w:rsidRPr="001F1EA6">
        <w:rPr>
          <w:b/>
          <w:sz w:val="26"/>
          <w:szCs w:val="26"/>
        </w:rPr>
        <w:t xml:space="preserve">Otóż prawdopodobnie roku 2016 będzie również rokiem </w:t>
      </w:r>
      <w:proofErr w:type="gramStart"/>
      <w:r w:rsidRPr="001F1EA6">
        <w:rPr>
          <w:b/>
          <w:sz w:val="26"/>
          <w:szCs w:val="26"/>
        </w:rPr>
        <w:t>,,</w:t>
      </w:r>
      <w:proofErr w:type="gramEnd"/>
      <w:r w:rsidRPr="001F1EA6">
        <w:rPr>
          <w:b/>
          <w:sz w:val="26"/>
          <w:szCs w:val="26"/>
        </w:rPr>
        <w:t>podwójnego” ochłodzenia gospodarczego</w:t>
      </w:r>
      <w:r>
        <w:rPr>
          <w:sz w:val="26"/>
          <w:szCs w:val="26"/>
        </w:rPr>
        <w:t xml:space="preserve">. Wedle najnowszych prognoz Organizacji Współpracy Międzynarodowej i Rozwoju w 2016 roku realna zmiana PKB w naszym kraju ma wynieść 3,0 % a nakładów inwestycyjnych 1,2 %. </w:t>
      </w:r>
    </w:p>
    <w:p w:rsidR="0047436C" w:rsidRDefault="0047436C" w:rsidP="0047436C">
      <w:pPr>
        <w:pStyle w:val="Bezodstpw"/>
        <w:jc w:val="both"/>
        <w:rPr>
          <w:sz w:val="26"/>
          <w:szCs w:val="26"/>
        </w:rPr>
      </w:pPr>
    </w:p>
    <w:p w:rsidR="0047436C" w:rsidRDefault="0047436C" w:rsidP="0047436C">
      <w:pPr>
        <w:pStyle w:val="Bezodstpw"/>
        <w:jc w:val="both"/>
        <w:rPr>
          <w:sz w:val="26"/>
          <w:szCs w:val="26"/>
        </w:rPr>
      </w:pPr>
      <w:r>
        <w:rPr>
          <w:sz w:val="26"/>
          <w:szCs w:val="26"/>
        </w:rPr>
        <w:t xml:space="preserve">Jeżeli tak miało by być to rok 2016 powinien być rokiem </w:t>
      </w:r>
      <w:proofErr w:type="gramStart"/>
      <w:r>
        <w:rPr>
          <w:sz w:val="26"/>
          <w:szCs w:val="26"/>
        </w:rPr>
        <w:t>,,</w:t>
      </w:r>
      <w:proofErr w:type="gramEnd"/>
      <w:r>
        <w:rPr>
          <w:sz w:val="26"/>
          <w:szCs w:val="26"/>
        </w:rPr>
        <w:t xml:space="preserve">podwójnego” ochłodzenia gospodarczego w jak pokazałem wcześniej (zgodnie z zasadą ,,kupuj słabość, sprzedawaj silę”) w roku kolejnym, czyli w roku 2017 zachowanie indeksu WIG20 </w:t>
      </w:r>
      <w:r>
        <w:rPr>
          <w:sz w:val="26"/>
          <w:szCs w:val="26"/>
        </w:rPr>
        <w:lastRenderedPageBreak/>
        <w:t>powinno być stosunkowo mocne. W tym kontekście warto podobnych obliczeń dokonać dla indeksów: mWIG40 oraz sWIG80.</w:t>
      </w:r>
    </w:p>
    <w:p w:rsidR="0047436C" w:rsidRDefault="0047436C" w:rsidP="0047436C">
      <w:pPr>
        <w:pStyle w:val="Bezodstpw"/>
        <w:jc w:val="both"/>
        <w:rPr>
          <w:sz w:val="26"/>
          <w:szCs w:val="26"/>
        </w:rPr>
      </w:pPr>
    </w:p>
    <w:p w:rsidR="0047436C" w:rsidRDefault="0047436C" w:rsidP="0047436C">
      <w:pPr>
        <w:pStyle w:val="Bezodstpw"/>
        <w:jc w:val="both"/>
        <w:rPr>
          <w:sz w:val="26"/>
          <w:szCs w:val="26"/>
        </w:rPr>
      </w:pPr>
      <w:r>
        <w:rPr>
          <w:sz w:val="26"/>
          <w:szCs w:val="26"/>
        </w:rPr>
        <w:t>Popatrzmy na poniższą tabelę. W pierwszej rubryce zaprezentowano rok, w drugiej realną zmian</w:t>
      </w:r>
      <w:r w:rsidR="0073240A">
        <w:rPr>
          <w:sz w:val="26"/>
          <w:szCs w:val="26"/>
        </w:rPr>
        <w:t>ę</w:t>
      </w:r>
      <w:r>
        <w:rPr>
          <w:sz w:val="26"/>
          <w:szCs w:val="26"/>
        </w:rPr>
        <w:t xml:space="preserve"> PKB</w:t>
      </w:r>
      <w:r w:rsidR="0073240A">
        <w:rPr>
          <w:sz w:val="26"/>
          <w:szCs w:val="26"/>
        </w:rPr>
        <w:t xml:space="preserve"> w %</w:t>
      </w:r>
      <w:r>
        <w:rPr>
          <w:sz w:val="26"/>
          <w:szCs w:val="26"/>
        </w:rPr>
        <w:t xml:space="preserve">, w trzeciej realną zmianą nakładów inwestycyjnych </w:t>
      </w:r>
      <w:r w:rsidR="0073240A">
        <w:rPr>
          <w:sz w:val="26"/>
          <w:szCs w:val="26"/>
        </w:rPr>
        <w:t xml:space="preserve">w % </w:t>
      </w:r>
      <w:r>
        <w:rPr>
          <w:sz w:val="26"/>
          <w:szCs w:val="26"/>
        </w:rPr>
        <w:t xml:space="preserve">a w czwartej zmianę indeksu mWIG40 w %. </w:t>
      </w:r>
    </w:p>
    <w:tbl>
      <w:tblPr>
        <w:tblStyle w:val="Tabela-Siatka"/>
        <w:tblW w:w="0" w:type="auto"/>
        <w:tblLook w:val="04A0" w:firstRow="1" w:lastRow="0" w:firstColumn="1" w:lastColumn="0" w:noHBand="0" w:noVBand="1"/>
      </w:tblPr>
      <w:tblGrid>
        <w:gridCol w:w="2303"/>
        <w:gridCol w:w="2303"/>
        <w:gridCol w:w="2303"/>
        <w:gridCol w:w="2303"/>
      </w:tblGrid>
      <w:tr w:rsidR="0047436C" w:rsidRPr="00010E55" w:rsidTr="00B46241">
        <w:tc>
          <w:tcPr>
            <w:tcW w:w="2303" w:type="dxa"/>
            <w:shd w:val="clear" w:color="auto" w:fill="000000" w:themeFill="text1"/>
          </w:tcPr>
          <w:p w:rsidR="0047436C" w:rsidRPr="00BC7FED" w:rsidRDefault="0047436C" w:rsidP="00B46241">
            <w:pPr>
              <w:pStyle w:val="Bezodstpw"/>
              <w:jc w:val="center"/>
              <w:rPr>
                <w:b/>
                <w:color w:val="FFFFFF" w:themeColor="background1"/>
              </w:rPr>
            </w:pPr>
            <w:r w:rsidRPr="00BC7FED">
              <w:rPr>
                <w:b/>
                <w:color w:val="FFFFFF" w:themeColor="background1"/>
              </w:rPr>
              <w:t>Rok</w:t>
            </w:r>
          </w:p>
        </w:tc>
        <w:tc>
          <w:tcPr>
            <w:tcW w:w="2303" w:type="dxa"/>
            <w:shd w:val="clear" w:color="auto" w:fill="000000" w:themeFill="text1"/>
          </w:tcPr>
          <w:p w:rsidR="0047436C" w:rsidRPr="00BC7FED" w:rsidRDefault="0047436C" w:rsidP="00B46241">
            <w:pPr>
              <w:pStyle w:val="Bezodstpw"/>
              <w:jc w:val="center"/>
              <w:rPr>
                <w:b/>
                <w:color w:val="FFFFFF" w:themeColor="background1"/>
              </w:rPr>
            </w:pPr>
            <w:r w:rsidRPr="00BC7FED">
              <w:rPr>
                <w:b/>
                <w:color w:val="FFFFFF" w:themeColor="background1"/>
              </w:rPr>
              <w:t>PKB</w:t>
            </w:r>
          </w:p>
        </w:tc>
        <w:tc>
          <w:tcPr>
            <w:tcW w:w="2303" w:type="dxa"/>
            <w:shd w:val="clear" w:color="auto" w:fill="000000" w:themeFill="text1"/>
          </w:tcPr>
          <w:p w:rsidR="0047436C" w:rsidRPr="00BC7FED" w:rsidRDefault="0047436C" w:rsidP="00B46241">
            <w:pPr>
              <w:pStyle w:val="Bezodstpw"/>
              <w:jc w:val="center"/>
              <w:rPr>
                <w:b/>
                <w:color w:val="FFFFFF" w:themeColor="background1"/>
              </w:rPr>
            </w:pPr>
            <w:r w:rsidRPr="00BC7FED">
              <w:rPr>
                <w:b/>
                <w:color w:val="FFFFFF" w:themeColor="background1"/>
              </w:rPr>
              <w:t>Nakłady inwestycyjne</w:t>
            </w:r>
          </w:p>
        </w:tc>
        <w:tc>
          <w:tcPr>
            <w:tcW w:w="2303" w:type="dxa"/>
            <w:shd w:val="clear" w:color="auto" w:fill="000000" w:themeFill="text1"/>
          </w:tcPr>
          <w:p w:rsidR="0047436C" w:rsidRPr="00BC7FED" w:rsidRDefault="0047436C" w:rsidP="00B46241">
            <w:pPr>
              <w:pStyle w:val="Bezodstpw"/>
              <w:jc w:val="center"/>
              <w:rPr>
                <w:b/>
                <w:color w:val="FFFFFF" w:themeColor="background1"/>
              </w:rPr>
            </w:pPr>
            <w:proofErr w:type="gramStart"/>
            <w:r w:rsidRPr="00BC7FED">
              <w:rPr>
                <w:b/>
                <w:color w:val="FFFFFF" w:themeColor="background1"/>
              </w:rPr>
              <w:t>mWIG</w:t>
            </w:r>
            <w:proofErr w:type="gramEnd"/>
            <w:r w:rsidRPr="00BC7FED">
              <w:rPr>
                <w:b/>
                <w:color w:val="FFFFFF" w:themeColor="background1"/>
              </w:rPr>
              <w:t>40</w:t>
            </w:r>
          </w:p>
        </w:tc>
      </w:tr>
      <w:tr w:rsidR="0047436C" w:rsidRPr="00010E55" w:rsidTr="00B46241">
        <w:tc>
          <w:tcPr>
            <w:tcW w:w="2303" w:type="dxa"/>
          </w:tcPr>
          <w:p w:rsidR="0047436C" w:rsidRPr="00010E55" w:rsidRDefault="0047436C" w:rsidP="00B46241">
            <w:pPr>
              <w:pStyle w:val="Bezodstpw"/>
              <w:jc w:val="center"/>
            </w:pPr>
            <w:r w:rsidRPr="00010E55">
              <w:t>2002</w:t>
            </w:r>
          </w:p>
        </w:tc>
        <w:tc>
          <w:tcPr>
            <w:tcW w:w="2303" w:type="dxa"/>
          </w:tcPr>
          <w:p w:rsidR="0047436C" w:rsidRPr="00010E55" w:rsidRDefault="0047436C" w:rsidP="00B46241">
            <w:pPr>
              <w:pStyle w:val="Bezodstpw"/>
              <w:jc w:val="center"/>
            </w:pPr>
            <w:r>
              <w:t>1,4</w:t>
            </w:r>
          </w:p>
        </w:tc>
        <w:tc>
          <w:tcPr>
            <w:tcW w:w="2303" w:type="dxa"/>
          </w:tcPr>
          <w:p w:rsidR="0047436C" w:rsidRPr="00010E55" w:rsidRDefault="0047436C" w:rsidP="00B46241">
            <w:pPr>
              <w:pStyle w:val="Bezodstpw"/>
              <w:jc w:val="center"/>
            </w:pPr>
            <w:r>
              <w:t>-6,9</w:t>
            </w:r>
          </w:p>
        </w:tc>
        <w:tc>
          <w:tcPr>
            <w:tcW w:w="2303" w:type="dxa"/>
          </w:tcPr>
          <w:p w:rsidR="0047436C" w:rsidRPr="001174F9" w:rsidRDefault="0047436C" w:rsidP="00B46241">
            <w:pPr>
              <w:jc w:val="center"/>
            </w:pPr>
            <w:r>
              <w:t xml:space="preserve">  </w:t>
            </w:r>
            <w:r w:rsidRPr="001174F9">
              <w:t>-6,9</w:t>
            </w:r>
          </w:p>
        </w:tc>
      </w:tr>
      <w:tr w:rsidR="0047436C" w:rsidRPr="00010E55" w:rsidTr="00B46241">
        <w:tc>
          <w:tcPr>
            <w:tcW w:w="2303" w:type="dxa"/>
          </w:tcPr>
          <w:p w:rsidR="0047436C" w:rsidRPr="00010E55" w:rsidRDefault="0047436C" w:rsidP="00B46241">
            <w:pPr>
              <w:pStyle w:val="Bezodstpw"/>
              <w:jc w:val="center"/>
            </w:pPr>
            <w:r w:rsidRPr="00010E55">
              <w:t>2003</w:t>
            </w:r>
          </w:p>
        </w:tc>
        <w:tc>
          <w:tcPr>
            <w:tcW w:w="2303" w:type="dxa"/>
          </w:tcPr>
          <w:p w:rsidR="0047436C" w:rsidRPr="00010E55" w:rsidRDefault="0047436C" w:rsidP="00B46241">
            <w:pPr>
              <w:pStyle w:val="Bezodstpw"/>
              <w:jc w:val="center"/>
            </w:pPr>
            <w:r>
              <w:t>3,6</w:t>
            </w:r>
          </w:p>
        </w:tc>
        <w:tc>
          <w:tcPr>
            <w:tcW w:w="2303" w:type="dxa"/>
          </w:tcPr>
          <w:p w:rsidR="0047436C" w:rsidRPr="00010E55" w:rsidRDefault="0047436C" w:rsidP="00B46241">
            <w:pPr>
              <w:pStyle w:val="Bezodstpw"/>
              <w:jc w:val="center"/>
            </w:pPr>
            <w:r>
              <w:t xml:space="preserve">  1,2</w:t>
            </w:r>
          </w:p>
        </w:tc>
        <w:tc>
          <w:tcPr>
            <w:tcW w:w="2303" w:type="dxa"/>
          </w:tcPr>
          <w:p w:rsidR="0047436C" w:rsidRPr="001174F9" w:rsidRDefault="0047436C" w:rsidP="00B46241">
            <w:pPr>
              <w:jc w:val="center"/>
            </w:pPr>
            <w:r>
              <w:t xml:space="preserve">  </w:t>
            </w:r>
            <w:r w:rsidRPr="001174F9">
              <w:t>33,6</w:t>
            </w:r>
          </w:p>
        </w:tc>
      </w:tr>
      <w:tr w:rsidR="0047436C" w:rsidRPr="00010E55" w:rsidTr="00B46241">
        <w:tc>
          <w:tcPr>
            <w:tcW w:w="2303" w:type="dxa"/>
          </w:tcPr>
          <w:p w:rsidR="0047436C" w:rsidRPr="00010E55" w:rsidRDefault="0047436C" w:rsidP="00B46241">
            <w:pPr>
              <w:pStyle w:val="Bezodstpw"/>
              <w:jc w:val="center"/>
            </w:pPr>
            <w:r w:rsidRPr="00010E55">
              <w:t>2004</w:t>
            </w:r>
          </w:p>
        </w:tc>
        <w:tc>
          <w:tcPr>
            <w:tcW w:w="2303" w:type="dxa"/>
          </w:tcPr>
          <w:p w:rsidR="0047436C" w:rsidRPr="00010E55" w:rsidRDefault="0047436C" w:rsidP="00B46241">
            <w:pPr>
              <w:pStyle w:val="Bezodstpw"/>
              <w:jc w:val="center"/>
            </w:pPr>
            <w:r>
              <w:t>5,1</w:t>
            </w:r>
          </w:p>
        </w:tc>
        <w:tc>
          <w:tcPr>
            <w:tcW w:w="2303" w:type="dxa"/>
          </w:tcPr>
          <w:p w:rsidR="0047436C" w:rsidRPr="00010E55" w:rsidRDefault="0047436C" w:rsidP="00B46241">
            <w:pPr>
              <w:pStyle w:val="Bezodstpw"/>
              <w:jc w:val="center"/>
            </w:pPr>
            <w:r>
              <w:t xml:space="preserve">  6,7</w:t>
            </w:r>
          </w:p>
        </w:tc>
        <w:tc>
          <w:tcPr>
            <w:tcW w:w="2303" w:type="dxa"/>
          </w:tcPr>
          <w:p w:rsidR="0047436C" w:rsidRPr="001174F9" w:rsidRDefault="0047436C" w:rsidP="00B46241">
            <w:pPr>
              <w:jc w:val="center"/>
            </w:pPr>
            <w:r>
              <w:t xml:space="preserve">  </w:t>
            </w:r>
            <w:r w:rsidRPr="001174F9">
              <w:t>36,3</w:t>
            </w:r>
          </w:p>
        </w:tc>
      </w:tr>
      <w:tr w:rsidR="0047436C" w:rsidRPr="00010E55" w:rsidTr="00B46241">
        <w:tc>
          <w:tcPr>
            <w:tcW w:w="2303" w:type="dxa"/>
          </w:tcPr>
          <w:p w:rsidR="0047436C" w:rsidRPr="00010E55" w:rsidRDefault="0047436C" w:rsidP="00B46241">
            <w:pPr>
              <w:pStyle w:val="Bezodstpw"/>
              <w:jc w:val="center"/>
            </w:pPr>
            <w:r w:rsidRPr="00010E55">
              <w:t>2005</w:t>
            </w:r>
          </w:p>
        </w:tc>
        <w:tc>
          <w:tcPr>
            <w:tcW w:w="2303" w:type="dxa"/>
          </w:tcPr>
          <w:p w:rsidR="0047436C" w:rsidRPr="00010E55" w:rsidRDefault="0047436C" w:rsidP="00B46241">
            <w:pPr>
              <w:pStyle w:val="Bezodstpw"/>
              <w:jc w:val="center"/>
            </w:pPr>
            <w:r>
              <w:t>3,5</w:t>
            </w:r>
          </w:p>
        </w:tc>
        <w:tc>
          <w:tcPr>
            <w:tcW w:w="2303" w:type="dxa"/>
          </w:tcPr>
          <w:p w:rsidR="0047436C" w:rsidRPr="00010E55" w:rsidRDefault="0047436C" w:rsidP="00B46241">
            <w:pPr>
              <w:pStyle w:val="Bezodstpw"/>
              <w:jc w:val="center"/>
            </w:pPr>
            <w:r>
              <w:t xml:space="preserve">  8,7</w:t>
            </w:r>
          </w:p>
        </w:tc>
        <w:tc>
          <w:tcPr>
            <w:tcW w:w="2303" w:type="dxa"/>
          </w:tcPr>
          <w:p w:rsidR="0047436C" w:rsidRPr="001174F9" w:rsidRDefault="0047436C" w:rsidP="00B46241">
            <w:pPr>
              <w:jc w:val="center"/>
            </w:pPr>
            <w:r>
              <w:t xml:space="preserve">  </w:t>
            </w:r>
            <w:r w:rsidRPr="001174F9">
              <w:t>27,6</w:t>
            </w:r>
          </w:p>
        </w:tc>
      </w:tr>
      <w:tr w:rsidR="0047436C" w:rsidRPr="00010E55" w:rsidTr="00B46241">
        <w:tc>
          <w:tcPr>
            <w:tcW w:w="2303" w:type="dxa"/>
          </w:tcPr>
          <w:p w:rsidR="0047436C" w:rsidRPr="00010E55" w:rsidRDefault="0047436C" w:rsidP="00B46241">
            <w:pPr>
              <w:pStyle w:val="Bezodstpw"/>
              <w:jc w:val="center"/>
            </w:pPr>
            <w:r w:rsidRPr="00010E55">
              <w:t>2006</w:t>
            </w:r>
          </w:p>
        </w:tc>
        <w:tc>
          <w:tcPr>
            <w:tcW w:w="2303" w:type="dxa"/>
          </w:tcPr>
          <w:p w:rsidR="0047436C" w:rsidRPr="00010E55" w:rsidRDefault="0047436C" w:rsidP="00B46241">
            <w:pPr>
              <w:pStyle w:val="Bezodstpw"/>
              <w:jc w:val="center"/>
            </w:pPr>
            <w:r>
              <w:t>6,2</w:t>
            </w:r>
          </w:p>
        </w:tc>
        <w:tc>
          <w:tcPr>
            <w:tcW w:w="2303" w:type="dxa"/>
          </w:tcPr>
          <w:p w:rsidR="0047436C" w:rsidRPr="00010E55" w:rsidRDefault="0047436C" w:rsidP="00B46241">
            <w:pPr>
              <w:pStyle w:val="Bezodstpw"/>
              <w:jc w:val="center"/>
            </w:pPr>
            <w:r>
              <w:t>13,3</w:t>
            </w:r>
          </w:p>
        </w:tc>
        <w:tc>
          <w:tcPr>
            <w:tcW w:w="2303" w:type="dxa"/>
          </w:tcPr>
          <w:p w:rsidR="0047436C" w:rsidRPr="001174F9" w:rsidRDefault="0047436C" w:rsidP="00B46241">
            <w:pPr>
              <w:jc w:val="center"/>
            </w:pPr>
            <w:r>
              <w:t xml:space="preserve">  </w:t>
            </w:r>
            <w:r w:rsidRPr="001174F9">
              <w:t>69,1</w:t>
            </w:r>
          </w:p>
        </w:tc>
      </w:tr>
      <w:tr w:rsidR="0047436C" w:rsidRPr="00010E55" w:rsidTr="00B46241">
        <w:tc>
          <w:tcPr>
            <w:tcW w:w="2303" w:type="dxa"/>
          </w:tcPr>
          <w:p w:rsidR="0047436C" w:rsidRPr="00010E55" w:rsidRDefault="0047436C" w:rsidP="00B46241">
            <w:pPr>
              <w:pStyle w:val="Bezodstpw"/>
              <w:jc w:val="center"/>
            </w:pPr>
            <w:r w:rsidRPr="00010E55">
              <w:t>2007</w:t>
            </w:r>
          </w:p>
        </w:tc>
        <w:tc>
          <w:tcPr>
            <w:tcW w:w="2303" w:type="dxa"/>
          </w:tcPr>
          <w:p w:rsidR="0047436C" w:rsidRPr="00010E55" w:rsidRDefault="0047436C" w:rsidP="00B46241">
            <w:pPr>
              <w:pStyle w:val="Bezodstpw"/>
              <w:jc w:val="center"/>
            </w:pPr>
            <w:r>
              <w:t>7,2</w:t>
            </w:r>
          </w:p>
        </w:tc>
        <w:tc>
          <w:tcPr>
            <w:tcW w:w="2303" w:type="dxa"/>
          </w:tcPr>
          <w:p w:rsidR="0047436C" w:rsidRPr="00010E55" w:rsidRDefault="0047436C" w:rsidP="00B46241">
            <w:pPr>
              <w:pStyle w:val="Bezodstpw"/>
              <w:jc w:val="center"/>
            </w:pPr>
            <w:r w:rsidRPr="00010E55">
              <w:t>1</w:t>
            </w:r>
            <w:r>
              <w:t>9,2</w:t>
            </w:r>
          </w:p>
        </w:tc>
        <w:tc>
          <w:tcPr>
            <w:tcW w:w="2303" w:type="dxa"/>
          </w:tcPr>
          <w:p w:rsidR="0047436C" w:rsidRPr="001174F9" w:rsidRDefault="0047436C" w:rsidP="00B46241">
            <w:pPr>
              <w:jc w:val="center"/>
            </w:pPr>
            <w:r>
              <w:t xml:space="preserve">   </w:t>
            </w:r>
            <w:r w:rsidRPr="001174F9">
              <w:t>7,9</w:t>
            </w:r>
          </w:p>
        </w:tc>
      </w:tr>
      <w:tr w:rsidR="0047436C" w:rsidRPr="00010E55" w:rsidTr="00B46241">
        <w:tc>
          <w:tcPr>
            <w:tcW w:w="2303" w:type="dxa"/>
          </w:tcPr>
          <w:p w:rsidR="0047436C" w:rsidRPr="00215413" w:rsidRDefault="0047436C" w:rsidP="00B46241">
            <w:pPr>
              <w:pStyle w:val="Bezodstpw"/>
              <w:jc w:val="center"/>
              <w:rPr>
                <w:b/>
                <w:color w:val="FF0000"/>
              </w:rPr>
            </w:pPr>
            <w:r w:rsidRPr="00215413">
              <w:rPr>
                <w:b/>
                <w:color w:val="FF0000"/>
              </w:rPr>
              <w:t>2008</w:t>
            </w:r>
          </w:p>
        </w:tc>
        <w:tc>
          <w:tcPr>
            <w:tcW w:w="2303" w:type="dxa"/>
          </w:tcPr>
          <w:p w:rsidR="0047436C" w:rsidRPr="00010E55" w:rsidRDefault="0047436C" w:rsidP="00B46241">
            <w:pPr>
              <w:pStyle w:val="Bezodstpw"/>
              <w:jc w:val="center"/>
            </w:pPr>
            <w:r>
              <w:t>3,9</w:t>
            </w:r>
          </w:p>
        </w:tc>
        <w:tc>
          <w:tcPr>
            <w:tcW w:w="2303" w:type="dxa"/>
          </w:tcPr>
          <w:p w:rsidR="0047436C" w:rsidRPr="00010E55" w:rsidRDefault="0047436C" w:rsidP="00B46241">
            <w:pPr>
              <w:pStyle w:val="Bezodstpw"/>
              <w:jc w:val="center"/>
            </w:pPr>
            <w:r>
              <w:t xml:space="preserve">  8,3</w:t>
            </w:r>
          </w:p>
        </w:tc>
        <w:tc>
          <w:tcPr>
            <w:tcW w:w="2303" w:type="dxa"/>
          </w:tcPr>
          <w:p w:rsidR="0047436C" w:rsidRPr="001174F9" w:rsidRDefault="0047436C" w:rsidP="00B46241">
            <w:pPr>
              <w:jc w:val="center"/>
            </w:pPr>
            <w:r w:rsidRPr="001174F9">
              <w:t>-62,5</w:t>
            </w:r>
          </w:p>
        </w:tc>
      </w:tr>
      <w:tr w:rsidR="0047436C" w:rsidRPr="00010E55" w:rsidTr="00B46241">
        <w:tc>
          <w:tcPr>
            <w:tcW w:w="2303" w:type="dxa"/>
          </w:tcPr>
          <w:p w:rsidR="0047436C" w:rsidRPr="00215413" w:rsidRDefault="0047436C" w:rsidP="00B46241">
            <w:pPr>
              <w:pStyle w:val="Bezodstpw"/>
              <w:jc w:val="center"/>
              <w:rPr>
                <w:b/>
                <w:color w:val="FF0000"/>
              </w:rPr>
            </w:pPr>
            <w:r w:rsidRPr="00215413">
              <w:rPr>
                <w:b/>
                <w:color w:val="FF0000"/>
              </w:rPr>
              <w:t>2009</w:t>
            </w:r>
          </w:p>
        </w:tc>
        <w:tc>
          <w:tcPr>
            <w:tcW w:w="2303" w:type="dxa"/>
          </w:tcPr>
          <w:p w:rsidR="0047436C" w:rsidRPr="00010E55" w:rsidRDefault="0047436C" w:rsidP="00B46241">
            <w:pPr>
              <w:pStyle w:val="Bezodstpw"/>
              <w:jc w:val="center"/>
            </w:pPr>
            <w:r>
              <w:t>2,6</w:t>
            </w:r>
          </w:p>
        </w:tc>
        <w:tc>
          <w:tcPr>
            <w:tcW w:w="2303" w:type="dxa"/>
          </w:tcPr>
          <w:p w:rsidR="0047436C" w:rsidRPr="00010E55" w:rsidRDefault="0047436C" w:rsidP="00B46241">
            <w:pPr>
              <w:pStyle w:val="Bezodstpw"/>
              <w:jc w:val="center"/>
            </w:pPr>
            <w:r>
              <w:t>-1,9</w:t>
            </w:r>
          </w:p>
        </w:tc>
        <w:tc>
          <w:tcPr>
            <w:tcW w:w="2303" w:type="dxa"/>
          </w:tcPr>
          <w:p w:rsidR="0047436C" w:rsidRPr="001174F9" w:rsidRDefault="0047436C" w:rsidP="00B46241">
            <w:pPr>
              <w:jc w:val="center"/>
            </w:pPr>
            <w:r>
              <w:t xml:space="preserve">  </w:t>
            </w:r>
            <w:r w:rsidRPr="001174F9">
              <w:t>55,2</w:t>
            </w:r>
          </w:p>
        </w:tc>
      </w:tr>
      <w:tr w:rsidR="0047436C" w:rsidRPr="00010E55" w:rsidTr="00B46241">
        <w:tc>
          <w:tcPr>
            <w:tcW w:w="2303" w:type="dxa"/>
          </w:tcPr>
          <w:p w:rsidR="0047436C" w:rsidRPr="00010E55" w:rsidRDefault="0047436C" w:rsidP="00B46241">
            <w:pPr>
              <w:pStyle w:val="Bezodstpw"/>
              <w:jc w:val="center"/>
            </w:pPr>
            <w:r w:rsidRPr="00010E55">
              <w:t>2010</w:t>
            </w:r>
          </w:p>
        </w:tc>
        <w:tc>
          <w:tcPr>
            <w:tcW w:w="2303" w:type="dxa"/>
          </w:tcPr>
          <w:p w:rsidR="0047436C" w:rsidRPr="00010E55" w:rsidRDefault="0047436C" w:rsidP="00B46241">
            <w:pPr>
              <w:pStyle w:val="Bezodstpw"/>
              <w:jc w:val="center"/>
            </w:pPr>
            <w:r>
              <w:t>3,7</w:t>
            </w:r>
          </w:p>
        </w:tc>
        <w:tc>
          <w:tcPr>
            <w:tcW w:w="2303" w:type="dxa"/>
          </w:tcPr>
          <w:p w:rsidR="0047436C" w:rsidRPr="00010E55" w:rsidRDefault="0047436C" w:rsidP="00B46241">
            <w:pPr>
              <w:pStyle w:val="Bezodstpw"/>
              <w:jc w:val="center"/>
            </w:pPr>
            <w:r>
              <w:t>-0,2</w:t>
            </w:r>
          </w:p>
        </w:tc>
        <w:tc>
          <w:tcPr>
            <w:tcW w:w="2303" w:type="dxa"/>
          </w:tcPr>
          <w:p w:rsidR="0047436C" w:rsidRPr="001174F9" w:rsidRDefault="0047436C" w:rsidP="00B46241">
            <w:pPr>
              <w:jc w:val="center"/>
            </w:pPr>
            <w:r>
              <w:t xml:space="preserve">  </w:t>
            </w:r>
            <w:r w:rsidRPr="001174F9">
              <w:t>19,6</w:t>
            </w:r>
          </w:p>
        </w:tc>
      </w:tr>
      <w:tr w:rsidR="0047436C" w:rsidRPr="00010E55" w:rsidTr="00B46241">
        <w:tc>
          <w:tcPr>
            <w:tcW w:w="2303" w:type="dxa"/>
          </w:tcPr>
          <w:p w:rsidR="0047436C" w:rsidRPr="00010E55" w:rsidRDefault="0047436C" w:rsidP="00B46241">
            <w:pPr>
              <w:pStyle w:val="Bezodstpw"/>
              <w:jc w:val="center"/>
            </w:pPr>
            <w:r w:rsidRPr="00010E55">
              <w:t>2011</w:t>
            </w:r>
          </w:p>
        </w:tc>
        <w:tc>
          <w:tcPr>
            <w:tcW w:w="2303" w:type="dxa"/>
          </w:tcPr>
          <w:p w:rsidR="0047436C" w:rsidRPr="00010E55" w:rsidRDefault="0047436C" w:rsidP="00B46241">
            <w:pPr>
              <w:pStyle w:val="Bezodstpw"/>
              <w:jc w:val="center"/>
            </w:pPr>
            <w:r>
              <w:t>5,0</w:t>
            </w:r>
          </w:p>
        </w:tc>
        <w:tc>
          <w:tcPr>
            <w:tcW w:w="2303" w:type="dxa"/>
          </w:tcPr>
          <w:p w:rsidR="0047436C" w:rsidRPr="00010E55" w:rsidRDefault="0047436C" w:rsidP="00B46241">
            <w:pPr>
              <w:pStyle w:val="Bezodstpw"/>
              <w:jc w:val="center"/>
            </w:pPr>
            <w:r>
              <w:t xml:space="preserve">  8,8</w:t>
            </w:r>
          </w:p>
        </w:tc>
        <w:tc>
          <w:tcPr>
            <w:tcW w:w="2303" w:type="dxa"/>
          </w:tcPr>
          <w:p w:rsidR="0047436C" w:rsidRPr="001174F9" w:rsidRDefault="0047436C" w:rsidP="00B46241">
            <w:pPr>
              <w:jc w:val="center"/>
            </w:pPr>
            <w:r w:rsidRPr="001174F9">
              <w:t>-22,5</w:t>
            </w:r>
          </w:p>
        </w:tc>
      </w:tr>
      <w:tr w:rsidR="0047436C" w:rsidRPr="00010E55" w:rsidTr="00B46241">
        <w:tc>
          <w:tcPr>
            <w:tcW w:w="2303" w:type="dxa"/>
          </w:tcPr>
          <w:p w:rsidR="0047436C" w:rsidRPr="00215413" w:rsidRDefault="0047436C" w:rsidP="00B46241">
            <w:pPr>
              <w:pStyle w:val="Bezodstpw"/>
              <w:jc w:val="center"/>
              <w:rPr>
                <w:b/>
                <w:color w:val="FF0000"/>
              </w:rPr>
            </w:pPr>
            <w:r w:rsidRPr="00215413">
              <w:rPr>
                <w:b/>
                <w:color w:val="FF0000"/>
              </w:rPr>
              <w:t>2012</w:t>
            </w:r>
          </w:p>
        </w:tc>
        <w:tc>
          <w:tcPr>
            <w:tcW w:w="2303" w:type="dxa"/>
          </w:tcPr>
          <w:p w:rsidR="0047436C" w:rsidRPr="00010E55" w:rsidRDefault="0047436C" w:rsidP="00B46241">
            <w:pPr>
              <w:pStyle w:val="Bezodstpw"/>
              <w:jc w:val="center"/>
            </w:pPr>
            <w:r>
              <w:t>1,6</w:t>
            </w:r>
          </w:p>
        </w:tc>
        <w:tc>
          <w:tcPr>
            <w:tcW w:w="2303" w:type="dxa"/>
          </w:tcPr>
          <w:p w:rsidR="0047436C" w:rsidRPr="00010E55" w:rsidRDefault="0047436C" w:rsidP="00B46241">
            <w:pPr>
              <w:pStyle w:val="Bezodstpw"/>
              <w:jc w:val="center"/>
            </w:pPr>
            <w:r>
              <w:t>-1,8</w:t>
            </w:r>
          </w:p>
        </w:tc>
        <w:tc>
          <w:tcPr>
            <w:tcW w:w="2303" w:type="dxa"/>
          </w:tcPr>
          <w:p w:rsidR="0047436C" w:rsidRPr="001174F9" w:rsidRDefault="0047436C" w:rsidP="00B46241">
            <w:pPr>
              <w:jc w:val="center"/>
            </w:pPr>
            <w:r>
              <w:t xml:space="preserve">  </w:t>
            </w:r>
            <w:r w:rsidRPr="001174F9">
              <w:t>17,4</w:t>
            </w:r>
          </w:p>
        </w:tc>
      </w:tr>
      <w:tr w:rsidR="0047436C" w:rsidRPr="00010E55" w:rsidTr="00B46241">
        <w:tc>
          <w:tcPr>
            <w:tcW w:w="2303" w:type="dxa"/>
          </w:tcPr>
          <w:p w:rsidR="0047436C" w:rsidRPr="00010E55" w:rsidRDefault="0047436C" w:rsidP="00B46241">
            <w:pPr>
              <w:pStyle w:val="Bezodstpw"/>
              <w:jc w:val="center"/>
            </w:pPr>
            <w:r w:rsidRPr="00010E55">
              <w:t>2013</w:t>
            </w:r>
          </w:p>
        </w:tc>
        <w:tc>
          <w:tcPr>
            <w:tcW w:w="2303" w:type="dxa"/>
          </w:tcPr>
          <w:p w:rsidR="0047436C" w:rsidRPr="00010E55" w:rsidRDefault="0047436C" w:rsidP="00B46241">
            <w:pPr>
              <w:pStyle w:val="Bezodstpw"/>
              <w:jc w:val="center"/>
            </w:pPr>
            <w:r>
              <w:t>1,3</w:t>
            </w:r>
          </w:p>
        </w:tc>
        <w:tc>
          <w:tcPr>
            <w:tcW w:w="2303" w:type="dxa"/>
          </w:tcPr>
          <w:p w:rsidR="0047436C" w:rsidRPr="00010E55" w:rsidRDefault="0047436C" w:rsidP="00B46241">
            <w:pPr>
              <w:pStyle w:val="Bezodstpw"/>
              <w:jc w:val="center"/>
            </w:pPr>
            <w:r>
              <w:t>-1,1</w:t>
            </w:r>
          </w:p>
        </w:tc>
        <w:tc>
          <w:tcPr>
            <w:tcW w:w="2303" w:type="dxa"/>
          </w:tcPr>
          <w:p w:rsidR="0047436C" w:rsidRPr="001174F9" w:rsidRDefault="0047436C" w:rsidP="00B46241">
            <w:pPr>
              <w:jc w:val="center"/>
            </w:pPr>
            <w:r>
              <w:t xml:space="preserve">  </w:t>
            </w:r>
            <w:r w:rsidRPr="001174F9">
              <w:t>31,1</w:t>
            </w:r>
          </w:p>
        </w:tc>
      </w:tr>
      <w:tr w:rsidR="0047436C" w:rsidRPr="00010E55" w:rsidTr="00B46241">
        <w:tc>
          <w:tcPr>
            <w:tcW w:w="2303" w:type="dxa"/>
          </w:tcPr>
          <w:p w:rsidR="0047436C" w:rsidRPr="00010E55" w:rsidRDefault="0047436C" w:rsidP="00B46241">
            <w:pPr>
              <w:pStyle w:val="Bezodstpw"/>
              <w:jc w:val="center"/>
            </w:pPr>
            <w:r w:rsidRPr="00010E55">
              <w:t>2014</w:t>
            </w:r>
          </w:p>
        </w:tc>
        <w:tc>
          <w:tcPr>
            <w:tcW w:w="2303" w:type="dxa"/>
          </w:tcPr>
          <w:p w:rsidR="0047436C" w:rsidRPr="00010E55" w:rsidRDefault="0047436C" w:rsidP="00B46241">
            <w:pPr>
              <w:pStyle w:val="Bezodstpw"/>
              <w:jc w:val="center"/>
            </w:pPr>
            <w:r>
              <w:t>3,3</w:t>
            </w:r>
          </w:p>
        </w:tc>
        <w:tc>
          <w:tcPr>
            <w:tcW w:w="2303" w:type="dxa"/>
          </w:tcPr>
          <w:p w:rsidR="0047436C" w:rsidRPr="00010E55" w:rsidRDefault="0047436C" w:rsidP="00B46241">
            <w:pPr>
              <w:pStyle w:val="Bezodstpw"/>
              <w:jc w:val="center"/>
            </w:pPr>
            <w:r>
              <w:t>10,0</w:t>
            </w:r>
          </w:p>
        </w:tc>
        <w:tc>
          <w:tcPr>
            <w:tcW w:w="2303" w:type="dxa"/>
          </w:tcPr>
          <w:p w:rsidR="0047436C" w:rsidRPr="001174F9" w:rsidRDefault="0047436C" w:rsidP="00B46241">
            <w:pPr>
              <w:jc w:val="center"/>
            </w:pPr>
            <w:r>
              <w:t xml:space="preserve">    </w:t>
            </w:r>
            <w:r w:rsidRPr="001174F9">
              <w:t>4,1</w:t>
            </w:r>
          </w:p>
        </w:tc>
      </w:tr>
      <w:tr w:rsidR="0047436C" w:rsidTr="00B46241">
        <w:tc>
          <w:tcPr>
            <w:tcW w:w="2303" w:type="dxa"/>
          </w:tcPr>
          <w:p w:rsidR="0047436C" w:rsidRPr="00010E55" w:rsidRDefault="0047436C" w:rsidP="00B46241">
            <w:pPr>
              <w:pStyle w:val="Bezodstpw"/>
              <w:jc w:val="center"/>
            </w:pPr>
            <w:r w:rsidRPr="00010E55">
              <w:t>2015</w:t>
            </w:r>
          </w:p>
        </w:tc>
        <w:tc>
          <w:tcPr>
            <w:tcW w:w="2303" w:type="dxa"/>
          </w:tcPr>
          <w:p w:rsidR="0047436C" w:rsidRPr="00010E55" w:rsidRDefault="0047436C" w:rsidP="00B46241">
            <w:pPr>
              <w:pStyle w:val="Bezodstpw"/>
              <w:jc w:val="center"/>
            </w:pPr>
            <w:r>
              <w:t>3,9</w:t>
            </w:r>
          </w:p>
        </w:tc>
        <w:tc>
          <w:tcPr>
            <w:tcW w:w="2303" w:type="dxa"/>
          </w:tcPr>
          <w:p w:rsidR="0047436C" w:rsidRPr="00010E55" w:rsidRDefault="0047436C" w:rsidP="00B46241">
            <w:pPr>
              <w:pStyle w:val="Bezodstpw"/>
              <w:jc w:val="center"/>
            </w:pPr>
            <w:r>
              <w:t xml:space="preserve">  5,8</w:t>
            </w:r>
          </w:p>
        </w:tc>
        <w:tc>
          <w:tcPr>
            <w:tcW w:w="2303" w:type="dxa"/>
          </w:tcPr>
          <w:p w:rsidR="0047436C" w:rsidRDefault="0047436C" w:rsidP="00B46241">
            <w:pPr>
              <w:jc w:val="center"/>
            </w:pPr>
            <w:r>
              <w:t xml:space="preserve">    </w:t>
            </w:r>
            <w:r w:rsidRPr="001174F9">
              <w:t>2,4</w:t>
            </w:r>
          </w:p>
        </w:tc>
      </w:tr>
    </w:tbl>
    <w:p w:rsidR="0047436C" w:rsidRDefault="0047436C" w:rsidP="0047436C">
      <w:pPr>
        <w:pStyle w:val="Bezodstpw"/>
        <w:jc w:val="both"/>
        <w:rPr>
          <w:sz w:val="26"/>
          <w:szCs w:val="26"/>
        </w:rPr>
      </w:pPr>
    </w:p>
    <w:p w:rsidR="0047436C" w:rsidRDefault="0047436C" w:rsidP="0047436C">
      <w:pPr>
        <w:pStyle w:val="Bezodstpw"/>
        <w:jc w:val="both"/>
        <w:rPr>
          <w:sz w:val="26"/>
          <w:szCs w:val="26"/>
        </w:rPr>
      </w:pPr>
      <w:r>
        <w:rPr>
          <w:sz w:val="26"/>
          <w:szCs w:val="26"/>
        </w:rPr>
        <w:t>Popatrzmy na poniższą tabelę. W pierwszej rubryce zaprezentowano rok, w drugiej realną zmianą PKB</w:t>
      </w:r>
      <w:r w:rsidR="0073240A">
        <w:rPr>
          <w:sz w:val="26"/>
          <w:szCs w:val="26"/>
        </w:rPr>
        <w:t xml:space="preserve"> w %</w:t>
      </w:r>
      <w:r>
        <w:rPr>
          <w:sz w:val="26"/>
          <w:szCs w:val="26"/>
        </w:rPr>
        <w:t xml:space="preserve">, w trzeciej realną zmianą nakładów inwestycyjnych </w:t>
      </w:r>
      <w:r w:rsidR="0073240A">
        <w:rPr>
          <w:sz w:val="26"/>
          <w:szCs w:val="26"/>
        </w:rPr>
        <w:t xml:space="preserve">w % </w:t>
      </w:r>
      <w:r>
        <w:rPr>
          <w:sz w:val="26"/>
          <w:szCs w:val="26"/>
        </w:rPr>
        <w:t xml:space="preserve">a w czwartej zmianę indeksu sWIG80 w %. </w:t>
      </w:r>
    </w:p>
    <w:tbl>
      <w:tblPr>
        <w:tblStyle w:val="Tabela-Siatka"/>
        <w:tblW w:w="0" w:type="auto"/>
        <w:tblLook w:val="04A0" w:firstRow="1" w:lastRow="0" w:firstColumn="1" w:lastColumn="0" w:noHBand="0" w:noVBand="1"/>
      </w:tblPr>
      <w:tblGrid>
        <w:gridCol w:w="2303"/>
        <w:gridCol w:w="2303"/>
        <w:gridCol w:w="2303"/>
        <w:gridCol w:w="2303"/>
      </w:tblGrid>
      <w:tr w:rsidR="0047436C" w:rsidRPr="00010E55" w:rsidTr="00B46241">
        <w:tc>
          <w:tcPr>
            <w:tcW w:w="2303" w:type="dxa"/>
            <w:shd w:val="clear" w:color="auto" w:fill="000000" w:themeFill="text1"/>
          </w:tcPr>
          <w:p w:rsidR="0047436C" w:rsidRPr="00BC7FED" w:rsidRDefault="0047436C" w:rsidP="00B46241">
            <w:pPr>
              <w:pStyle w:val="Bezodstpw"/>
              <w:jc w:val="center"/>
              <w:rPr>
                <w:b/>
                <w:color w:val="FFFFFF" w:themeColor="background1"/>
              </w:rPr>
            </w:pPr>
            <w:r w:rsidRPr="00BC7FED">
              <w:rPr>
                <w:b/>
                <w:color w:val="FFFFFF" w:themeColor="background1"/>
              </w:rPr>
              <w:t>Rok</w:t>
            </w:r>
          </w:p>
        </w:tc>
        <w:tc>
          <w:tcPr>
            <w:tcW w:w="2303" w:type="dxa"/>
            <w:shd w:val="clear" w:color="auto" w:fill="000000" w:themeFill="text1"/>
          </w:tcPr>
          <w:p w:rsidR="0047436C" w:rsidRPr="00BC7FED" w:rsidRDefault="0047436C" w:rsidP="00B46241">
            <w:pPr>
              <w:pStyle w:val="Bezodstpw"/>
              <w:jc w:val="center"/>
              <w:rPr>
                <w:b/>
                <w:color w:val="FFFFFF" w:themeColor="background1"/>
              </w:rPr>
            </w:pPr>
            <w:r w:rsidRPr="00BC7FED">
              <w:rPr>
                <w:b/>
                <w:color w:val="FFFFFF" w:themeColor="background1"/>
              </w:rPr>
              <w:t>PKB</w:t>
            </w:r>
          </w:p>
        </w:tc>
        <w:tc>
          <w:tcPr>
            <w:tcW w:w="2303" w:type="dxa"/>
            <w:shd w:val="clear" w:color="auto" w:fill="000000" w:themeFill="text1"/>
          </w:tcPr>
          <w:p w:rsidR="0047436C" w:rsidRPr="00BC7FED" w:rsidRDefault="0047436C" w:rsidP="00B46241">
            <w:pPr>
              <w:pStyle w:val="Bezodstpw"/>
              <w:jc w:val="center"/>
              <w:rPr>
                <w:b/>
                <w:color w:val="FFFFFF" w:themeColor="background1"/>
              </w:rPr>
            </w:pPr>
            <w:r w:rsidRPr="00BC7FED">
              <w:rPr>
                <w:b/>
                <w:color w:val="FFFFFF" w:themeColor="background1"/>
              </w:rPr>
              <w:t>Nakłady inwestycyjne</w:t>
            </w:r>
          </w:p>
        </w:tc>
        <w:tc>
          <w:tcPr>
            <w:tcW w:w="2303" w:type="dxa"/>
            <w:shd w:val="clear" w:color="auto" w:fill="000000" w:themeFill="text1"/>
          </w:tcPr>
          <w:p w:rsidR="0047436C" w:rsidRPr="00BC7FED" w:rsidRDefault="0047436C" w:rsidP="00B46241">
            <w:pPr>
              <w:pStyle w:val="Bezodstpw"/>
              <w:jc w:val="center"/>
              <w:rPr>
                <w:b/>
                <w:color w:val="FFFFFF" w:themeColor="background1"/>
              </w:rPr>
            </w:pPr>
            <w:proofErr w:type="gramStart"/>
            <w:r>
              <w:rPr>
                <w:b/>
                <w:color w:val="FFFFFF" w:themeColor="background1"/>
              </w:rPr>
              <w:t>s</w:t>
            </w:r>
            <w:r w:rsidRPr="00BC7FED">
              <w:rPr>
                <w:b/>
                <w:color w:val="FFFFFF" w:themeColor="background1"/>
              </w:rPr>
              <w:t>WIG</w:t>
            </w:r>
            <w:proofErr w:type="gramEnd"/>
            <w:r>
              <w:rPr>
                <w:b/>
                <w:color w:val="FFFFFF" w:themeColor="background1"/>
              </w:rPr>
              <w:t>80</w:t>
            </w:r>
          </w:p>
        </w:tc>
      </w:tr>
      <w:tr w:rsidR="0047436C" w:rsidRPr="00010E55" w:rsidTr="00B46241">
        <w:tc>
          <w:tcPr>
            <w:tcW w:w="2303" w:type="dxa"/>
          </w:tcPr>
          <w:p w:rsidR="0047436C" w:rsidRPr="00010E55" w:rsidRDefault="0047436C" w:rsidP="00B46241">
            <w:pPr>
              <w:pStyle w:val="Bezodstpw"/>
              <w:jc w:val="center"/>
            </w:pPr>
            <w:r w:rsidRPr="00010E55">
              <w:t>2002</w:t>
            </w:r>
          </w:p>
        </w:tc>
        <w:tc>
          <w:tcPr>
            <w:tcW w:w="2303" w:type="dxa"/>
          </w:tcPr>
          <w:p w:rsidR="0047436C" w:rsidRPr="00010E55" w:rsidRDefault="0047436C" w:rsidP="00B46241">
            <w:pPr>
              <w:pStyle w:val="Bezodstpw"/>
              <w:jc w:val="center"/>
            </w:pPr>
            <w:r>
              <w:t>1,4</w:t>
            </w:r>
          </w:p>
        </w:tc>
        <w:tc>
          <w:tcPr>
            <w:tcW w:w="2303" w:type="dxa"/>
          </w:tcPr>
          <w:p w:rsidR="0047436C" w:rsidRPr="00010E55" w:rsidRDefault="0047436C" w:rsidP="00B46241">
            <w:pPr>
              <w:pStyle w:val="Bezodstpw"/>
              <w:jc w:val="center"/>
            </w:pPr>
            <w:r>
              <w:t>-6,9</w:t>
            </w:r>
          </w:p>
        </w:tc>
        <w:tc>
          <w:tcPr>
            <w:tcW w:w="2303" w:type="dxa"/>
          </w:tcPr>
          <w:p w:rsidR="0047436C" w:rsidRPr="00771BD5" w:rsidRDefault="0047436C" w:rsidP="00B46241">
            <w:pPr>
              <w:jc w:val="center"/>
            </w:pPr>
            <w:r w:rsidRPr="00771BD5">
              <w:t>-22,6</w:t>
            </w:r>
          </w:p>
        </w:tc>
      </w:tr>
      <w:tr w:rsidR="0047436C" w:rsidRPr="00010E55" w:rsidTr="00B46241">
        <w:tc>
          <w:tcPr>
            <w:tcW w:w="2303" w:type="dxa"/>
          </w:tcPr>
          <w:p w:rsidR="0047436C" w:rsidRPr="00010E55" w:rsidRDefault="0047436C" w:rsidP="00B46241">
            <w:pPr>
              <w:pStyle w:val="Bezodstpw"/>
              <w:jc w:val="center"/>
            </w:pPr>
            <w:r w:rsidRPr="00010E55">
              <w:t>2003</w:t>
            </w:r>
          </w:p>
        </w:tc>
        <w:tc>
          <w:tcPr>
            <w:tcW w:w="2303" w:type="dxa"/>
          </w:tcPr>
          <w:p w:rsidR="0047436C" w:rsidRPr="00010E55" w:rsidRDefault="0047436C" w:rsidP="00B46241">
            <w:pPr>
              <w:pStyle w:val="Bezodstpw"/>
              <w:jc w:val="center"/>
            </w:pPr>
            <w:r>
              <w:t>3,6</w:t>
            </w:r>
          </w:p>
        </w:tc>
        <w:tc>
          <w:tcPr>
            <w:tcW w:w="2303" w:type="dxa"/>
          </w:tcPr>
          <w:p w:rsidR="0047436C" w:rsidRPr="00010E55" w:rsidRDefault="0047436C" w:rsidP="00B46241">
            <w:pPr>
              <w:pStyle w:val="Bezodstpw"/>
              <w:jc w:val="center"/>
            </w:pPr>
            <w:r>
              <w:t xml:space="preserve">  1,2</w:t>
            </w:r>
          </w:p>
        </w:tc>
        <w:tc>
          <w:tcPr>
            <w:tcW w:w="2303" w:type="dxa"/>
          </w:tcPr>
          <w:p w:rsidR="0047436C" w:rsidRPr="00771BD5" w:rsidRDefault="0047436C" w:rsidP="00B46241">
            <w:pPr>
              <w:jc w:val="center"/>
            </w:pPr>
            <w:r w:rsidRPr="00771BD5">
              <w:t>100,7</w:t>
            </w:r>
          </w:p>
        </w:tc>
      </w:tr>
      <w:tr w:rsidR="0047436C" w:rsidRPr="00010E55" w:rsidTr="00B46241">
        <w:tc>
          <w:tcPr>
            <w:tcW w:w="2303" w:type="dxa"/>
          </w:tcPr>
          <w:p w:rsidR="0047436C" w:rsidRPr="00010E55" w:rsidRDefault="0047436C" w:rsidP="00B46241">
            <w:pPr>
              <w:pStyle w:val="Bezodstpw"/>
              <w:jc w:val="center"/>
            </w:pPr>
            <w:r w:rsidRPr="00010E55">
              <w:t>2004</w:t>
            </w:r>
          </w:p>
        </w:tc>
        <w:tc>
          <w:tcPr>
            <w:tcW w:w="2303" w:type="dxa"/>
          </w:tcPr>
          <w:p w:rsidR="0047436C" w:rsidRPr="00010E55" w:rsidRDefault="0047436C" w:rsidP="00B46241">
            <w:pPr>
              <w:pStyle w:val="Bezodstpw"/>
              <w:jc w:val="center"/>
            </w:pPr>
            <w:r>
              <w:t>5,1</w:t>
            </w:r>
          </w:p>
        </w:tc>
        <w:tc>
          <w:tcPr>
            <w:tcW w:w="2303" w:type="dxa"/>
          </w:tcPr>
          <w:p w:rsidR="0047436C" w:rsidRPr="00010E55" w:rsidRDefault="0047436C" w:rsidP="00B46241">
            <w:pPr>
              <w:pStyle w:val="Bezodstpw"/>
              <w:jc w:val="center"/>
            </w:pPr>
            <w:r>
              <w:t xml:space="preserve">  6,7</w:t>
            </w:r>
          </w:p>
        </w:tc>
        <w:tc>
          <w:tcPr>
            <w:tcW w:w="2303" w:type="dxa"/>
          </w:tcPr>
          <w:p w:rsidR="0047436C" w:rsidRPr="00771BD5" w:rsidRDefault="0047436C" w:rsidP="00B46241">
            <w:pPr>
              <w:jc w:val="center"/>
            </w:pPr>
            <w:r>
              <w:t xml:space="preserve">  </w:t>
            </w:r>
            <w:r w:rsidRPr="00771BD5">
              <w:t>72,9</w:t>
            </w:r>
          </w:p>
        </w:tc>
      </w:tr>
      <w:tr w:rsidR="0047436C" w:rsidRPr="00010E55" w:rsidTr="00B46241">
        <w:tc>
          <w:tcPr>
            <w:tcW w:w="2303" w:type="dxa"/>
          </w:tcPr>
          <w:p w:rsidR="0047436C" w:rsidRPr="00010E55" w:rsidRDefault="0047436C" w:rsidP="00B46241">
            <w:pPr>
              <w:pStyle w:val="Bezodstpw"/>
              <w:jc w:val="center"/>
            </w:pPr>
            <w:r w:rsidRPr="00010E55">
              <w:t>2005</w:t>
            </w:r>
          </w:p>
        </w:tc>
        <w:tc>
          <w:tcPr>
            <w:tcW w:w="2303" w:type="dxa"/>
          </w:tcPr>
          <w:p w:rsidR="0047436C" w:rsidRPr="00010E55" w:rsidRDefault="0047436C" w:rsidP="00B46241">
            <w:pPr>
              <w:pStyle w:val="Bezodstpw"/>
              <w:jc w:val="center"/>
            </w:pPr>
            <w:r>
              <w:t>3,5</w:t>
            </w:r>
          </w:p>
        </w:tc>
        <w:tc>
          <w:tcPr>
            <w:tcW w:w="2303" w:type="dxa"/>
          </w:tcPr>
          <w:p w:rsidR="0047436C" w:rsidRPr="00010E55" w:rsidRDefault="0047436C" w:rsidP="00B46241">
            <w:pPr>
              <w:pStyle w:val="Bezodstpw"/>
              <w:jc w:val="center"/>
            </w:pPr>
            <w:r>
              <w:t xml:space="preserve">  8,7</w:t>
            </w:r>
          </w:p>
        </w:tc>
        <w:tc>
          <w:tcPr>
            <w:tcW w:w="2303" w:type="dxa"/>
          </w:tcPr>
          <w:p w:rsidR="0047436C" w:rsidRPr="00771BD5" w:rsidRDefault="0047436C" w:rsidP="00B46241">
            <w:pPr>
              <w:jc w:val="center"/>
            </w:pPr>
            <w:r>
              <w:t xml:space="preserve">  </w:t>
            </w:r>
            <w:r w:rsidRPr="00771BD5">
              <w:t>15,5</w:t>
            </w:r>
          </w:p>
        </w:tc>
      </w:tr>
      <w:tr w:rsidR="0047436C" w:rsidRPr="00010E55" w:rsidTr="00B46241">
        <w:tc>
          <w:tcPr>
            <w:tcW w:w="2303" w:type="dxa"/>
          </w:tcPr>
          <w:p w:rsidR="0047436C" w:rsidRPr="00010E55" w:rsidRDefault="0047436C" w:rsidP="00B46241">
            <w:pPr>
              <w:pStyle w:val="Bezodstpw"/>
              <w:jc w:val="center"/>
            </w:pPr>
            <w:r w:rsidRPr="00010E55">
              <w:t>2006</w:t>
            </w:r>
          </w:p>
        </w:tc>
        <w:tc>
          <w:tcPr>
            <w:tcW w:w="2303" w:type="dxa"/>
          </w:tcPr>
          <w:p w:rsidR="0047436C" w:rsidRPr="00010E55" w:rsidRDefault="0047436C" w:rsidP="00B46241">
            <w:pPr>
              <w:pStyle w:val="Bezodstpw"/>
              <w:jc w:val="center"/>
            </w:pPr>
            <w:r>
              <w:t>6,2</w:t>
            </w:r>
          </w:p>
        </w:tc>
        <w:tc>
          <w:tcPr>
            <w:tcW w:w="2303" w:type="dxa"/>
          </w:tcPr>
          <w:p w:rsidR="0047436C" w:rsidRPr="00010E55" w:rsidRDefault="0047436C" w:rsidP="00B46241">
            <w:pPr>
              <w:pStyle w:val="Bezodstpw"/>
              <w:jc w:val="center"/>
            </w:pPr>
            <w:r>
              <w:t>13,3</w:t>
            </w:r>
          </w:p>
        </w:tc>
        <w:tc>
          <w:tcPr>
            <w:tcW w:w="2303" w:type="dxa"/>
          </w:tcPr>
          <w:p w:rsidR="0047436C" w:rsidRPr="00771BD5" w:rsidRDefault="0047436C" w:rsidP="00B46241">
            <w:pPr>
              <w:jc w:val="center"/>
            </w:pPr>
            <w:r w:rsidRPr="00771BD5">
              <w:t>132,4</w:t>
            </w:r>
          </w:p>
        </w:tc>
      </w:tr>
      <w:tr w:rsidR="0047436C" w:rsidRPr="00010E55" w:rsidTr="00B46241">
        <w:tc>
          <w:tcPr>
            <w:tcW w:w="2303" w:type="dxa"/>
          </w:tcPr>
          <w:p w:rsidR="0047436C" w:rsidRPr="00010E55" w:rsidRDefault="0047436C" w:rsidP="00B46241">
            <w:pPr>
              <w:pStyle w:val="Bezodstpw"/>
              <w:jc w:val="center"/>
            </w:pPr>
            <w:r w:rsidRPr="00010E55">
              <w:t>2007</w:t>
            </w:r>
          </w:p>
        </w:tc>
        <w:tc>
          <w:tcPr>
            <w:tcW w:w="2303" w:type="dxa"/>
          </w:tcPr>
          <w:p w:rsidR="0047436C" w:rsidRPr="00010E55" w:rsidRDefault="0047436C" w:rsidP="00B46241">
            <w:pPr>
              <w:pStyle w:val="Bezodstpw"/>
              <w:jc w:val="center"/>
            </w:pPr>
            <w:r>
              <w:t>7,2</w:t>
            </w:r>
          </w:p>
        </w:tc>
        <w:tc>
          <w:tcPr>
            <w:tcW w:w="2303" w:type="dxa"/>
          </w:tcPr>
          <w:p w:rsidR="0047436C" w:rsidRPr="00010E55" w:rsidRDefault="0047436C" w:rsidP="00B46241">
            <w:pPr>
              <w:pStyle w:val="Bezodstpw"/>
              <w:jc w:val="center"/>
            </w:pPr>
            <w:r w:rsidRPr="00010E55">
              <w:t>1</w:t>
            </w:r>
            <w:r>
              <w:t>9,2</w:t>
            </w:r>
          </w:p>
        </w:tc>
        <w:tc>
          <w:tcPr>
            <w:tcW w:w="2303" w:type="dxa"/>
          </w:tcPr>
          <w:p w:rsidR="0047436C" w:rsidRPr="00771BD5" w:rsidRDefault="0047436C" w:rsidP="00B46241">
            <w:pPr>
              <w:jc w:val="center"/>
            </w:pPr>
            <w:r>
              <w:t xml:space="preserve">  </w:t>
            </w:r>
            <w:r w:rsidRPr="00771BD5">
              <w:t>25,2</w:t>
            </w:r>
          </w:p>
        </w:tc>
      </w:tr>
      <w:tr w:rsidR="0047436C" w:rsidRPr="00010E55" w:rsidTr="00B46241">
        <w:tc>
          <w:tcPr>
            <w:tcW w:w="2303" w:type="dxa"/>
          </w:tcPr>
          <w:p w:rsidR="0047436C" w:rsidRPr="00215413" w:rsidRDefault="0047436C" w:rsidP="00B46241">
            <w:pPr>
              <w:pStyle w:val="Bezodstpw"/>
              <w:jc w:val="center"/>
              <w:rPr>
                <w:b/>
                <w:color w:val="FF0000"/>
              </w:rPr>
            </w:pPr>
            <w:r w:rsidRPr="00215413">
              <w:rPr>
                <w:b/>
                <w:color w:val="FF0000"/>
              </w:rPr>
              <w:t>2008</w:t>
            </w:r>
          </w:p>
        </w:tc>
        <w:tc>
          <w:tcPr>
            <w:tcW w:w="2303" w:type="dxa"/>
          </w:tcPr>
          <w:p w:rsidR="0047436C" w:rsidRPr="00010E55" w:rsidRDefault="0047436C" w:rsidP="00B46241">
            <w:pPr>
              <w:pStyle w:val="Bezodstpw"/>
              <w:jc w:val="center"/>
            </w:pPr>
            <w:r>
              <w:t>3,9</w:t>
            </w:r>
          </w:p>
        </w:tc>
        <w:tc>
          <w:tcPr>
            <w:tcW w:w="2303" w:type="dxa"/>
          </w:tcPr>
          <w:p w:rsidR="0047436C" w:rsidRPr="00010E55" w:rsidRDefault="0047436C" w:rsidP="00B46241">
            <w:pPr>
              <w:pStyle w:val="Bezodstpw"/>
              <w:jc w:val="center"/>
            </w:pPr>
            <w:r>
              <w:t xml:space="preserve">  8,3</w:t>
            </w:r>
          </w:p>
        </w:tc>
        <w:tc>
          <w:tcPr>
            <w:tcW w:w="2303" w:type="dxa"/>
          </w:tcPr>
          <w:p w:rsidR="0047436C" w:rsidRPr="00771BD5" w:rsidRDefault="0047436C" w:rsidP="00B46241">
            <w:pPr>
              <w:jc w:val="center"/>
            </w:pPr>
            <w:r w:rsidRPr="00771BD5">
              <w:t>-56,9</w:t>
            </w:r>
          </w:p>
        </w:tc>
      </w:tr>
      <w:tr w:rsidR="0047436C" w:rsidRPr="00010E55" w:rsidTr="00B46241">
        <w:tc>
          <w:tcPr>
            <w:tcW w:w="2303" w:type="dxa"/>
          </w:tcPr>
          <w:p w:rsidR="0047436C" w:rsidRPr="00215413" w:rsidRDefault="0047436C" w:rsidP="00B46241">
            <w:pPr>
              <w:pStyle w:val="Bezodstpw"/>
              <w:jc w:val="center"/>
              <w:rPr>
                <w:b/>
                <w:color w:val="FF0000"/>
              </w:rPr>
            </w:pPr>
            <w:r w:rsidRPr="00215413">
              <w:rPr>
                <w:b/>
                <w:color w:val="FF0000"/>
              </w:rPr>
              <w:t>2009</w:t>
            </w:r>
          </w:p>
        </w:tc>
        <w:tc>
          <w:tcPr>
            <w:tcW w:w="2303" w:type="dxa"/>
          </w:tcPr>
          <w:p w:rsidR="0047436C" w:rsidRPr="00010E55" w:rsidRDefault="0047436C" w:rsidP="00B46241">
            <w:pPr>
              <w:pStyle w:val="Bezodstpw"/>
              <w:jc w:val="center"/>
            </w:pPr>
            <w:r>
              <w:t>2,6</w:t>
            </w:r>
          </w:p>
        </w:tc>
        <w:tc>
          <w:tcPr>
            <w:tcW w:w="2303" w:type="dxa"/>
          </w:tcPr>
          <w:p w:rsidR="0047436C" w:rsidRPr="00010E55" w:rsidRDefault="0047436C" w:rsidP="00B46241">
            <w:pPr>
              <w:pStyle w:val="Bezodstpw"/>
              <w:jc w:val="center"/>
            </w:pPr>
            <w:r>
              <w:t>-1,9</w:t>
            </w:r>
          </w:p>
        </w:tc>
        <w:tc>
          <w:tcPr>
            <w:tcW w:w="2303" w:type="dxa"/>
          </w:tcPr>
          <w:p w:rsidR="0047436C" w:rsidRPr="00771BD5" w:rsidRDefault="0047436C" w:rsidP="00B46241">
            <w:pPr>
              <w:jc w:val="center"/>
            </w:pPr>
            <w:r>
              <w:t xml:space="preserve">  </w:t>
            </w:r>
            <w:r w:rsidRPr="00771BD5">
              <w:t>61,8</w:t>
            </w:r>
          </w:p>
        </w:tc>
      </w:tr>
      <w:tr w:rsidR="0047436C" w:rsidRPr="00010E55" w:rsidTr="00B46241">
        <w:tc>
          <w:tcPr>
            <w:tcW w:w="2303" w:type="dxa"/>
          </w:tcPr>
          <w:p w:rsidR="0047436C" w:rsidRPr="00010E55" w:rsidRDefault="0047436C" w:rsidP="00B46241">
            <w:pPr>
              <w:pStyle w:val="Bezodstpw"/>
              <w:jc w:val="center"/>
            </w:pPr>
            <w:r w:rsidRPr="00010E55">
              <w:t>2010</w:t>
            </w:r>
          </w:p>
        </w:tc>
        <w:tc>
          <w:tcPr>
            <w:tcW w:w="2303" w:type="dxa"/>
          </w:tcPr>
          <w:p w:rsidR="0047436C" w:rsidRPr="00010E55" w:rsidRDefault="0047436C" w:rsidP="00B46241">
            <w:pPr>
              <w:pStyle w:val="Bezodstpw"/>
              <w:jc w:val="center"/>
            </w:pPr>
            <w:r>
              <w:t>3,7</w:t>
            </w:r>
          </w:p>
        </w:tc>
        <w:tc>
          <w:tcPr>
            <w:tcW w:w="2303" w:type="dxa"/>
          </w:tcPr>
          <w:p w:rsidR="0047436C" w:rsidRPr="00010E55" w:rsidRDefault="0047436C" w:rsidP="00B46241">
            <w:pPr>
              <w:pStyle w:val="Bezodstpw"/>
              <w:jc w:val="center"/>
            </w:pPr>
            <w:r>
              <w:t>-0,2</w:t>
            </w:r>
          </w:p>
        </w:tc>
        <w:tc>
          <w:tcPr>
            <w:tcW w:w="2303" w:type="dxa"/>
          </w:tcPr>
          <w:p w:rsidR="0047436C" w:rsidRPr="00771BD5" w:rsidRDefault="0047436C" w:rsidP="00B46241">
            <w:pPr>
              <w:jc w:val="center"/>
            </w:pPr>
            <w:r>
              <w:t xml:space="preserve">  </w:t>
            </w:r>
            <w:r w:rsidRPr="00771BD5">
              <w:t>10,2</w:t>
            </w:r>
          </w:p>
        </w:tc>
      </w:tr>
      <w:tr w:rsidR="0047436C" w:rsidRPr="00010E55" w:rsidTr="00B46241">
        <w:tc>
          <w:tcPr>
            <w:tcW w:w="2303" w:type="dxa"/>
          </w:tcPr>
          <w:p w:rsidR="0047436C" w:rsidRPr="00010E55" w:rsidRDefault="0047436C" w:rsidP="00B46241">
            <w:pPr>
              <w:pStyle w:val="Bezodstpw"/>
              <w:jc w:val="center"/>
            </w:pPr>
            <w:r w:rsidRPr="00010E55">
              <w:t>2011</w:t>
            </w:r>
          </w:p>
        </w:tc>
        <w:tc>
          <w:tcPr>
            <w:tcW w:w="2303" w:type="dxa"/>
          </w:tcPr>
          <w:p w:rsidR="0047436C" w:rsidRPr="00010E55" w:rsidRDefault="0047436C" w:rsidP="00B46241">
            <w:pPr>
              <w:pStyle w:val="Bezodstpw"/>
              <w:jc w:val="center"/>
            </w:pPr>
            <w:r>
              <w:t>5,0</w:t>
            </w:r>
          </w:p>
        </w:tc>
        <w:tc>
          <w:tcPr>
            <w:tcW w:w="2303" w:type="dxa"/>
          </w:tcPr>
          <w:p w:rsidR="0047436C" w:rsidRPr="00010E55" w:rsidRDefault="0047436C" w:rsidP="00B46241">
            <w:pPr>
              <w:pStyle w:val="Bezodstpw"/>
              <w:jc w:val="center"/>
            </w:pPr>
            <w:r>
              <w:t xml:space="preserve">  8,8</w:t>
            </w:r>
          </w:p>
        </w:tc>
        <w:tc>
          <w:tcPr>
            <w:tcW w:w="2303" w:type="dxa"/>
          </w:tcPr>
          <w:p w:rsidR="0047436C" w:rsidRPr="00771BD5" w:rsidRDefault="0047436C" w:rsidP="00B46241">
            <w:pPr>
              <w:jc w:val="center"/>
            </w:pPr>
            <w:r w:rsidRPr="00771BD5">
              <w:t>-30,5</w:t>
            </w:r>
          </w:p>
        </w:tc>
      </w:tr>
      <w:tr w:rsidR="0047436C" w:rsidRPr="00010E55" w:rsidTr="00B46241">
        <w:tc>
          <w:tcPr>
            <w:tcW w:w="2303" w:type="dxa"/>
          </w:tcPr>
          <w:p w:rsidR="0047436C" w:rsidRPr="00215413" w:rsidRDefault="0047436C" w:rsidP="00B46241">
            <w:pPr>
              <w:pStyle w:val="Bezodstpw"/>
              <w:jc w:val="center"/>
              <w:rPr>
                <w:b/>
                <w:color w:val="FF0000"/>
              </w:rPr>
            </w:pPr>
            <w:r w:rsidRPr="00215413">
              <w:rPr>
                <w:b/>
                <w:color w:val="FF0000"/>
              </w:rPr>
              <w:t>2012</w:t>
            </w:r>
          </w:p>
        </w:tc>
        <w:tc>
          <w:tcPr>
            <w:tcW w:w="2303" w:type="dxa"/>
          </w:tcPr>
          <w:p w:rsidR="0047436C" w:rsidRPr="00010E55" w:rsidRDefault="0047436C" w:rsidP="00B46241">
            <w:pPr>
              <w:pStyle w:val="Bezodstpw"/>
              <w:jc w:val="center"/>
            </w:pPr>
            <w:r>
              <w:t>1,6</w:t>
            </w:r>
          </w:p>
        </w:tc>
        <w:tc>
          <w:tcPr>
            <w:tcW w:w="2303" w:type="dxa"/>
          </w:tcPr>
          <w:p w:rsidR="0047436C" w:rsidRPr="00010E55" w:rsidRDefault="0047436C" w:rsidP="00B46241">
            <w:pPr>
              <w:pStyle w:val="Bezodstpw"/>
              <w:jc w:val="center"/>
            </w:pPr>
            <w:r>
              <w:t>-1,8</w:t>
            </w:r>
          </w:p>
        </w:tc>
        <w:tc>
          <w:tcPr>
            <w:tcW w:w="2303" w:type="dxa"/>
          </w:tcPr>
          <w:p w:rsidR="0047436C" w:rsidRPr="00771BD5" w:rsidRDefault="0047436C" w:rsidP="00B46241">
            <w:pPr>
              <w:jc w:val="center"/>
            </w:pPr>
            <w:r>
              <w:t xml:space="preserve">  </w:t>
            </w:r>
            <w:r w:rsidRPr="00771BD5">
              <w:t>22,9</w:t>
            </w:r>
          </w:p>
        </w:tc>
      </w:tr>
      <w:tr w:rsidR="0047436C" w:rsidRPr="00010E55" w:rsidTr="00B46241">
        <w:tc>
          <w:tcPr>
            <w:tcW w:w="2303" w:type="dxa"/>
          </w:tcPr>
          <w:p w:rsidR="0047436C" w:rsidRPr="00010E55" w:rsidRDefault="0047436C" w:rsidP="00B46241">
            <w:pPr>
              <w:pStyle w:val="Bezodstpw"/>
              <w:jc w:val="center"/>
            </w:pPr>
            <w:r w:rsidRPr="00010E55">
              <w:t>2013</w:t>
            </w:r>
          </w:p>
        </w:tc>
        <w:tc>
          <w:tcPr>
            <w:tcW w:w="2303" w:type="dxa"/>
          </w:tcPr>
          <w:p w:rsidR="0047436C" w:rsidRPr="00010E55" w:rsidRDefault="0047436C" w:rsidP="00B46241">
            <w:pPr>
              <w:pStyle w:val="Bezodstpw"/>
              <w:jc w:val="center"/>
            </w:pPr>
            <w:r>
              <w:t>1,3</w:t>
            </w:r>
          </w:p>
        </w:tc>
        <w:tc>
          <w:tcPr>
            <w:tcW w:w="2303" w:type="dxa"/>
          </w:tcPr>
          <w:p w:rsidR="0047436C" w:rsidRPr="00010E55" w:rsidRDefault="0047436C" w:rsidP="00B46241">
            <w:pPr>
              <w:pStyle w:val="Bezodstpw"/>
              <w:jc w:val="center"/>
            </w:pPr>
            <w:r>
              <w:t>-1,1</w:t>
            </w:r>
          </w:p>
        </w:tc>
        <w:tc>
          <w:tcPr>
            <w:tcW w:w="2303" w:type="dxa"/>
          </w:tcPr>
          <w:p w:rsidR="0047436C" w:rsidRPr="00771BD5" w:rsidRDefault="0047436C" w:rsidP="00B46241">
            <w:pPr>
              <w:jc w:val="center"/>
            </w:pPr>
            <w:r>
              <w:t xml:space="preserve">  </w:t>
            </w:r>
            <w:r w:rsidRPr="00771BD5">
              <w:t>37,3</w:t>
            </w:r>
          </w:p>
        </w:tc>
      </w:tr>
      <w:tr w:rsidR="0047436C" w:rsidRPr="00010E55" w:rsidTr="00B46241">
        <w:tc>
          <w:tcPr>
            <w:tcW w:w="2303" w:type="dxa"/>
          </w:tcPr>
          <w:p w:rsidR="0047436C" w:rsidRPr="00010E55" w:rsidRDefault="0047436C" w:rsidP="00B46241">
            <w:pPr>
              <w:pStyle w:val="Bezodstpw"/>
              <w:jc w:val="center"/>
            </w:pPr>
            <w:r w:rsidRPr="00010E55">
              <w:t>2014</w:t>
            </w:r>
          </w:p>
        </w:tc>
        <w:tc>
          <w:tcPr>
            <w:tcW w:w="2303" w:type="dxa"/>
          </w:tcPr>
          <w:p w:rsidR="0047436C" w:rsidRPr="00010E55" w:rsidRDefault="0047436C" w:rsidP="00B46241">
            <w:pPr>
              <w:pStyle w:val="Bezodstpw"/>
              <w:jc w:val="center"/>
            </w:pPr>
            <w:r>
              <w:t>3,3</w:t>
            </w:r>
          </w:p>
        </w:tc>
        <w:tc>
          <w:tcPr>
            <w:tcW w:w="2303" w:type="dxa"/>
          </w:tcPr>
          <w:p w:rsidR="0047436C" w:rsidRPr="00010E55" w:rsidRDefault="0047436C" w:rsidP="00B46241">
            <w:pPr>
              <w:pStyle w:val="Bezodstpw"/>
              <w:jc w:val="center"/>
            </w:pPr>
            <w:r>
              <w:t>10,0</w:t>
            </w:r>
          </w:p>
        </w:tc>
        <w:tc>
          <w:tcPr>
            <w:tcW w:w="2303" w:type="dxa"/>
          </w:tcPr>
          <w:p w:rsidR="0047436C" w:rsidRPr="00771BD5" w:rsidRDefault="0047436C" w:rsidP="00B46241">
            <w:pPr>
              <w:jc w:val="center"/>
            </w:pPr>
            <w:r w:rsidRPr="00771BD5">
              <w:t>-15,5</w:t>
            </w:r>
          </w:p>
        </w:tc>
      </w:tr>
      <w:tr w:rsidR="0047436C" w:rsidTr="00B46241">
        <w:tc>
          <w:tcPr>
            <w:tcW w:w="2303" w:type="dxa"/>
          </w:tcPr>
          <w:p w:rsidR="0047436C" w:rsidRPr="00010E55" w:rsidRDefault="0047436C" w:rsidP="00B46241">
            <w:pPr>
              <w:pStyle w:val="Bezodstpw"/>
              <w:jc w:val="center"/>
            </w:pPr>
            <w:r w:rsidRPr="00010E55">
              <w:t>2015</w:t>
            </w:r>
          </w:p>
        </w:tc>
        <w:tc>
          <w:tcPr>
            <w:tcW w:w="2303" w:type="dxa"/>
          </w:tcPr>
          <w:p w:rsidR="0047436C" w:rsidRPr="00010E55" w:rsidRDefault="0047436C" w:rsidP="00B46241">
            <w:pPr>
              <w:pStyle w:val="Bezodstpw"/>
              <w:jc w:val="center"/>
            </w:pPr>
            <w:r>
              <w:t>3,9</w:t>
            </w:r>
          </w:p>
        </w:tc>
        <w:tc>
          <w:tcPr>
            <w:tcW w:w="2303" w:type="dxa"/>
          </w:tcPr>
          <w:p w:rsidR="0047436C" w:rsidRPr="00010E55" w:rsidRDefault="0047436C" w:rsidP="00B46241">
            <w:pPr>
              <w:pStyle w:val="Bezodstpw"/>
              <w:jc w:val="center"/>
            </w:pPr>
            <w:r>
              <w:t xml:space="preserve">  5,8</w:t>
            </w:r>
          </w:p>
        </w:tc>
        <w:tc>
          <w:tcPr>
            <w:tcW w:w="2303" w:type="dxa"/>
          </w:tcPr>
          <w:p w:rsidR="0047436C" w:rsidRDefault="0047436C" w:rsidP="00B46241">
            <w:pPr>
              <w:jc w:val="center"/>
            </w:pPr>
            <w:r>
              <w:t xml:space="preserve">   </w:t>
            </w:r>
            <w:r w:rsidRPr="00771BD5">
              <w:t>9,1</w:t>
            </w:r>
          </w:p>
        </w:tc>
      </w:tr>
    </w:tbl>
    <w:p w:rsidR="0047436C" w:rsidRDefault="0047436C" w:rsidP="0047436C">
      <w:pPr>
        <w:pStyle w:val="Bezodstpw"/>
        <w:jc w:val="both"/>
        <w:rPr>
          <w:sz w:val="26"/>
          <w:szCs w:val="26"/>
        </w:rPr>
      </w:pPr>
    </w:p>
    <w:p w:rsidR="0047436C" w:rsidRDefault="0047436C" w:rsidP="0047436C">
      <w:pPr>
        <w:pStyle w:val="Bezodstpw"/>
        <w:jc w:val="both"/>
        <w:rPr>
          <w:sz w:val="26"/>
          <w:szCs w:val="26"/>
        </w:rPr>
      </w:pPr>
      <w:r>
        <w:rPr>
          <w:sz w:val="26"/>
          <w:szCs w:val="26"/>
        </w:rPr>
        <w:t xml:space="preserve">Jakie było zachowanie indeksu mWIG40 w roku następnym następującym bezpośrednio po roku </w:t>
      </w:r>
      <w:proofErr w:type="gramStart"/>
      <w:r>
        <w:rPr>
          <w:sz w:val="26"/>
          <w:szCs w:val="26"/>
        </w:rPr>
        <w:t>,,</w:t>
      </w:r>
      <w:proofErr w:type="gramEnd"/>
      <w:r>
        <w:rPr>
          <w:sz w:val="26"/>
          <w:szCs w:val="26"/>
        </w:rPr>
        <w:t xml:space="preserve">podwójnego” ochłodzenia gospodarczego </w:t>
      </w:r>
      <w:r w:rsidRPr="001F1EA6">
        <w:rPr>
          <w:color w:val="000000" w:themeColor="text1"/>
          <w:sz w:val="26"/>
          <w:szCs w:val="26"/>
        </w:rPr>
        <w:t>?.</w:t>
      </w:r>
      <w:r w:rsidRPr="00AC16B8">
        <w:rPr>
          <w:b/>
          <w:color w:val="FF0000"/>
          <w:sz w:val="26"/>
          <w:szCs w:val="26"/>
        </w:rPr>
        <w:t xml:space="preserve"> </w:t>
      </w:r>
      <w:r w:rsidRPr="001F1EA6">
        <w:rPr>
          <w:b/>
          <w:color w:val="FFFFFF" w:themeColor="background1"/>
          <w:sz w:val="26"/>
          <w:szCs w:val="26"/>
          <w:bdr w:val="single" w:sz="4" w:space="0" w:color="auto"/>
          <w:shd w:val="clear" w:color="auto" w:fill="FF0000"/>
        </w:rPr>
        <w:t xml:space="preserve">Średnio w roku następującym bezpośrednio po roku </w:t>
      </w:r>
      <w:proofErr w:type="gramStart"/>
      <w:r w:rsidRPr="001F1EA6">
        <w:rPr>
          <w:b/>
          <w:color w:val="FFFFFF" w:themeColor="background1"/>
          <w:sz w:val="26"/>
          <w:szCs w:val="26"/>
          <w:bdr w:val="single" w:sz="4" w:space="0" w:color="auto"/>
          <w:shd w:val="clear" w:color="auto" w:fill="FF0000"/>
        </w:rPr>
        <w:t>,,</w:t>
      </w:r>
      <w:proofErr w:type="gramEnd"/>
      <w:r w:rsidRPr="001F1EA6">
        <w:rPr>
          <w:b/>
          <w:color w:val="FFFFFF" w:themeColor="background1"/>
          <w:sz w:val="26"/>
          <w:szCs w:val="26"/>
          <w:bdr w:val="single" w:sz="4" w:space="0" w:color="auto"/>
          <w:shd w:val="clear" w:color="auto" w:fill="FF0000"/>
        </w:rPr>
        <w:t>podwójnego” ochłodzenia gospodarczego indeks WIG20 rósł o 35,3 % a sWIG80 zwyżkował o 36,4 %.</w:t>
      </w:r>
      <w:r w:rsidRPr="001F1EA6">
        <w:rPr>
          <w:color w:val="FFFFFF" w:themeColor="background1"/>
          <w:sz w:val="26"/>
          <w:szCs w:val="26"/>
        </w:rPr>
        <w:t xml:space="preserve"> </w:t>
      </w:r>
      <w:r>
        <w:rPr>
          <w:sz w:val="26"/>
          <w:szCs w:val="26"/>
        </w:rPr>
        <w:t xml:space="preserve">Wynika z tego, że w roku następującym bezpośrednio po roku </w:t>
      </w:r>
      <w:proofErr w:type="gramStart"/>
      <w:r>
        <w:rPr>
          <w:sz w:val="26"/>
          <w:szCs w:val="26"/>
        </w:rPr>
        <w:t>,,</w:t>
      </w:r>
      <w:proofErr w:type="gramEnd"/>
      <w:r>
        <w:rPr>
          <w:sz w:val="26"/>
          <w:szCs w:val="26"/>
        </w:rPr>
        <w:t>podwójnego" ochłodzenia gospodarczego mieliśmy do czynienia z bardzo silną hossą małych i średnich spółek.</w:t>
      </w:r>
    </w:p>
    <w:p w:rsidR="0047436C" w:rsidRPr="0047436C" w:rsidRDefault="0047436C" w:rsidP="0047436C">
      <w:pPr>
        <w:shd w:val="clear" w:color="auto" w:fill="FFFF00"/>
      </w:pPr>
      <w:r w:rsidRPr="0047436C">
        <w:rPr>
          <w:noProof/>
          <w:lang w:eastAsia="pl-PL"/>
        </w:rPr>
        <w:lastRenderedPageBreak/>
        <w:drawing>
          <wp:inline distT="0" distB="0" distL="0" distR="0" wp14:anchorId="184C1D36" wp14:editId="3B096926">
            <wp:extent cx="923925" cy="1318133"/>
            <wp:effectExtent l="0" t="0" r="0" b="0"/>
            <wp:docPr id="4" name="Obraz 4" descr="http://mistrzowierynkow.pl/wp-content/uploads/2015/07/slawomir-klusek-e1436975188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strzowierynkow.pl/wp-content/uploads/2015/07/slawomir-klusek-e143697518875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6945" cy="1322442"/>
                    </a:xfrm>
                    <a:prstGeom prst="rect">
                      <a:avLst/>
                    </a:prstGeom>
                    <a:noFill/>
                    <a:ln>
                      <a:noFill/>
                    </a:ln>
                  </pic:spPr>
                </pic:pic>
              </a:graphicData>
            </a:graphic>
          </wp:inline>
        </w:drawing>
      </w:r>
    </w:p>
    <w:p w:rsidR="0047436C" w:rsidRPr="0047436C" w:rsidRDefault="0047436C" w:rsidP="0047436C">
      <w:pPr>
        <w:shd w:val="clear" w:color="auto" w:fill="FFFF00"/>
      </w:pPr>
    </w:p>
    <w:p w:rsidR="0047436C" w:rsidRPr="0047436C" w:rsidRDefault="0047436C" w:rsidP="0047436C">
      <w:pPr>
        <w:shd w:val="clear" w:color="auto" w:fill="FFFF00"/>
        <w:jc w:val="center"/>
        <w:rPr>
          <w:sz w:val="140"/>
          <w:szCs w:val="140"/>
        </w:rPr>
      </w:pPr>
      <w:r w:rsidRPr="0047436C">
        <w:rPr>
          <w:sz w:val="140"/>
          <w:szCs w:val="140"/>
        </w:rPr>
        <w:t>Rubryka</w:t>
      </w:r>
    </w:p>
    <w:p w:rsidR="0047436C" w:rsidRPr="0047436C" w:rsidRDefault="0047436C" w:rsidP="0047436C">
      <w:pPr>
        <w:shd w:val="clear" w:color="auto" w:fill="FFFF00"/>
        <w:jc w:val="center"/>
        <w:rPr>
          <w:sz w:val="90"/>
          <w:szCs w:val="90"/>
        </w:rPr>
      </w:pPr>
      <w:proofErr w:type="gramStart"/>
      <w:r w:rsidRPr="0047436C">
        <w:rPr>
          <w:sz w:val="140"/>
          <w:szCs w:val="140"/>
        </w:rPr>
        <w:t>,,</w:t>
      </w:r>
      <w:proofErr w:type="gramEnd"/>
      <w:r w:rsidRPr="0047436C">
        <w:rPr>
          <w:sz w:val="140"/>
          <w:szCs w:val="140"/>
        </w:rPr>
        <w:t>Wykres do przemyślenia”</w:t>
      </w:r>
    </w:p>
    <w:p w:rsidR="0047436C" w:rsidRPr="0047436C" w:rsidRDefault="0047436C" w:rsidP="0047436C">
      <w:pPr>
        <w:shd w:val="clear" w:color="auto" w:fill="FFFF00"/>
        <w:jc w:val="center"/>
        <w:rPr>
          <w:sz w:val="50"/>
          <w:szCs w:val="50"/>
        </w:rPr>
      </w:pPr>
      <w:r w:rsidRPr="0047436C">
        <w:rPr>
          <w:sz w:val="50"/>
          <w:szCs w:val="50"/>
        </w:rPr>
        <w:t>Sławomir Kłusek</w:t>
      </w:r>
    </w:p>
    <w:p w:rsidR="0047436C" w:rsidRPr="0047436C" w:rsidRDefault="0047436C" w:rsidP="0047436C">
      <w:pPr>
        <w:shd w:val="clear" w:color="auto" w:fill="548DD4" w:themeFill="text2" w:themeFillTint="99"/>
        <w:jc w:val="center"/>
        <w:rPr>
          <w:smallCaps/>
          <w:color w:val="FFFFFF" w:themeColor="background1"/>
          <w:sz w:val="90"/>
          <w:szCs w:val="90"/>
        </w:rPr>
      </w:pPr>
      <w:proofErr w:type="gramStart"/>
      <w:r w:rsidRPr="0047436C">
        <w:rPr>
          <w:smallCaps/>
          <w:color w:val="FFFFFF" w:themeColor="background1"/>
          <w:sz w:val="90"/>
          <w:szCs w:val="90"/>
        </w:rPr>
        <w:t>analizy-rynkowe</w:t>
      </w:r>
      <w:proofErr w:type="gramEnd"/>
      <w:r w:rsidRPr="0047436C">
        <w:rPr>
          <w:smallCaps/>
          <w:color w:val="FFFFFF" w:themeColor="background1"/>
          <w:sz w:val="90"/>
          <w:szCs w:val="90"/>
        </w:rPr>
        <w:t>.</w:t>
      </w:r>
      <w:proofErr w:type="gramStart"/>
      <w:r w:rsidRPr="0047436C">
        <w:rPr>
          <w:smallCaps/>
          <w:color w:val="FFFFFF" w:themeColor="background1"/>
          <w:sz w:val="90"/>
          <w:szCs w:val="90"/>
        </w:rPr>
        <w:t>pl</w:t>
      </w:r>
      <w:proofErr w:type="gramEnd"/>
    </w:p>
    <w:p w:rsidR="0047436C" w:rsidRPr="0047436C" w:rsidRDefault="0047436C" w:rsidP="0047436C">
      <w:pPr>
        <w:shd w:val="clear" w:color="auto" w:fill="FFFF00"/>
        <w:jc w:val="center"/>
        <w:rPr>
          <w:sz w:val="50"/>
          <w:szCs w:val="50"/>
        </w:rPr>
      </w:pPr>
    </w:p>
    <w:p w:rsidR="0047436C" w:rsidRPr="0047436C" w:rsidRDefault="0047436C" w:rsidP="0047436C">
      <w:pPr>
        <w:shd w:val="clear" w:color="auto" w:fill="FFFF00"/>
        <w:jc w:val="center"/>
        <w:rPr>
          <w:sz w:val="50"/>
          <w:szCs w:val="50"/>
        </w:rPr>
      </w:pPr>
    </w:p>
    <w:p w:rsidR="0047436C" w:rsidRPr="0047436C" w:rsidRDefault="0047436C" w:rsidP="0047436C">
      <w:pPr>
        <w:shd w:val="clear" w:color="auto" w:fill="FFFF00"/>
        <w:jc w:val="center"/>
        <w:rPr>
          <w:sz w:val="50"/>
          <w:szCs w:val="50"/>
        </w:rPr>
      </w:pPr>
    </w:p>
    <w:p w:rsidR="0047436C" w:rsidRPr="0047436C" w:rsidRDefault="0047436C" w:rsidP="0047436C">
      <w:pPr>
        <w:spacing w:after="0" w:line="240" w:lineRule="auto"/>
        <w:jc w:val="both"/>
        <w:rPr>
          <w:rFonts w:eastAsiaTheme="minorEastAsia"/>
          <w:color w:val="FF0000"/>
          <w:sz w:val="70"/>
          <w:szCs w:val="70"/>
          <w:lang w:eastAsia="pl-PL"/>
          <w14:shadow w14:blurRad="50800" w14:dist="38100" w14:dir="2700000" w14:sx="100000" w14:sy="100000" w14:kx="0" w14:ky="0" w14:algn="tl">
            <w14:srgbClr w14:val="000000">
              <w14:alpha w14:val="60000"/>
            </w14:srgbClr>
          </w14:shadow>
        </w:rPr>
      </w:pPr>
      <w:r w:rsidRPr="0047436C">
        <w:rPr>
          <w:rFonts w:eastAsiaTheme="minorEastAsia"/>
          <w:b/>
          <w:color w:val="000000" w:themeColor="text1"/>
          <w:sz w:val="70"/>
          <w:szCs w:val="70"/>
          <w:lang w:eastAsia="pl-PL"/>
          <w14:shadow w14:blurRad="50800" w14:dist="38100" w14:dir="2700000" w14:sx="100000" w14:sy="100000" w14:kx="0" w14:ky="0" w14:algn="tl">
            <w14:srgbClr w14:val="000000">
              <w14:alpha w14:val="60000"/>
            </w14:srgbClr>
          </w14:shadow>
        </w:rPr>
        <w:lastRenderedPageBreak/>
        <w:t xml:space="preserve">Średnia procentowa zmiana kursu akcji spółki po wprowadzeniu jej do rubryki </w:t>
      </w:r>
      <w:proofErr w:type="gramStart"/>
      <w:r w:rsidRPr="0047436C">
        <w:rPr>
          <w:rFonts w:eastAsiaTheme="minorEastAsia"/>
          <w:b/>
          <w:color w:val="000000" w:themeColor="text1"/>
          <w:sz w:val="70"/>
          <w:szCs w:val="70"/>
          <w:lang w:eastAsia="pl-PL"/>
          <w14:shadow w14:blurRad="50800" w14:dist="38100" w14:dir="2700000" w14:sx="100000" w14:sy="100000" w14:kx="0" w14:ky="0" w14:algn="tl">
            <w14:srgbClr w14:val="000000">
              <w14:alpha w14:val="60000"/>
            </w14:srgbClr>
          </w14:shadow>
        </w:rPr>
        <w:t>,,</w:t>
      </w:r>
      <w:proofErr w:type="gramEnd"/>
      <w:r w:rsidRPr="0047436C">
        <w:rPr>
          <w:rFonts w:eastAsiaTheme="minorEastAsia"/>
          <w:b/>
          <w:color w:val="000000" w:themeColor="text1"/>
          <w:sz w:val="70"/>
          <w:szCs w:val="70"/>
          <w:lang w:eastAsia="pl-PL"/>
          <w14:shadow w14:blurRad="50800" w14:dist="38100" w14:dir="2700000" w14:sx="100000" w14:sy="100000" w14:kx="0" w14:ky="0" w14:algn="tl">
            <w14:srgbClr w14:val="000000">
              <w14:alpha w14:val="60000"/>
            </w14:srgbClr>
          </w14:shadow>
        </w:rPr>
        <w:t xml:space="preserve">Wykres do przemyślenia” w okresie 12 pierwszych miesięcy po jej wprowadzeniu do tej rubryki była dotychczas </w:t>
      </w:r>
      <w:r w:rsidRPr="0047436C">
        <w:rPr>
          <w:rFonts w:eastAsiaTheme="minorEastAsia"/>
          <w:b/>
          <w:color w:val="FF0000"/>
          <w:sz w:val="70"/>
          <w:szCs w:val="70"/>
          <w:lang w:eastAsia="pl-PL"/>
          <w14:shadow w14:blurRad="50800" w14:dist="38100" w14:dir="2700000" w14:sx="100000" w14:sy="100000" w14:kx="0" w14:ky="0" w14:algn="tl">
            <w14:srgbClr w14:val="000000">
              <w14:alpha w14:val="60000"/>
            </w14:srgbClr>
          </w14:shadow>
        </w:rPr>
        <w:t>lepsza o 22,6 punku procentowego od WIG-u</w:t>
      </w:r>
    </w:p>
    <w:p w:rsidR="0047436C" w:rsidRPr="0047436C" w:rsidRDefault="0047436C" w:rsidP="0047436C">
      <w:pPr>
        <w:spacing w:after="0" w:line="240" w:lineRule="auto"/>
        <w:jc w:val="center"/>
        <w:rPr>
          <w:rFonts w:eastAsiaTheme="minorEastAsia"/>
          <w:color w:val="FF0000"/>
          <w:sz w:val="60"/>
          <w:szCs w:val="60"/>
          <w:lang w:eastAsia="pl-PL"/>
          <w14:shadow w14:blurRad="50800" w14:dist="38100" w14:dir="2700000" w14:sx="100000" w14:sy="100000" w14:kx="0" w14:ky="0" w14:algn="tl">
            <w14:srgbClr w14:val="000000">
              <w14:alpha w14:val="60000"/>
            </w14:srgbClr>
          </w14:shadow>
        </w:rPr>
      </w:pPr>
    </w:p>
    <w:p w:rsidR="0047436C" w:rsidRPr="0047436C" w:rsidRDefault="0047436C" w:rsidP="0047436C">
      <w:pPr>
        <w:spacing w:after="0" w:line="240" w:lineRule="auto"/>
        <w:jc w:val="center"/>
        <w:rPr>
          <w:rFonts w:eastAsiaTheme="minorEastAsia"/>
          <w:sz w:val="54"/>
          <w:szCs w:val="54"/>
          <w:u w:val="single"/>
          <w:lang w:eastAsia="pl-PL"/>
          <w14:shadow w14:blurRad="50800" w14:dist="38100" w14:dir="2700000" w14:sx="100000" w14:sy="100000" w14:kx="0" w14:ky="0" w14:algn="tl">
            <w14:srgbClr w14:val="000000">
              <w14:alpha w14:val="60000"/>
            </w14:srgbClr>
          </w14:shadow>
        </w:rPr>
      </w:pPr>
      <w:r w:rsidRPr="0047436C">
        <w:rPr>
          <w:rFonts w:eastAsiaTheme="minorEastAsia"/>
          <w:sz w:val="54"/>
          <w:szCs w:val="54"/>
          <w:u w:val="single"/>
          <w:lang w:eastAsia="pl-PL"/>
          <w14:shadow w14:blurRad="50800" w14:dist="38100" w14:dir="2700000" w14:sx="100000" w14:sy="100000" w14:kx="0" w14:ky="0" w14:algn="tl">
            <w14:srgbClr w14:val="000000">
              <w14:alpha w14:val="60000"/>
            </w14:srgbClr>
          </w14:shadow>
        </w:rPr>
        <w:t>Podsumowanie</w:t>
      </w:r>
    </w:p>
    <w:p w:rsidR="0047436C" w:rsidRPr="0047436C" w:rsidRDefault="0047436C" w:rsidP="0047436C">
      <w:pPr>
        <w:spacing w:after="0" w:line="240" w:lineRule="auto"/>
        <w:jc w:val="center"/>
        <w:rPr>
          <w:rFonts w:eastAsiaTheme="minorEastAsia"/>
          <w:sz w:val="54"/>
          <w:szCs w:val="54"/>
          <w:u w:val="single"/>
          <w:lang w:eastAsia="pl-PL"/>
          <w14:shadow w14:blurRad="50800" w14:dist="38100" w14:dir="2700000" w14:sx="100000" w14:sy="100000" w14:kx="0" w14:ky="0" w14:algn="tl">
            <w14:srgbClr w14:val="000000">
              <w14:alpha w14:val="60000"/>
            </w14:srgbClr>
          </w14:shadow>
        </w:rPr>
      </w:pPr>
      <w:proofErr w:type="gramStart"/>
      <w:r w:rsidRPr="0047436C">
        <w:rPr>
          <w:rFonts w:eastAsiaTheme="minorEastAsia"/>
          <w:sz w:val="54"/>
          <w:szCs w:val="54"/>
          <w:u w:val="single"/>
          <w:lang w:eastAsia="pl-PL"/>
          <w14:shadow w14:blurRad="50800" w14:dist="38100" w14:dir="2700000" w14:sx="100000" w14:sy="100000" w14:kx="0" w14:ky="0" w14:algn="tl">
            <w14:srgbClr w14:val="000000">
              <w14:alpha w14:val="60000"/>
            </w14:srgbClr>
          </w14:shadow>
        </w:rPr>
        <w:t>według</w:t>
      </w:r>
      <w:proofErr w:type="gramEnd"/>
      <w:r w:rsidRPr="0047436C">
        <w:rPr>
          <w:rFonts w:eastAsiaTheme="minorEastAsia"/>
          <w:sz w:val="54"/>
          <w:szCs w:val="54"/>
          <w:u w:val="single"/>
          <w:lang w:eastAsia="pl-PL"/>
          <w14:shadow w14:blurRad="50800" w14:dist="38100" w14:dir="2700000" w14:sx="100000" w14:sy="100000" w14:kx="0" w14:ky="0" w14:algn="tl">
            <w14:srgbClr w14:val="000000">
              <w14:alpha w14:val="60000"/>
            </w14:srgbClr>
          </w14:shadow>
        </w:rPr>
        <w:t xml:space="preserve"> </w:t>
      </w:r>
    </w:p>
    <w:p w:rsidR="0047436C" w:rsidRPr="0047436C" w:rsidRDefault="0047436C" w:rsidP="0047436C">
      <w:pPr>
        <w:spacing w:after="0" w:line="240" w:lineRule="auto"/>
        <w:jc w:val="center"/>
        <w:rPr>
          <w:rFonts w:eastAsiaTheme="minorEastAsia"/>
          <w:sz w:val="54"/>
          <w:szCs w:val="54"/>
          <w:u w:val="single"/>
          <w:lang w:eastAsia="pl-PL"/>
          <w14:shadow w14:blurRad="50800" w14:dist="38100" w14:dir="2700000" w14:sx="100000" w14:sy="100000" w14:kx="0" w14:ky="0" w14:algn="tl">
            <w14:srgbClr w14:val="000000">
              <w14:alpha w14:val="60000"/>
            </w14:srgbClr>
          </w14:shadow>
        </w:rPr>
      </w:pPr>
      <w:proofErr w:type="gramStart"/>
      <w:r w:rsidRPr="0047436C">
        <w:rPr>
          <w:rFonts w:eastAsiaTheme="minorEastAsia"/>
          <w:sz w:val="54"/>
          <w:szCs w:val="54"/>
          <w:u w:val="single"/>
          <w:lang w:eastAsia="pl-PL"/>
          <w14:shadow w14:blurRad="50800" w14:dist="38100" w14:dir="2700000" w14:sx="100000" w14:sy="100000" w14:kx="0" w14:ky="0" w14:algn="tl">
            <w14:srgbClr w14:val="000000">
              <w14:alpha w14:val="60000"/>
            </w14:srgbClr>
          </w14:shadow>
        </w:rPr>
        <w:t>stanu</w:t>
      </w:r>
      <w:proofErr w:type="gramEnd"/>
      <w:r w:rsidRPr="0047436C">
        <w:rPr>
          <w:rFonts w:eastAsiaTheme="minorEastAsia"/>
          <w:sz w:val="54"/>
          <w:szCs w:val="54"/>
          <w:u w:val="single"/>
          <w:lang w:eastAsia="pl-PL"/>
          <w14:shadow w14:blurRad="50800" w14:dist="38100" w14:dir="2700000" w14:sx="100000" w14:sy="100000" w14:kx="0" w14:ky="0" w14:algn="tl">
            <w14:srgbClr w14:val="000000">
              <w14:alpha w14:val="60000"/>
            </w14:srgbClr>
          </w14:shadow>
        </w:rPr>
        <w:t xml:space="preserve"> </w:t>
      </w:r>
    </w:p>
    <w:p w:rsidR="0047436C" w:rsidRPr="0047436C" w:rsidRDefault="0047436C" w:rsidP="0047436C">
      <w:pPr>
        <w:spacing w:after="0" w:line="240" w:lineRule="auto"/>
        <w:jc w:val="center"/>
        <w:rPr>
          <w:rFonts w:eastAsiaTheme="minorEastAsia"/>
          <w:sz w:val="54"/>
          <w:szCs w:val="54"/>
          <w:u w:val="single"/>
          <w:lang w:eastAsia="pl-PL"/>
          <w14:shadow w14:blurRad="50800" w14:dist="38100" w14:dir="2700000" w14:sx="100000" w14:sy="100000" w14:kx="0" w14:ky="0" w14:algn="tl">
            <w14:srgbClr w14:val="000000">
              <w14:alpha w14:val="60000"/>
            </w14:srgbClr>
          </w14:shadow>
        </w:rPr>
      </w:pPr>
      <w:proofErr w:type="gramStart"/>
      <w:r w:rsidRPr="0047436C">
        <w:rPr>
          <w:rFonts w:eastAsiaTheme="minorEastAsia"/>
          <w:sz w:val="54"/>
          <w:szCs w:val="54"/>
          <w:u w:val="single"/>
          <w:lang w:eastAsia="pl-PL"/>
          <w14:shadow w14:blurRad="50800" w14:dist="38100" w14:dir="2700000" w14:sx="100000" w14:sy="100000" w14:kx="0" w14:ky="0" w14:algn="tl">
            <w14:srgbClr w14:val="000000">
              <w14:alpha w14:val="60000"/>
            </w14:srgbClr>
          </w14:shadow>
        </w:rPr>
        <w:t>na</w:t>
      </w:r>
      <w:proofErr w:type="gramEnd"/>
      <w:r w:rsidRPr="0047436C">
        <w:rPr>
          <w:rFonts w:eastAsiaTheme="minorEastAsia"/>
          <w:sz w:val="54"/>
          <w:szCs w:val="54"/>
          <w:u w:val="single"/>
          <w:lang w:eastAsia="pl-PL"/>
          <w14:shadow w14:blurRad="50800" w14:dist="38100" w14:dir="2700000" w14:sx="100000" w14:sy="100000" w14:kx="0" w14:ky="0" w14:algn="tl">
            <w14:srgbClr w14:val="000000">
              <w14:alpha w14:val="60000"/>
            </w14:srgbClr>
          </w14:shadow>
        </w:rPr>
        <w:t xml:space="preserve"> </w:t>
      </w:r>
      <w:r w:rsidR="00AC16B8">
        <w:rPr>
          <w:rFonts w:eastAsiaTheme="minorEastAsia"/>
          <w:sz w:val="54"/>
          <w:szCs w:val="54"/>
          <w:u w:val="single"/>
          <w:lang w:eastAsia="pl-PL"/>
          <w14:shadow w14:blurRad="50800" w14:dist="38100" w14:dir="2700000" w14:sx="100000" w14:sy="100000" w14:kx="0" w14:ky="0" w14:algn="tl">
            <w14:srgbClr w14:val="000000">
              <w14:alpha w14:val="60000"/>
            </w14:srgbClr>
          </w14:shadow>
        </w:rPr>
        <w:t xml:space="preserve">18 </w:t>
      </w:r>
      <w:r w:rsidRPr="0047436C">
        <w:rPr>
          <w:rFonts w:eastAsiaTheme="minorEastAsia"/>
          <w:sz w:val="54"/>
          <w:szCs w:val="54"/>
          <w:u w:val="single"/>
          <w:lang w:eastAsia="pl-PL"/>
          <w14:shadow w14:blurRad="50800" w14:dist="38100" w14:dir="2700000" w14:sx="100000" w14:sy="100000" w14:kx="0" w14:ky="0" w14:algn="tl">
            <w14:srgbClr w14:val="000000">
              <w14:alpha w14:val="60000"/>
            </w14:srgbClr>
          </w14:shadow>
        </w:rPr>
        <w:t xml:space="preserve">listopada 2016 roku  </w:t>
      </w:r>
    </w:p>
    <w:p w:rsidR="0047436C" w:rsidRPr="0047436C" w:rsidRDefault="0047436C" w:rsidP="0047436C">
      <w:pPr>
        <w:spacing w:after="0" w:line="240" w:lineRule="auto"/>
        <w:jc w:val="center"/>
        <w:rPr>
          <w:rFonts w:eastAsiaTheme="minorEastAsia"/>
          <w:sz w:val="46"/>
          <w:szCs w:val="46"/>
          <w:u w:val="single"/>
          <w:lang w:eastAsia="pl-PL"/>
          <w14:shadow w14:blurRad="50800" w14:dist="38100" w14:dir="2700000" w14:sx="100000" w14:sy="100000" w14:kx="0" w14:ky="0" w14:algn="tl">
            <w14:srgbClr w14:val="000000">
              <w14:alpha w14:val="60000"/>
            </w14:srgbClr>
          </w14:shadow>
        </w:rPr>
      </w:pPr>
    </w:p>
    <w:p w:rsidR="0047436C" w:rsidRPr="0047436C" w:rsidRDefault="0047436C" w:rsidP="0047436C">
      <w:pPr>
        <w:spacing w:after="0" w:line="240" w:lineRule="auto"/>
        <w:jc w:val="center"/>
        <w:rPr>
          <w:rFonts w:eastAsiaTheme="minorEastAsia"/>
          <w:sz w:val="46"/>
          <w:szCs w:val="46"/>
          <w:u w:val="single"/>
          <w:lang w:eastAsia="pl-PL"/>
          <w14:shadow w14:blurRad="50800" w14:dist="38100" w14:dir="2700000" w14:sx="100000" w14:sy="100000" w14:kx="0" w14:ky="0" w14:algn="tl">
            <w14:srgbClr w14:val="000000">
              <w14:alpha w14:val="60000"/>
            </w14:srgbClr>
          </w14:shadow>
        </w:rPr>
      </w:pPr>
    </w:p>
    <w:p w:rsidR="0047436C" w:rsidRPr="0047436C" w:rsidRDefault="0047436C" w:rsidP="0047436C">
      <w:pPr>
        <w:spacing w:after="0" w:line="240" w:lineRule="auto"/>
        <w:jc w:val="both"/>
        <w:rPr>
          <w:rFonts w:eastAsiaTheme="minorEastAsia"/>
          <w:color w:val="000000" w:themeColor="text1"/>
          <w:sz w:val="44"/>
          <w:szCs w:val="44"/>
          <w:lang w:eastAsia="pl-PL"/>
          <w14:shadow w14:blurRad="50800" w14:dist="38100" w14:dir="2700000" w14:sx="100000" w14:sy="100000" w14:kx="0" w14:ky="0" w14:algn="tl">
            <w14:srgbClr w14:val="000000">
              <w14:alpha w14:val="60000"/>
            </w14:srgbClr>
          </w14:shadow>
        </w:rPr>
      </w:pPr>
      <w:r w:rsidRPr="0047436C">
        <w:rPr>
          <w:rFonts w:eastAsiaTheme="minorEastAsia"/>
          <w:color w:val="000000" w:themeColor="text1"/>
          <w:sz w:val="44"/>
          <w:szCs w:val="44"/>
          <w:lang w:eastAsia="pl-PL"/>
          <w14:shadow w14:blurRad="50800" w14:dist="38100" w14:dir="2700000" w14:sx="100000" w14:sy="100000" w14:kx="0" w14:ky="0" w14:algn="tl">
            <w14:srgbClr w14:val="000000">
              <w14:alpha w14:val="60000"/>
            </w14:srgbClr>
          </w14:shadow>
        </w:rPr>
        <w:lastRenderedPageBreak/>
        <w:t xml:space="preserve">Dla 37 przypadków wprowadzenia spółki do rubryki </w:t>
      </w:r>
      <w:proofErr w:type="gramStart"/>
      <w:r w:rsidRPr="0047436C">
        <w:rPr>
          <w:rFonts w:eastAsiaTheme="minorEastAsia"/>
          <w:color w:val="000000" w:themeColor="text1"/>
          <w:sz w:val="44"/>
          <w:szCs w:val="44"/>
          <w:lang w:eastAsia="pl-PL"/>
          <w14:shadow w14:blurRad="50800" w14:dist="38100" w14:dir="2700000" w14:sx="100000" w14:sy="100000" w14:kx="0" w14:ky="0" w14:algn="tl">
            <w14:srgbClr w14:val="000000">
              <w14:alpha w14:val="60000"/>
            </w14:srgbClr>
          </w14:shadow>
        </w:rPr>
        <w:t>,,</w:t>
      </w:r>
      <w:proofErr w:type="gramEnd"/>
      <w:r w:rsidRPr="0047436C">
        <w:rPr>
          <w:rFonts w:eastAsiaTheme="minorEastAsia"/>
          <w:color w:val="000000" w:themeColor="text1"/>
          <w:sz w:val="44"/>
          <w:szCs w:val="44"/>
          <w:lang w:eastAsia="pl-PL"/>
          <w14:shadow w14:blurRad="50800" w14:dist="38100" w14:dir="2700000" w14:sx="100000" w14:sy="100000" w14:kx="0" w14:ky="0" w14:algn="tl">
            <w14:srgbClr w14:val="000000">
              <w14:alpha w14:val="60000"/>
            </w14:srgbClr>
          </w14:shadow>
        </w:rPr>
        <w:t xml:space="preserve">Wykres do przemyślenia” można już obliczyć poziom 12-miesięcznej procentowej zmiany kursu akcji po wprowadzeniu danej spółki do rubryki ,,Wykres do przemyślenia” </w:t>
      </w:r>
    </w:p>
    <w:p w:rsidR="0047436C" w:rsidRPr="0047436C" w:rsidRDefault="0047436C" w:rsidP="0047436C">
      <w:pPr>
        <w:spacing w:after="0" w:line="240" w:lineRule="auto"/>
        <w:jc w:val="both"/>
        <w:rPr>
          <w:rFonts w:eastAsiaTheme="minorEastAsia"/>
          <w:color w:val="000000" w:themeColor="text1"/>
          <w:sz w:val="44"/>
          <w:szCs w:val="44"/>
          <w:lang w:eastAsia="pl-PL"/>
          <w14:shadow w14:blurRad="50800" w14:dist="38100" w14:dir="2700000" w14:sx="100000" w14:sy="100000" w14:kx="0" w14:ky="0" w14:algn="tl">
            <w14:srgbClr w14:val="000000">
              <w14:alpha w14:val="60000"/>
            </w14:srgbClr>
          </w14:shadow>
        </w:rPr>
      </w:pPr>
    </w:p>
    <w:p w:rsidR="0047436C" w:rsidRPr="0047436C" w:rsidRDefault="0047436C" w:rsidP="0047436C">
      <w:pPr>
        <w:spacing w:after="0" w:line="240" w:lineRule="auto"/>
        <w:jc w:val="both"/>
        <w:rPr>
          <w:rFonts w:eastAsiaTheme="minorEastAsia"/>
          <w:color w:val="000000" w:themeColor="text1"/>
          <w:sz w:val="44"/>
          <w:szCs w:val="44"/>
          <w:lang w:eastAsia="pl-PL"/>
          <w14:shadow w14:blurRad="50800" w14:dist="38100" w14:dir="2700000" w14:sx="100000" w14:sy="100000" w14:kx="0" w14:ky="0" w14:algn="tl">
            <w14:srgbClr w14:val="000000">
              <w14:alpha w14:val="60000"/>
            </w14:srgbClr>
          </w14:shadow>
        </w:rPr>
      </w:pPr>
      <w:r w:rsidRPr="0047436C">
        <w:rPr>
          <w:rFonts w:eastAsiaTheme="minorEastAsia"/>
          <w:color w:val="000000" w:themeColor="text1"/>
          <w:sz w:val="44"/>
          <w:szCs w:val="44"/>
          <w:lang w:eastAsia="pl-PL"/>
          <w14:shadow w14:blurRad="50800" w14:dist="38100" w14:dir="2700000" w14:sx="100000" w14:sy="100000" w14:kx="0" w14:ky="0" w14:algn="tl">
            <w14:srgbClr w14:val="000000">
              <w14:alpha w14:val="60000"/>
            </w14:srgbClr>
          </w14:shadow>
        </w:rPr>
        <w:t xml:space="preserve">Oto lista tych 37 przypadków: </w:t>
      </w:r>
    </w:p>
    <w:p w:rsidR="0047436C" w:rsidRPr="0047436C" w:rsidRDefault="0047436C" w:rsidP="0047436C">
      <w:pPr>
        <w:spacing w:after="0" w:line="240" w:lineRule="auto"/>
        <w:jc w:val="both"/>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pPr>
    </w:p>
    <w:p w:rsidR="0047436C" w:rsidRPr="0047436C" w:rsidRDefault="0047436C" w:rsidP="0047436C">
      <w:pPr>
        <w:spacing w:after="0" w:line="240" w:lineRule="auto"/>
        <w:jc w:val="both"/>
        <w:rPr>
          <w:rFonts w:eastAsiaTheme="minorEastAsia"/>
          <w:color w:val="FF66CC"/>
          <w:sz w:val="44"/>
          <w:szCs w:val="44"/>
          <w:lang w:eastAsia="pl-PL"/>
          <w14:shadow w14:blurRad="50800" w14:dist="38100" w14:dir="2700000" w14:sx="100000" w14:sy="100000" w14:kx="0" w14:ky="0" w14:algn="tl">
            <w14:srgbClr w14:val="000000">
              <w14:alpha w14:val="60000"/>
            </w14:srgbClr>
          </w14:shadow>
        </w:rPr>
      </w:pPr>
      <w:r w:rsidRPr="0047436C">
        <w:rPr>
          <w:rFonts w:eastAsiaTheme="minorEastAsia"/>
          <w:color w:val="FF66CC"/>
          <w:sz w:val="44"/>
          <w:szCs w:val="44"/>
          <w:lang w:eastAsia="pl-PL"/>
          <w14:shadow w14:blurRad="50800" w14:dist="38100" w14:dir="2700000" w14:sx="100000" w14:sy="100000" w14:kx="0" w14:ky="0" w14:algn="tl">
            <w14:srgbClr w14:val="000000">
              <w14:alpha w14:val="60000"/>
            </w14:srgbClr>
          </w14:shadow>
        </w:rPr>
        <w:t>IMMOBILE</w:t>
      </w:r>
    </w:p>
    <w:p w:rsidR="0047436C" w:rsidRPr="0047436C" w:rsidRDefault="0047436C" w:rsidP="0047436C">
      <w:pPr>
        <w:spacing w:after="0" w:line="240" w:lineRule="auto"/>
        <w:jc w:val="both"/>
        <w:rPr>
          <w:rFonts w:eastAsiaTheme="minorEastAsia"/>
          <w:color w:val="FF66CC"/>
          <w:sz w:val="44"/>
          <w:szCs w:val="44"/>
          <w:lang w:eastAsia="pl-PL"/>
          <w14:shadow w14:blurRad="50800" w14:dist="38100" w14:dir="2700000" w14:sx="100000" w14:sy="100000" w14:kx="0" w14:ky="0" w14:algn="tl">
            <w14:srgbClr w14:val="000000">
              <w14:alpha w14:val="60000"/>
            </w14:srgbClr>
          </w14:shadow>
        </w:rPr>
      </w:pPr>
      <w:r w:rsidRPr="0047436C">
        <w:rPr>
          <w:rFonts w:eastAsiaTheme="minorEastAsia"/>
          <w:color w:val="FF66CC"/>
          <w:sz w:val="44"/>
          <w:szCs w:val="44"/>
          <w:lang w:eastAsia="pl-PL"/>
          <w14:shadow w14:blurRad="50800" w14:dist="38100" w14:dir="2700000" w14:sx="100000" w14:sy="100000" w14:kx="0" w14:ky="0" w14:algn="tl">
            <w14:srgbClr w14:val="000000">
              <w14:alpha w14:val="60000"/>
            </w14:srgbClr>
          </w14:shadow>
        </w:rPr>
        <w:t>LENA</w:t>
      </w:r>
    </w:p>
    <w:p w:rsidR="0047436C" w:rsidRPr="0047436C" w:rsidRDefault="0047436C" w:rsidP="0047436C">
      <w:pPr>
        <w:spacing w:after="0" w:line="240" w:lineRule="auto"/>
        <w:jc w:val="both"/>
        <w:rPr>
          <w:rFonts w:eastAsiaTheme="minorEastAsia"/>
          <w:color w:val="FF66CC"/>
          <w:sz w:val="44"/>
          <w:szCs w:val="44"/>
          <w:lang w:val="en-US" w:eastAsia="pl-PL"/>
          <w14:shadow w14:blurRad="50800" w14:dist="38100" w14:dir="2700000" w14:sx="100000" w14:sy="100000" w14:kx="0" w14:ky="0" w14:algn="tl">
            <w14:srgbClr w14:val="000000">
              <w14:alpha w14:val="60000"/>
            </w14:srgbClr>
          </w14:shadow>
        </w:rPr>
      </w:pPr>
      <w:r w:rsidRPr="0047436C">
        <w:rPr>
          <w:rFonts w:eastAsiaTheme="minorEastAsia"/>
          <w:color w:val="FF66CC"/>
          <w:sz w:val="44"/>
          <w:szCs w:val="44"/>
          <w:lang w:val="en-US" w:eastAsia="pl-PL"/>
          <w14:shadow w14:blurRad="50800" w14:dist="38100" w14:dir="2700000" w14:sx="100000" w14:sy="100000" w14:kx="0" w14:ky="0" w14:algn="tl">
            <w14:srgbClr w14:val="000000">
              <w14:alpha w14:val="60000"/>
            </w14:srgbClr>
          </w14:shadow>
        </w:rPr>
        <w:t>NETMEDIA</w:t>
      </w:r>
    </w:p>
    <w:p w:rsidR="0047436C" w:rsidRPr="0047436C" w:rsidRDefault="0047436C" w:rsidP="0047436C">
      <w:pPr>
        <w:spacing w:after="0" w:line="240" w:lineRule="auto"/>
        <w:jc w:val="both"/>
        <w:rPr>
          <w:rFonts w:eastAsiaTheme="minorEastAsia"/>
          <w:color w:val="FF66CC"/>
          <w:sz w:val="44"/>
          <w:szCs w:val="44"/>
          <w:lang w:val="en-US" w:eastAsia="pl-PL"/>
          <w14:shadow w14:blurRad="50800" w14:dist="38100" w14:dir="2700000" w14:sx="100000" w14:sy="100000" w14:kx="0" w14:ky="0" w14:algn="tl">
            <w14:srgbClr w14:val="000000">
              <w14:alpha w14:val="60000"/>
            </w14:srgbClr>
          </w14:shadow>
        </w:rPr>
      </w:pPr>
      <w:r w:rsidRPr="0047436C">
        <w:rPr>
          <w:rFonts w:eastAsiaTheme="minorEastAsia"/>
          <w:color w:val="FF66CC"/>
          <w:sz w:val="44"/>
          <w:szCs w:val="44"/>
          <w:lang w:val="en-US" w:eastAsia="pl-PL"/>
          <w14:shadow w14:blurRad="50800" w14:dist="38100" w14:dir="2700000" w14:sx="100000" w14:sy="100000" w14:kx="0" w14:ky="0" w14:algn="tl">
            <w14:srgbClr w14:val="000000">
              <w14:alpha w14:val="60000"/>
            </w14:srgbClr>
          </w14:shadow>
        </w:rPr>
        <w:t>RAFAKO</w:t>
      </w:r>
    </w:p>
    <w:p w:rsidR="0047436C" w:rsidRPr="0047436C" w:rsidRDefault="0047436C" w:rsidP="0047436C">
      <w:pPr>
        <w:spacing w:after="0" w:line="240" w:lineRule="auto"/>
        <w:jc w:val="both"/>
        <w:rPr>
          <w:rFonts w:eastAsiaTheme="minorEastAsia"/>
          <w:color w:val="FF66CC"/>
          <w:sz w:val="44"/>
          <w:szCs w:val="44"/>
          <w:lang w:val="en-US" w:eastAsia="pl-PL"/>
          <w14:shadow w14:blurRad="50800" w14:dist="38100" w14:dir="2700000" w14:sx="100000" w14:sy="100000" w14:kx="0" w14:ky="0" w14:algn="tl">
            <w14:srgbClr w14:val="000000">
              <w14:alpha w14:val="60000"/>
            </w14:srgbClr>
          </w14:shadow>
        </w:rPr>
      </w:pPr>
      <w:r w:rsidRPr="0047436C">
        <w:rPr>
          <w:rFonts w:eastAsiaTheme="minorEastAsia"/>
          <w:color w:val="FF66CC"/>
          <w:sz w:val="44"/>
          <w:szCs w:val="44"/>
          <w:lang w:val="en-US" w:eastAsia="pl-PL"/>
          <w14:shadow w14:blurRad="50800" w14:dist="38100" w14:dir="2700000" w14:sx="100000" w14:sy="100000" w14:kx="0" w14:ky="0" w14:algn="tl">
            <w14:srgbClr w14:val="000000">
              <w14:alpha w14:val="60000"/>
            </w14:srgbClr>
          </w14:shadow>
        </w:rPr>
        <w:t>BORYSZEW</w:t>
      </w:r>
    </w:p>
    <w:p w:rsidR="0047436C" w:rsidRPr="0047436C" w:rsidRDefault="0047436C" w:rsidP="0047436C">
      <w:pPr>
        <w:spacing w:after="0" w:line="240" w:lineRule="auto"/>
        <w:jc w:val="both"/>
        <w:rPr>
          <w:rFonts w:eastAsiaTheme="minorEastAsia"/>
          <w:color w:val="FF66CC"/>
          <w:sz w:val="44"/>
          <w:szCs w:val="44"/>
          <w:lang w:val="en-US" w:eastAsia="pl-PL"/>
          <w14:shadow w14:blurRad="50800" w14:dist="38100" w14:dir="2700000" w14:sx="100000" w14:sy="100000" w14:kx="0" w14:ky="0" w14:algn="tl">
            <w14:srgbClr w14:val="000000">
              <w14:alpha w14:val="60000"/>
            </w14:srgbClr>
          </w14:shadow>
        </w:rPr>
      </w:pPr>
      <w:r w:rsidRPr="0047436C">
        <w:rPr>
          <w:rFonts w:eastAsiaTheme="minorEastAsia"/>
          <w:color w:val="FF66CC"/>
          <w:sz w:val="44"/>
          <w:szCs w:val="44"/>
          <w:lang w:val="en-US" w:eastAsia="pl-PL"/>
          <w14:shadow w14:blurRad="50800" w14:dist="38100" w14:dir="2700000" w14:sx="100000" w14:sy="100000" w14:kx="0" w14:ky="0" w14:algn="tl">
            <w14:srgbClr w14:val="000000">
              <w14:alpha w14:val="60000"/>
            </w14:srgbClr>
          </w14:shadow>
        </w:rPr>
        <w:t>ERBUD</w:t>
      </w:r>
    </w:p>
    <w:p w:rsidR="0047436C" w:rsidRPr="0047436C" w:rsidRDefault="0047436C" w:rsidP="0047436C">
      <w:pPr>
        <w:spacing w:after="0" w:line="240" w:lineRule="auto"/>
        <w:jc w:val="both"/>
        <w:rPr>
          <w:rFonts w:eastAsiaTheme="minorEastAsia"/>
          <w:color w:val="FF66CC"/>
          <w:sz w:val="44"/>
          <w:szCs w:val="44"/>
          <w:lang w:val="en-US" w:eastAsia="pl-PL"/>
          <w14:shadow w14:blurRad="50800" w14:dist="38100" w14:dir="2700000" w14:sx="100000" w14:sy="100000" w14:kx="0" w14:ky="0" w14:algn="tl">
            <w14:srgbClr w14:val="000000">
              <w14:alpha w14:val="60000"/>
            </w14:srgbClr>
          </w14:shadow>
        </w:rPr>
      </w:pPr>
      <w:r w:rsidRPr="0047436C">
        <w:rPr>
          <w:rFonts w:eastAsiaTheme="minorEastAsia"/>
          <w:color w:val="FF66CC"/>
          <w:sz w:val="44"/>
          <w:szCs w:val="44"/>
          <w:lang w:val="en-US" w:eastAsia="pl-PL"/>
          <w14:shadow w14:blurRad="50800" w14:dist="38100" w14:dir="2700000" w14:sx="100000" w14:sy="100000" w14:kx="0" w14:ky="0" w14:algn="tl">
            <w14:srgbClr w14:val="000000">
              <w14:alpha w14:val="60000"/>
            </w14:srgbClr>
          </w14:shadow>
        </w:rPr>
        <w:t>IF CAPITAL</w:t>
      </w:r>
    </w:p>
    <w:p w:rsidR="0047436C" w:rsidRPr="0047436C" w:rsidRDefault="0047436C" w:rsidP="0047436C">
      <w:pPr>
        <w:spacing w:after="0" w:line="240" w:lineRule="auto"/>
        <w:jc w:val="both"/>
        <w:rPr>
          <w:rFonts w:eastAsiaTheme="minorEastAsia"/>
          <w:color w:val="FF66CC"/>
          <w:sz w:val="44"/>
          <w:szCs w:val="44"/>
          <w:lang w:val="en-US" w:eastAsia="pl-PL"/>
          <w14:shadow w14:blurRad="50800" w14:dist="38100" w14:dir="2700000" w14:sx="100000" w14:sy="100000" w14:kx="0" w14:ky="0" w14:algn="tl">
            <w14:srgbClr w14:val="000000">
              <w14:alpha w14:val="60000"/>
            </w14:srgbClr>
          </w14:shadow>
        </w:rPr>
      </w:pPr>
      <w:r w:rsidRPr="0047436C">
        <w:rPr>
          <w:rFonts w:eastAsiaTheme="minorEastAsia"/>
          <w:color w:val="FF66CC"/>
          <w:sz w:val="44"/>
          <w:szCs w:val="44"/>
          <w:lang w:val="en-US" w:eastAsia="pl-PL"/>
          <w14:shadow w14:blurRad="50800" w14:dist="38100" w14:dir="2700000" w14:sx="100000" w14:sy="100000" w14:kx="0" w14:ky="0" w14:algn="tl">
            <w14:srgbClr w14:val="000000">
              <w14:alpha w14:val="60000"/>
            </w14:srgbClr>
          </w14:shadow>
        </w:rPr>
        <w:t>CAPITAL PARTNERS</w:t>
      </w:r>
    </w:p>
    <w:p w:rsidR="0047436C" w:rsidRPr="0047436C" w:rsidRDefault="0047436C" w:rsidP="0047436C">
      <w:pPr>
        <w:spacing w:after="0" w:line="240" w:lineRule="auto"/>
        <w:jc w:val="both"/>
        <w:rPr>
          <w:rFonts w:eastAsiaTheme="minorEastAsia"/>
          <w:color w:val="FF66CC"/>
          <w:sz w:val="44"/>
          <w:szCs w:val="44"/>
          <w:lang w:val="en-US" w:eastAsia="pl-PL"/>
          <w14:shadow w14:blurRad="50800" w14:dist="38100" w14:dir="2700000" w14:sx="100000" w14:sy="100000" w14:kx="0" w14:ky="0" w14:algn="tl">
            <w14:srgbClr w14:val="000000">
              <w14:alpha w14:val="60000"/>
            </w14:srgbClr>
          </w14:shadow>
        </w:rPr>
      </w:pPr>
      <w:r w:rsidRPr="0047436C">
        <w:rPr>
          <w:rFonts w:eastAsiaTheme="minorEastAsia"/>
          <w:color w:val="FF66CC"/>
          <w:sz w:val="44"/>
          <w:szCs w:val="44"/>
          <w:lang w:val="en-US" w:eastAsia="pl-PL"/>
          <w14:shadow w14:blurRad="50800" w14:dist="38100" w14:dir="2700000" w14:sx="100000" w14:sy="100000" w14:kx="0" w14:ky="0" w14:algn="tl">
            <w14:srgbClr w14:val="000000">
              <w14:alpha w14:val="60000"/>
            </w14:srgbClr>
          </w14:shadow>
        </w:rPr>
        <w:t>ASSECO POLAND</w:t>
      </w:r>
    </w:p>
    <w:p w:rsidR="0047436C" w:rsidRPr="0047436C" w:rsidRDefault="0047436C" w:rsidP="0047436C">
      <w:pPr>
        <w:spacing w:after="0" w:line="240" w:lineRule="auto"/>
        <w:jc w:val="both"/>
        <w:rPr>
          <w:rFonts w:eastAsiaTheme="minorEastAsia"/>
          <w:color w:val="FF66CC"/>
          <w:sz w:val="44"/>
          <w:szCs w:val="44"/>
          <w:lang w:val="en-US" w:eastAsia="pl-PL"/>
          <w14:shadow w14:blurRad="50800" w14:dist="38100" w14:dir="2700000" w14:sx="100000" w14:sy="100000" w14:kx="0" w14:ky="0" w14:algn="tl">
            <w14:srgbClr w14:val="000000">
              <w14:alpha w14:val="60000"/>
            </w14:srgbClr>
          </w14:shadow>
        </w:rPr>
      </w:pPr>
      <w:r w:rsidRPr="0047436C">
        <w:rPr>
          <w:rFonts w:eastAsiaTheme="minorEastAsia"/>
          <w:color w:val="FF66CC"/>
          <w:sz w:val="44"/>
          <w:szCs w:val="44"/>
          <w:lang w:val="en-US" w:eastAsia="pl-PL"/>
          <w14:shadow w14:blurRad="50800" w14:dist="38100" w14:dir="2700000" w14:sx="100000" w14:sy="100000" w14:kx="0" w14:ky="0" w14:algn="tl">
            <w14:srgbClr w14:val="000000">
              <w14:alpha w14:val="60000"/>
            </w14:srgbClr>
          </w14:shadow>
        </w:rPr>
        <w:t>CD PROJEKT</w:t>
      </w:r>
    </w:p>
    <w:p w:rsidR="0047436C" w:rsidRPr="0047436C" w:rsidRDefault="0047436C" w:rsidP="0047436C">
      <w:pPr>
        <w:spacing w:after="0" w:line="240" w:lineRule="auto"/>
        <w:jc w:val="both"/>
        <w:rPr>
          <w:rFonts w:eastAsiaTheme="minorEastAsia"/>
          <w:color w:val="FF66CC"/>
          <w:sz w:val="44"/>
          <w:szCs w:val="44"/>
          <w:lang w:eastAsia="pl-PL"/>
          <w14:shadow w14:blurRad="50800" w14:dist="38100" w14:dir="2700000" w14:sx="100000" w14:sy="100000" w14:kx="0" w14:ky="0" w14:algn="tl">
            <w14:srgbClr w14:val="000000">
              <w14:alpha w14:val="60000"/>
            </w14:srgbClr>
          </w14:shadow>
        </w:rPr>
      </w:pPr>
      <w:r w:rsidRPr="0047436C">
        <w:rPr>
          <w:rFonts w:eastAsiaTheme="minorEastAsia"/>
          <w:color w:val="FF66CC"/>
          <w:sz w:val="44"/>
          <w:szCs w:val="44"/>
          <w:lang w:eastAsia="pl-PL"/>
          <w14:shadow w14:blurRad="50800" w14:dist="38100" w14:dir="2700000" w14:sx="100000" w14:sy="100000" w14:kx="0" w14:ky="0" w14:algn="tl">
            <w14:srgbClr w14:val="000000">
              <w14:alpha w14:val="60000"/>
            </w14:srgbClr>
          </w14:shadow>
        </w:rPr>
        <w:t>SYGNITY</w:t>
      </w:r>
    </w:p>
    <w:p w:rsidR="0047436C" w:rsidRPr="0047436C" w:rsidRDefault="0047436C" w:rsidP="0047436C">
      <w:pPr>
        <w:spacing w:after="0" w:line="240" w:lineRule="auto"/>
        <w:jc w:val="both"/>
        <w:rPr>
          <w:rFonts w:eastAsiaTheme="minorEastAsia"/>
          <w:color w:val="FF66CC"/>
          <w:sz w:val="44"/>
          <w:szCs w:val="44"/>
          <w:lang w:eastAsia="pl-PL"/>
          <w14:shadow w14:blurRad="50800" w14:dist="38100" w14:dir="2700000" w14:sx="100000" w14:sy="100000" w14:kx="0" w14:ky="0" w14:algn="tl">
            <w14:srgbClr w14:val="000000">
              <w14:alpha w14:val="60000"/>
            </w14:srgbClr>
          </w14:shadow>
        </w:rPr>
      </w:pPr>
      <w:r w:rsidRPr="0047436C">
        <w:rPr>
          <w:rFonts w:eastAsiaTheme="minorEastAsia"/>
          <w:color w:val="FF66CC"/>
          <w:sz w:val="44"/>
          <w:szCs w:val="44"/>
          <w:lang w:eastAsia="pl-PL"/>
          <w14:shadow w14:blurRad="50800" w14:dist="38100" w14:dir="2700000" w14:sx="100000" w14:sy="100000" w14:kx="0" w14:ky="0" w14:algn="tl">
            <w14:srgbClr w14:val="000000">
              <w14:alpha w14:val="60000"/>
            </w14:srgbClr>
          </w14:shadow>
        </w:rPr>
        <w:t>STALPRODUKT</w:t>
      </w:r>
    </w:p>
    <w:p w:rsidR="0047436C" w:rsidRPr="0047436C" w:rsidRDefault="0047436C" w:rsidP="0047436C">
      <w:pPr>
        <w:spacing w:after="0" w:line="240" w:lineRule="auto"/>
        <w:jc w:val="both"/>
        <w:rPr>
          <w:rFonts w:eastAsiaTheme="minorEastAsia"/>
          <w:color w:val="FF66CC"/>
          <w:sz w:val="44"/>
          <w:szCs w:val="44"/>
          <w:lang w:eastAsia="pl-PL"/>
          <w14:shadow w14:blurRad="50800" w14:dist="38100" w14:dir="2700000" w14:sx="100000" w14:sy="100000" w14:kx="0" w14:ky="0" w14:algn="tl">
            <w14:srgbClr w14:val="000000">
              <w14:alpha w14:val="60000"/>
            </w14:srgbClr>
          </w14:shadow>
        </w:rPr>
      </w:pPr>
      <w:r w:rsidRPr="0047436C">
        <w:rPr>
          <w:rFonts w:eastAsiaTheme="minorEastAsia"/>
          <w:color w:val="FF66CC"/>
          <w:sz w:val="44"/>
          <w:szCs w:val="44"/>
          <w:lang w:eastAsia="pl-PL"/>
          <w14:shadow w14:blurRad="50800" w14:dist="38100" w14:dir="2700000" w14:sx="100000" w14:sy="100000" w14:kx="0" w14:ky="0" w14:algn="tl">
            <w14:srgbClr w14:val="000000">
              <w14:alpha w14:val="60000"/>
            </w14:srgbClr>
          </w14:shadow>
        </w:rPr>
        <w:t>ELEKTROTIM</w:t>
      </w:r>
    </w:p>
    <w:p w:rsidR="0047436C" w:rsidRPr="0047436C" w:rsidRDefault="0047436C" w:rsidP="0047436C">
      <w:pPr>
        <w:spacing w:after="0" w:line="240" w:lineRule="auto"/>
        <w:jc w:val="both"/>
        <w:rPr>
          <w:rFonts w:eastAsiaTheme="minorEastAsia"/>
          <w:color w:val="FF66CC"/>
          <w:sz w:val="44"/>
          <w:szCs w:val="44"/>
          <w:lang w:eastAsia="pl-PL"/>
          <w14:shadow w14:blurRad="50800" w14:dist="38100" w14:dir="2700000" w14:sx="100000" w14:sy="100000" w14:kx="0" w14:ky="0" w14:algn="tl">
            <w14:srgbClr w14:val="000000">
              <w14:alpha w14:val="60000"/>
            </w14:srgbClr>
          </w14:shadow>
        </w:rPr>
      </w:pPr>
      <w:r w:rsidRPr="0047436C">
        <w:rPr>
          <w:rFonts w:eastAsiaTheme="minorEastAsia"/>
          <w:color w:val="FF66CC"/>
          <w:sz w:val="44"/>
          <w:szCs w:val="44"/>
          <w:lang w:eastAsia="pl-PL"/>
          <w14:shadow w14:blurRad="50800" w14:dist="38100" w14:dir="2700000" w14:sx="100000" w14:sy="100000" w14:kx="0" w14:ky="0" w14:algn="tl">
            <w14:srgbClr w14:val="000000">
              <w14:alpha w14:val="60000"/>
            </w14:srgbClr>
          </w14:shadow>
        </w:rPr>
        <w:t>RELPOL</w:t>
      </w:r>
    </w:p>
    <w:p w:rsidR="0047436C" w:rsidRPr="0047436C" w:rsidRDefault="0047436C" w:rsidP="0047436C">
      <w:pPr>
        <w:spacing w:after="0" w:line="240" w:lineRule="auto"/>
        <w:jc w:val="both"/>
        <w:rPr>
          <w:rFonts w:eastAsiaTheme="minorEastAsia"/>
          <w:color w:val="FF66CC"/>
          <w:sz w:val="44"/>
          <w:szCs w:val="44"/>
          <w:lang w:eastAsia="pl-PL"/>
          <w14:shadow w14:blurRad="50800" w14:dist="38100" w14:dir="2700000" w14:sx="100000" w14:sy="100000" w14:kx="0" w14:ky="0" w14:algn="tl">
            <w14:srgbClr w14:val="000000">
              <w14:alpha w14:val="60000"/>
            </w14:srgbClr>
          </w14:shadow>
        </w:rPr>
      </w:pPr>
      <w:r w:rsidRPr="0047436C">
        <w:rPr>
          <w:rFonts w:eastAsiaTheme="minorEastAsia"/>
          <w:color w:val="FF66CC"/>
          <w:sz w:val="44"/>
          <w:szCs w:val="44"/>
          <w:lang w:eastAsia="pl-PL"/>
          <w14:shadow w14:blurRad="50800" w14:dist="38100" w14:dir="2700000" w14:sx="100000" w14:sy="100000" w14:kx="0" w14:ky="0" w14:algn="tl">
            <w14:srgbClr w14:val="000000">
              <w14:alpha w14:val="60000"/>
            </w14:srgbClr>
          </w14:shadow>
        </w:rPr>
        <w:lastRenderedPageBreak/>
        <w:t>TAURON POLSKA ENERGIA</w:t>
      </w:r>
    </w:p>
    <w:p w:rsidR="0047436C" w:rsidRPr="0047436C" w:rsidRDefault="0047436C" w:rsidP="0047436C">
      <w:pPr>
        <w:spacing w:after="0" w:line="240" w:lineRule="auto"/>
        <w:jc w:val="both"/>
        <w:rPr>
          <w:rFonts w:eastAsiaTheme="minorEastAsia"/>
          <w:color w:val="FF66CC"/>
          <w:sz w:val="44"/>
          <w:szCs w:val="44"/>
          <w:lang w:val="en-US" w:eastAsia="pl-PL"/>
          <w14:shadow w14:blurRad="50800" w14:dist="38100" w14:dir="2700000" w14:sx="100000" w14:sy="100000" w14:kx="0" w14:ky="0" w14:algn="tl">
            <w14:srgbClr w14:val="000000">
              <w14:alpha w14:val="60000"/>
            </w14:srgbClr>
          </w14:shadow>
        </w:rPr>
      </w:pPr>
      <w:r w:rsidRPr="0047436C">
        <w:rPr>
          <w:rFonts w:eastAsiaTheme="minorEastAsia"/>
          <w:color w:val="FF66CC"/>
          <w:sz w:val="44"/>
          <w:szCs w:val="44"/>
          <w:lang w:val="en-US" w:eastAsia="pl-PL"/>
          <w14:shadow w14:blurRad="50800" w14:dist="38100" w14:dir="2700000" w14:sx="100000" w14:sy="100000" w14:kx="0" w14:ky="0" w14:algn="tl">
            <w14:srgbClr w14:val="000000">
              <w14:alpha w14:val="60000"/>
            </w14:srgbClr>
          </w14:shadow>
        </w:rPr>
        <w:t>TESGAS</w:t>
      </w:r>
    </w:p>
    <w:p w:rsidR="0047436C" w:rsidRPr="0047436C" w:rsidRDefault="0047436C" w:rsidP="0047436C">
      <w:pPr>
        <w:spacing w:after="0" w:line="240" w:lineRule="auto"/>
        <w:jc w:val="both"/>
        <w:rPr>
          <w:rFonts w:eastAsiaTheme="minorEastAsia"/>
          <w:color w:val="FF66CC"/>
          <w:sz w:val="44"/>
          <w:szCs w:val="44"/>
          <w:lang w:val="en-US" w:eastAsia="pl-PL"/>
          <w14:shadow w14:blurRad="50800" w14:dist="38100" w14:dir="2700000" w14:sx="100000" w14:sy="100000" w14:kx="0" w14:ky="0" w14:algn="tl">
            <w14:srgbClr w14:val="000000">
              <w14:alpha w14:val="60000"/>
            </w14:srgbClr>
          </w14:shadow>
        </w:rPr>
      </w:pPr>
      <w:r w:rsidRPr="0047436C">
        <w:rPr>
          <w:rFonts w:eastAsiaTheme="minorEastAsia"/>
          <w:color w:val="FF66CC"/>
          <w:sz w:val="44"/>
          <w:szCs w:val="44"/>
          <w:lang w:val="en-US" w:eastAsia="pl-PL"/>
          <w14:shadow w14:blurRad="50800" w14:dist="38100" w14:dir="2700000" w14:sx="100000" w14:sy="100000" w14:kx="0" w14:ky="0" w14:algn="tl">
            <w14:srgbClr w14:val="000000">
              <w14:alpha w14:val="60000"/>
            </w14:srgbClr>
          </w14:shadow>
        </w:rPr>
        <w:t xml:space="preserve">ENEA </w:t>
      </w:r>
    </w:p>
    <w:p w:rsidR="0047436C" w:rsidRPr="0047436C" w:rsidRDefault="0047436C" w:rsidP="0047436C">
      <w:pPr>
        <w:spacing w:after="0" w:line="240" w:lineRule="auto"/>
        <w:jc w:val="both"/>
        <w:rPr>
          <w:rFonts w:eastAsiaTheme="minorEastAsia"/>
          <w:color w:val="FF66CC"/>
          <w:sz w:val="44"/>
          <w:szCs w:val="44"/>
          <w:lang w:val="en-US" w:eastAsia="pl-PL"/>
          <w14:shadow w14:blurRad="50800" w14:dist="38100" w14:dir="2700000" w14:sx="100000" w14:sy="100000" w14:kx="0" w14:ky="0" w14:algn="tl">
            <w14:srgbClr w14:val="000000">
              <w14:alpha w14:val="60000"/>
            </w14:srgbClr>
          </w14:shadow>
        </w:rPr>
      </w:pPr>
      <w:r w:rsidRPr="0047436C">
        <w:rPr>
          <w:rFonts w:eastAsiaTheme="minorEastAsia"/>
          <w:color w:val="FF66CC"/>
          <w:sz w:val="44"/>
          <w:szCs w:val="44"/>
          <w:lang w:val="en-US" w:eastAsia="pl-PL"/>
          <w14:shadow w14:blurRad="50800" w14:dist="38100" w14:dir="2700000" w14:sx="100000" w14:sy="100000" w14:kx="0" w14:ky="0" w14:algn="tl">
            <w14:srgbClr w14:val="000000">
              <w14:alpha w14:val="60000"/>
            </w14:srgbClr>
          </w14:shadow>
        </w:rPr>
        <w:t xml:space="preserve">PROCAD </w:t>
      </w:r>
    </w:p>
    <w:p w:rsidR="0047436C" w:rsidRPr="0047436C" w:rsidRDefault="0047436C" w:rsidP="0047436C">
      <w:pPr>
        <w:spacing w:after="0" w:line="240" w:lineRule="auto"/>
        <w:jc w:val="both"/>
        <w:rPr>
          <w:rFonts w:eastAsiaTheme="minorEastAsia"/>
          <w:color w:val="FF66CC"/>
          <w:sz w:val="44"/>
          <w:szCs w:val="44"/>
          <w:lang w:val="en-US" w:eastAsia="pl-PL"/>
          <w14:shadow w14:blurRad="50800" w14:dist="38100" w14:dir="2700000" w14:sx="100000" w14:sy="100000" w14:kx="0" w14:ky="0" w14:algn="tl">
            <w14:srgbClr w14:val="000000">
              <w14:alpha w14:val="60000"/>
            </w14:srgbClr>
          </w14:shadow>
        </w:rPr>
      </w:pPr>
      <w:r w:rsidRPr="0047436C">
        <w:rPr>
          <w:rFonts w:eastAsiaTheme="minorEastAsia"/>
          <w:color w:val="FF66CC"/>
          <w:sz w:val="44"/>
          <w:szCs w:val="44"/>
          <w:lang w:val="en-US" w:eastAsia="pl-PL"/>
          <w14:shadow w14:blurRad="50800" w14:dist="38100" w14:dir="2700000" w14:sx="100000" w14:sy="100000" w14:kx="0" w14:ky="0" w14:algn="tl">
            <w14:srgbClr w14:val="000000">
              <w14:alpha w14:val="60000"/>
            </w14:srgbClr>
          </w14:shadow>
        </w:rPr>
        <w:t>PKO BP</w:t>
      </w:r>
    </w:p>
    <w:p w:rsidR="0047436C" w:rsidRPr="0047436C" w:rsidRDefault="0047436C" w:rsidP="0047436C">
      <w:pPr>
        <w:spacing w:after="0" w:line="240" w:lineRule="auto"/>
        <w:jc w:val="both"/>
        <w:rPr>
          <w:rFonts w:eastAsiaTheme="minorEastAsia"/>
          <w:color w:val="FF66CC"/>
          <w:sz w:val="44"/>
          <w:szCs w:val="44"/>
          <w:lang w:val="en-US" w:eastAsia="pl-PL"/>
          <w14:shadow w14:blurRad="50800" w14:dist="38100" w14:dir="2700000" w14:sx="100000" w14:sy="100000" w14:kx="0" w14:ky="0" w14:algn="tl">
            <w14:srgbClr w14:val="000000">
              <w14:alpha w14:val="60000"/>
            </w14:srgbClr>
          </w14:shadow>
        </w:rPr>
      </w:pPr>
      <w:r w:rsidRPr="0047436C">
        <w:rPr>
          <w:rFonts w:eastAsiaTheme="minorEastAsia"/>
          <w:color w:val="FF66CC"/>
          <w:sz w:val="44"/>
          <w:szCs w:val="44"/>
          <w:lang w:val="en-US" w:eastAsia="pl-PL"/>
          <w14:shadow w14:blurRad="50800" w14:dist="38100" w14:dir="2700000" w14:sx="100000" w14:sy="100000" w14:kx="0" w14:ky="0" w14:algn="tl">
            <w14:srgbClr w14:val="000000">
              <w14:alpha w14:val="60000"/>
            </w14:srgbClr>
          </w14:shadow>
        </w:rPr>
        <w:t>MERCOR</w:t>
      </w:r>
    </w:p>
    <w:p w:rsidR="0047436C" w:rsidRPr="0047436C" w:rsidRDefault="0047436C" w:rsidP="0047436C">
      <w:pPr>
        <w:spacing w:after="0" w:line="240" w:lineRule="auto"/>
        <w:jc w:val="both"/>
        <w:rPr>
          <w:rFonts w:eastAsiaTheme="minorEastAsia"/>
          <w:color w:val="FF66CC"/>
          <w:sz w:val="44"/>
          <w:szCs w:val="44"/>
          <w:lang w:eastAsia="pl-PL"/>
          <w14:shadow w14:blurRad="50800" w14:dist="38100" w14:dir="2700000" w14:sx="100000" w14:sy="100000" w14:kx="0" w14:ky="0" w14:algn="tl">
            <w14:srgbClr w14:val="000000">
              <w14:alpha w14:val="60000"/>
            </w14:srgbClr>
          </w14:shadow>
        </w:rPr>
      </w:pPr>
      <w:r w:rsidRPr="0047436C">
        <w:rPr>
          <w:rFonts w:eastAsiaTheme="minorEastAsia"/>
          <w:color w:val="FF66CC"/>
          <w:sz w:val="44"/>
          <w:szCs w:val="44"/>
          <w:lang w:eastAsia="pl-PL"/>
          <w14:shadow w14:blurRad="50800" w14:dist="38100" w14:dir="2700000" w14:sx="100000" w14:sy="100000" w14:kx="0" w14:ky="0" w14:algn="tl">
            <w14:srgbClr w14:val="000000">
              <w14:alpha w14:val="60000"/>
            </w14:srgbClr>
          </w14:shadow>
        </w:rPr>
        <w:t>COMARCH</w:t>
      </w:r>
    </w:p>
    <w:p w:rsidR="0047436C" w:rsidRPr="0047436C" w:rsidRDefault="0047436C" w:rsidP="0047436C">
      <w:pPr>
        <w:spacing w:after="0" w:line="240" w:lineRule="auto"/>
        <w:jc w:val="both"/>
        <w:rPr>
          <w:rFonts w:eastAsiaTheme="minorEastAsia"/>
          <w:color w:val="FF66CC"/>
          <w:sz w:val="44"/>
          <w:szCs w:val="44"/>
          <w:lang w:eastAsia="pl-PL"/>
          <w14:shadow w14:blurRad="50800" w14:dist="38100" w14:dir="2700000" w14:sx="100000" w14:sy="100000" w14:kx="0" w14:ky="0" w14:algn="tl">
            <w14:srgbClr w14:val="000000">
              <w14:alpha w14:val="60000"/>
            </w14:srgbClr>
          </w14:shadow>
        </w:rPr>
      </w:pPr>
      <w:r w:rsidRPr="0047436C">
        <w:rPr>
          <w:rFonts w:eastAsiaTheme="minorEastAsia"/>
          <w:color w:val="FF66CC"/>
          <w:sz w:val="44"/>
          <w:szCs w:val="44"/>
          <w:lang w:eastAsia="pl-PL"/>
          <w14:shadow w14:blurRad="50800" w14:dist="38100" w14:dir="2700000" w14:sx="100000" w14:sy="100000" w14:kx="0" w14:ky="0" w14:algn="tl">
            <w14:srgbClr w14:val="000000">
              <w14:alpha w14:val="60000"/>
            </w14:srgbClr>
          </w14:shadow>
        </w:rPr>
        <w:t>MUZA</w:t>
      </w:r>
    </w:p>
    <w:p w:rsidR="0047436C" w:rsidRPr="0047436C" w:rsidRDefault="0047436C" w:rsidP="0047436C">
      <w:pPr>
        <w:spacing w:after="0" w:line="240" w:lineRule="auto"/>
        <w:jc w:val="both"/>
        <w:rPr>
          <w:rFonts w:eastAsiaTheme="minorEastAsia"/>
          <w:color w:val="FF66CC"/>
          <w:sz w:val="44"/>
          <w:szCs w:val="44"/>
          <w:lang w:eastAsia="pl-PL"/>
          <w14:shadow w14:blurRad="50800" w14:dist="38100" w14:dir="2700000" w14:sx="100000" w14:sy="100000" w14:kx="0" w14:ky="0" w14:algn="tl">
            <w14:srgbClr w14:val="000000">
              <w14:alpha w14:val="60000"/>
            </w14:srgbClr>
          </w14:shadow>
        </w:rPr>
      </w:pPr>
      <w:r w:rsidRPr="0047436C">
        <w:rPr>
          <w:rFonts w:eastAsiaTheme="minorEastAsia"/>
          <w:color w:val="FF66CC"/>
          <w:sz w:val="44"/>
          <w:szCs w:val="44"/>
          <w:lang w:eastAsia="pl-PL"/>
          <w14:shadow w14:blurRad="50800" w14:dist="38100" w14:dir="2700000" w14:sx="100000" w14:sy="100000" w14:kx="0" w14:ky="0" w14:algn="tl">
            <w14:srgbClr w14:val="000000">
              <w14:alpha w14:val="60000"/>
            </w14:srgbClr>
          </w14:shadow>
        </w:rPr>
        <w:t>LUBAWA</w:t>
      </w:r>
    </w:p>
    <w:p w:rsidR="0047436C" w:rsidRPr="0047436C" w:rsidRDefault="0047436C" w:rsidP="0047436C">
      <w:pPr>
        <w:spacing w:after="0" w:line="240" w:lineRule="auto"/>
        <w:jc w:val="both"/>
        <w:rPr>
          <w:rFonts w:eastAsiaTheme="minorEastAsia"/>
          <w:color w:val="FF66CC"/>
          <w:sz w:val="44"/>
          <w:szCs w:val="44"/>
          <w:lang w:eastAsia="pl-PL"/>
          <w14:shadow w14:blurRad="50800" w14:dist="38100" w14:dir="2700000" w14:sx="100000" w14:sy="100000" w14:kx="0" w14:ky="0" w14:algn="tl">
            <w14:srgbClr w14:val="000000">
              <w14:alpha w14:val="60000"/>
            </w14:srgbClr>
          </w14:shadow>
        </w:rPr>
      </w:pPr>
      <w:r w:rsidRPr="0047436C">
        <w:rPr>
          <w:rFonts w:eastAsiaTheme="minorEastAsia"/>
          <w:color w:val="FF66CC"/>
          <w:sz w:val="44"/>
          <w:szCs w:val="44"/>
          <w:lang w:eastAsia="pl-PL"/>
          <w14:shadow w14:blurRad="50800" w14:dist="38100" w14:dir="2700000" w14:sx="100000" w14:sy="100000" w14:kx="0" w14:ky="0" w14:algn="tl">
            <w14:srgbClr w14:val="000000">
              <w14:alpha w14:val="60000"/>
            </w14:srgbClr>
          </w14:shadow>
        </w:rPr>
        <w:t>ATREM</w:t>
      </w:r>
    </w:p>
    <w:p w:rsidR="0047436C" w:rsidRPr="0047436C" w:rsidRDefault="0047436C" w:rsidP="0047436C">
      <w:pPr>
        <w:spacing w:after="0" w:line="240" w:lineRule="auto"/>
        <w:jc w:val="both"/>
        <w:rPr>
          <w:rFonts w:eastAsiaTheme="minorEastAsia"/>
          <w:color w:val="FF66CC"/>
          <w:sz w:val="44"/>
          <w:szCs w:val="44"/>
          <w:lang w:eastAsia="pl-PL"/>
          <w14:shadow w14:blurRad="50800" w14:dist="38100" w14:dir="2700000" w14:sx="100000" w14:sy="100000" w14:kx="0" w14:ky="0" w14:algn="tl">
            <w14:srgbClr w14:val="000000">
              <w14:alpha w14:val="60000"/>
            </w14:srgbClr>
          </w14:shadow>
        </w:rPr>
      </w:pPr>
      <w:r w:rsidRPr="0047436C">
        <w:rPr>
          <w:rFonts w:eastAsiaTheme="minorEastAsia"/>
          <w:color w:val="FF66CC"/>
          <w:sz w:val="44"/>
          <w:szCs w:val="44"/>
          <w:lang w:eastAsia="pl-PL"/>
          <w14:shadow w14:blurRad="50800" w14:dist="38100" w14:dir="2700000" w14:sx="100000" w14:sy="100000" w14:kx="0" w14:ky="0" w14:algn="tl">
            <w14:srgbClr w14:val="000000">
              <w14:alpha w14:val="60000"/>
            </w14:srgbClr>
          </w14:shadow>
        </w:rPr>
        <w:t>MOSTOSTAL WARSZAWA</w:t>
      </w:r>
    </w:p>
    <w:p w:rsidR="0047436C" w:rsidRPr="0047436C" w:rsidRDefault="0047436C" w:rsidP="0047436C">
      <w:pPr>
        <w:spacing w:after="0" w:line="240" w:lineRule="auto"/>
        <w:jc w:val="both"/>
        <w:rPr>
          <w:rFonts w:eastAsiaTheme="minorEastAsia"/>
          <w:color w:val="FF66CC"/>
          <w:sz w:val="44"/>
          <w:szCs w:val="44"/>
          <w:lang w:eastAsia="pl-PL"/>
          <w14:shadow w14:blurRad="50800" w14:dist="38100" w14:dir="2700000" w14:sx="100000" w14:sy="100000" w14:kx="0" w14:ky="0" w14:algn="tl">
            <w14:srgbClr w14:val="000000">
              <w14:alpha w14:val="60000"/>
            </w14:srgbClr>
          </w14:shadow>
        </w:rPr>
      </w:pPr>
      <w:r w:rsidRPr="0047436C">
        <w:rPr>
          <w:rFonts w:eastAsiaTheme="minorEastAsia"/>
          <w:color w:val="FF66CC"/>
          <w:sz w:val="44"/>
          <w:szCs w:val="44"/>
          <w:lang w:eastAsia="pl-PL"/>
          <w14:shadow w14:blurRad="50800" w14:dist="38100" w14:dir="2700000" w14:sx="100000" w14:sy="100000" w14:kx="0" w14:ky="0" w14:algn="tl">
            <w14:srgbClr w14:val="000000">
              <w14:alpha w14:val="60000"/>
            </w14:srgbClr>
          </w14:shadow>
        </w:rPr>
        <w:t>CERAMIKA NOWA GALA</w:t>
      </w:r>
    </w:p>
    <w:p w:rsidR="0047436C" w:rsidRPr="0047436C" w:rsidRDefault="0047436C" w:rsidP="0047436C">
      <w:pPr>
        <w:spacing w:after="0" w:line="240" w:lineRule="auto"/>
        <w:jc w:val="both"/>
        <w:rPr>
          <w:rFonts w:eastAsiaTheme="minorEastAsia"/>
          <w:color w:val="FF66CC"/>
          <w:sz w:val="44"/>
          <w:szCs w:val="44"/>
          <w:lang w:eastAsia="pl-PL"/>
          <w14:shadow w14:blurRad="50800" w14:dist="38100" w14:dir="2700000" w14:sx="100000" w14:sy="100000" w14:kx="0" w14:ky="0" w14:algn="tl">
            <w14:srgbClr w14:val="000000">
              <w14:alpha w14:val="60000"/>
            </w14:srgbClr>
          </w14:shadow>
        </w:rPr>
      </w:pPr>
      <w:r w:rsidRPr="0047436C">
        <w:rPr>
          <w:rFonts w:eastAsiaTheme="minorEastAsia"/>
          <w:color w:val="FF66CC"/>
          <w:sz w:val="44"/>
          <w:szCs w:val="44"/>
          <w:lang w:eastAsia="pl-PL"/>
          <w14:shadow w14:blurRad="50800" w14:dist="38100" w14:dir="2700000" w14:sx="100000" w14:sy="100000" w14:kx="0" w14:ky="0" w14:algn="tl">
            <w14:srgbClr w14:val="000000">
              <w14:alpha w14:val="60000"/>
            </w14:srgbClr>
          </w14:shadow>
        </w:rPr>
        <w:t>POLNORD</w:t>
      </w:r>
    </w:p>
    <w:p w:rsidR="0047436C" w:rsidRPr="0047436C" w:rsidRDefault="0047436C" w:rsidP="0047436C">
      <w:pPr>
        <w:spacing w:after="0" w:line="240" w:lineRule="auto"/>
        <w:jc w:val="both"/>
        <w:rPr>
          <w:rFonts w:eastAsiaTheme="minorEastAsia"/>
          <w:color w:val="FF66CC"/>
          <w:sz w:val="44"/>
          <w:szCs w:val="44"/>
          <w:lang w:eastAsia="pl-PL"/>
          <w14:shadow w14:blurRad="50800" w14:dist="38100" w14:dir="2700000" w14:sx="100000" w14:sy="100000" w14:kx="0" w14:ky="0" w14:algn="tl">
            <w14:srgbClr w14:val="000000">
              <w14:alpha w14:val="60000"/>
            </w14:srgbClr>
          </w14:shadow>
        </w:rPr>
      </w:pPr>
      <w:r w:rsidRPr="0047436C">
        <w:rPr>
          <w:rFonts w:eastAsiaTheme="minorEastAsia"/>
          <w:color w:val="FF66CC"/>
          <w:sz w:val="44"/>
          <w:szCs w:val="44"/>
          <w:lang w:eastAsia="pl-PL"/>
          <w14:shadow w14:blurRad="50800" w14:dist="38100" w14:dir="2700000" w14:sx="100000" w14:sy="100000" w14:kx="0" w14:ky="0" w14:algn="tl">
            <w14:srgbClr w14:val="000000">
              <w14:alpha w14:val="60000"/>
            </w14:srgbClr>
          </w14:shadow>
        </w:rPr>
        <w:t>TIM</w:t>
      </w:r>
    </w:p>
    <w:p w:rsidR="0047436C" w:rsidRPr="0047436C" w:rsidRDefault="0047436C" w:rsidP="0047436C">
      <w:pPr>
        <w:spacing w:after="0" w:line="240" w:lineRule="auto"/>
        <w:jc w:val="both"/>
        <w:rPr>
          <w:rFonts w:eastAsiaTheme="minorEastAsia"/>
          <w:color w:val="FF66CC"/>
          <w:sz w:val="44"/>
          <w:szCs w:val="44"/>
          <w:lang w:eastAsia="pl-PL"/>
          <w14:shadow w14:blurRad="50800" w14:dist="38100" w14:dir="2700000" w14:sx="100000" w14:sy="100000" w14:kx="0" w14:ky="0" w14:algn="tl">
            <w14:srgbClr w14:val="000000">
              <w14:alpha w14:val="60000"/>
            </w14:srgbClr>
          </w14:shadow>
        </w:rPr>
      </w:pPr>
      <w:r w:rsidRPr="0047436C">
        <w:rPr>
          <w:rFonts w:eastAsiaTheme="minorEastAsia"/>
          <w:color w:val="FF66CC"/>
          <w:sz w:val="44"/>
          <w:szCs w:val="44"/>
          <w:lang w:eastAsia="pl-PL"/>
          <w14:shadow w14:blurRad="50800" w14:dist="38100" w14:dir="2700000" w14:sx="100000" w14:sy="100000" w14:kx="0" w14:ky="0" w14:algn="tl">
            <w14:srgbClr w14:val="000000">
              <w14:alpha w14:val="60000"/>
            </w14:srgbClr>
          </w14:shadow>
        </w:rPr>
        <w:t>UNIMA 2000</w:t>
      </w:r>
    </w:p>
    <w:p w:rsidR="0047436C" w:rsidRPr="0047436C" w:rsidRDefault="0047436C" w:rsidP="0047436C">
      <w:pPr>
        <w:spacing w:after="0" w:line="240" w:lineRule="auto"/>
        <w:jc w:val="both"/>
        <w:rPr>
          <w:rFonts w:eastAsiaTheme="minorEastAsia"/>
          <w:color w:val="FF66CC"/>
          <w:sz w:val="44"/>
          <w:szCs w:val="44"/>
          <w:lang w:eastAsia="pl-PL"/>
          <w14:shadow w14:blurRad="50800" w14:dist="38100" w14:dir="2700000" w14:sx="100000" w14:sy="100000" w14:kx="0" w14:ky="0" w14:algn="tl">
            <w14:srgbClr w14:val="000000">
              <w14:alpha w14:val="60000"/>
            </w14:srgbClr>
          </w14:shadow>
        </w:rPr>
      </w:pPr>
      <w:r w:rsidRPr="0047436C">
        <w:rPr>
          <w:rFonts w:eastAsiaTheme="minorEastAsia"/>
          <w:color w:val="FF66CC"/>
          <w:sz w:val="44"/>
          <w:szCs w:val="44"/>
          <w:lang w:eastAsia="pl-PL"/>
          <w14:shadow w14:blurRad="50800" w14:dist="38100" w14:dir="2700000" w14:sx="100000" w14:sy="100000" w14:kx="0" w14:ky="0" w14:algn="tl">
            <w14:srgbClr w14:val="000000">
              <w14:alpha w14:val="60000"/>
            </w14:srgbClr>
          </w14:shadow>
        </w:rPr>
        <w:t>ROPCZYCE</w:t>
      </w:r>
    </w:p>
    <w:p w:rsidR="0047436C" w:rsidRPr="0047436C" w:rsidRDefault="0047436C" w:rsidP="0047436C">
      <w:pPr>
        <w:spacing w:after="0" w:line="240" w:lineRule="auto"/>
        <w:jc w:val="both"/>
        <w:rPr>
          <w:rFonts w:eastAsiaTheme="minorEastAsia"/>
          <w:color w:val="FF66CC"/>
          <w:sz w:val="44"/>
          <w:szCs w:val="44"/>
          <w:lang w:eastAsia="pl-PL"/>
          <w14:shadow w14:blurRad="50800" w14:dist="38100" w14:dir="2700000" w14:sx="100000" w14:sy="100000" w14:kx="0" w14:ky="0" w14:algn="tl">
            <w14:srgbClr w14:val="000000">
              <w14:alpha w14:val="60000"/>
            </w14:srgbClr>
          </w14:shadow>
        </w:rPr>
      </w:pPr>
      <w:r w:rsidRPr="0047436C">
        <w:rPr>
          <w:rFonts w:eastAsiaTheme="minorEastAsia"/>
          <w:color w:val="FF66CC"/>
          <w:sz w:val="44"/>
          <w:szCs w:val="44"/>
          <w:lang w:eastAsia="pl-PL"/>
          <w14:shadow w14:blurRad="50800" w14:dist="38100" w14:dir="2700000" w14:sx="100000" w14:sy="100000" w14:kx="0" w14:ky="0" w14:algn="tl">
            <w14:srgbClr w14:val="000000">
              <w14:alpha w14:val="60000"/>
            </w14:srgbClr>
          </w14:shadow>
        </w:rPr>
        <w:t xml:space="preserve">EUROCASH </w:t>
      </w:r>
    </w:p>
    <w:p w:rsidR="0047436C" w:rsidRPr="0047436C" w:rsidRDefault="0047436C" w:rsidP="0047436C">
      <w:pPr>
        <w:spacing w:after="0" w:line="240" w:lineRule="auto"/>
        <w:jc w:val="both"/>
        <w:rPr>
          <w:rFonts w:eastAsiaTheme="minorEastAsia"/>
          <w:color w:val="FF66CC"/>
          <w:sz w:val="44"/>
          <w:szCs w:val="44"/>
          <w:lang w:eastAsia="pl-PL"/>
          <w14:shadow w14:blurRad="50800" w14:dist="38100" w14:dir="2700000" w14:sx="100000" w14:sy="100000" w14:kx="0" w14:ky="0" w14:algn="tl">
            <w14:srgbClr w14:val="000000">
              <w14:alpha w14:val="60000"/>
            </w14:srgbClr>
          </w14:shadow>
        </w:rPr>
      </w:pPr>
      <w:r w:rsidRPr="0047436C">
        <w:rPr>
          <w:rFonts w:eastAsiaTheme="minorEastAsia"/>
          <w:color w:val="FF66CC"/>
          <w:sz w:val="44"/>
          <w:szCs w:val="44"/>
          <w:lang w:eastAsia="pl-PL"/>
          <w14:shadow w14:blurRad="50800" w14:dist="38100" w14:dir="2700000" w14:sx="100000" w14:sy="100000" w14:kx="0" w14:ky="0" w14:algn="tl">
            <w14:srgbClr w14:val="000000">
              <w14:alpha w14:val="60000"/>
            </w14:srgbClr>
          </w14:shadow>
        </w:rPr>
        <w:t>AGORA</w:t>
      </w:r>
    </w:p>
    <w:p w:rsidR="0047436C" w:rsidRPr="0047436C" w:rsidRDefault="0047436C" w:rsidP="0047436C">
      <w:pPr>
        <w:spacing w:after="0" w:line="240" w:lineRule="auto"/>
        <w:jc w:val="both"/>
        <w:rPr>
          <w:rFonts w:eastAsiaTheme="minorEastAsia"/>
          <w:color w:val="000000" w:themeColor="text1"/>
          <w:sz w:val="44"/>
          <w:szCs w:val="44"/>
          <w:lang w:eastAsia="pl-PL"/>
          <w14:shadow w14:blurRad="50800" w14:dist="38100" w14:dir="2700000" w14:sx="100000" w14:sy="100000" w14:kx="0" w14:ky="0" w14:algn="tl">
            <w14:srgbClr w14:val="000000">
              <w14:alpha w14:val="60000"/>
            </w14:srgbClr>
          </w14:shadow>
        </w:rPr>
      </w:pPr>
      <w:r w:rsidRPr="0047436C">
        <w:rPr>
          <w:rFonts w:eastAsiaTheme="minorEastAsia"/>
          <w:color w:val="FF66CC"/>
          <w:sz w:val="44"/>
          <w:szCs w:val="44"/>
          <w:lang w:eastAsia="pl-PL"/>
          <w14:shadow w14:blurRad="50800" w14:dist="38100" w14:dir="2700000" w14:sx="100000" w14:sy="100000" w14:kx="0" w14:ky="0" w14:algn="tl">
            <w14:srgbClr w14:val="000000">
              <w14:alpha w14:val="60000"/>
            </w14:srgbClr>
          </w14:shadow>
        </w:rPr>
        <w:t xml:space="preserve">NETMEDIA </w:t>
      </w:r>
      <w:r w:rsidRPr="0047436C">
        <w:rPr>
          <w:rFonts w:eastAsiaTheme="minorEastAsia"/>
          <w:color w:val="000000" w:themeColor="text1"/>
          <w:sz w:val="44"/>
          <w:szCs w:val="44"/>
          <w:lang w:eastAsia="pl-PL"/>
          <w14:shadow w14:blurRad="50800" w14:dist="38100" w14:dir="2700000" w14:sx="100000" w14:sy="100000" w14:kx="0" w14:ky="0" w14:algn="tl">
            <w14:srgbClr w14:val="000000">
              <w14:alpha w14:val="60000"/>
            </w14:srgbClr>
          </w14:shadow>
        </w:rPr>
        <w:t xml:space="preserve">(po raz drugi) </w:t>
      </w:r>
    </w:p>
    <w:p w:rsidR="0047436C" w:rsidRPr="0047436C" w:rsidRDefault="0047436C" w:rsidP="0047436C">
      <w:pPr>
        <w:spacing w:after="0" w:line="240" w:lineRule="auto"/>
        <w:jc w:val="both"/>
        <w:rPr>
          <w:rFonts w:eastAsiaTheme="minorEastAsia"/>
          <w:color w:val="000000" w:themeColor="text1"/>
          <w:sz w:val="44"/>
          <w:szCs w:val="44"/>
          <w:lang w:eastAsia="pl-PL"/>
          <w14:shadow w14:blurRad="50800" w14:dist="38100" w14:dir="2700000" w14:sx="100000" w14:sy="100000" w14:kx="0" w14:ky="0" w14:algn="tl">
            <w14:srgbClr w14:val="000000">
              <w14:alpha w14:val="60000"/>
            </w14:srgbClr>
          </w14:shadow>
        </w:rPr>
      </w:pPr>
      <w:r w:rsidRPr="0047436C">
        <w:rPr>
          <w:rFonts w:eastAsiaTheme="minorEastAsia"/>
          <w:color w:val="FF66CC"/>
          <w:sz w:val="44"/>
          <w:szCs w:val="44"/>
          <w:lang w:eastAsia="pl-PL"/>
          <w14:shadow w14:blurRad="50800" w14:dist="38100" w14:dir="2700000" w14:sx="100000" w14:sy="100000" w14:kx="0" w14:ky="0" w14:algn="tl">
            <w14:srgbClr w14:val="000000">
              <w14:alpha w14:val="60000"/>
            </w14:srgbClr>
          </w14:shadow>
        </w:rPr>
        <w:t xml:space="preserve">STALPRODUKT </w:t>
      </w:r>
      <w:r w:rsidRPr="0047436C">
        <w:rPr>
          <w:rFonts w:eastAsiaTheme="minorEastAsia"/>
          <w:color w:val="000000" w:themeColor="text1"/>
          <w:sz w:val="44"/>
          <w:szCs w:val="44"/>
          <w:lang w:eastAsia="pl-PL"/>
          <w14:shadow w14:blurRad="50800" w14:dist="38100" w14:dir="2700000" w14:sx="100000" w14:sy="100000" w14:kx="0" w14:ky="0" w14:algn="tl">
            <w14:srgbClr w14:val="000000">
              <w14:alpha w14:val="60000"/>
            </w14:srgbClr>
          </w14:shadow>
        </w:rPr>
        <w:t xml:space="preserve">(po raz drugi) </w:t>
      </w:r>
    </w:p>
    <w:p w:rsidR="0047436C" w:rsidRPr="0047436C" w:rsidRDefault="0047436C" w:rsidP="0047436C">
      <w:pPr>
        <w:spacing w:after="0" w:line="240" w:lineRule="auto"/>
        <w:jc w:val="both"/>
        <w:rPr>
          <w:rFonts w:eastAsiaTheme="minorEastAsia"/>
          <w:color w:val="FF66CC"/>
          <w:sz w:val="44"/>
          <w:szCs w:val="44"/>
          <w:lang w:eastAsia="pl-PL"/>
          <w14:shadow w14:blurRad="50800" w14:dist="38100" w14:dir="2700000" w14:sx="100000" w14:sy="100000" w14:kx="0" w14:ky="0" w14:algn="tl">
            <w14:srgbClr w14:val="000000">
              <w14:alpha w14:val="60000"/>
            </w14:srgbClr>
          </w14:shadow>
        </w:rPr>
      </w:pPr>
      <w:r w:rsidRPr="0047436C">
        <w:rPr>
          <w:rFonts w:eastAsiaTheme="minorEastAsia"/>
          <w:color w:val="FF66CC"/>
          <w:sz w:val="44"/>
          <w:szCs w:val="44"/>
          <w:lang w:eastAsia="pl-PL"/>
          <w14:shadow w14:blurRad="50800" w14:dist="38100" w14:dir="2700000" w14:sx="100000" w14:sy="100000" w14:kx="0" w14:ky="0" w14:algn="tl">
            <w14:srgbClr w14:val="000000">
              <w14:alpha w14:val="60000"/>
            </w14:srgbClr>
          </w14:shadow>
        </w:rPr>
        <w:t>CYFROWY POLSAT</w:t>
      </w:r>
    </w:p>
    <w:p w:rsidR="0047436C" w:rsidRPr="0047436C" w:rsidRDefault="0047436C" w:rsidP="0047436C">
      <w:pPr>
        <w:spacing w:after="0" w:line="240" w:lineRule="auto"/>
        <w:jc w:val="both"/>
        <w:rPr>
          <w:rFonts w:eastAsiaTheme="minorEastAsia"/>
          <w:color w:val="FF66CC"/>
          <w:sz w:val="44"/>
          <w:szCs w:val="44"/>
          <w:lang w:eastAsia="pl-PL"/>
          <w14:shadow w14:blurRad="50800" w14:dist="38100" w14:dir="2700000" w14:sx="100000" w14:sy="100000" w14:kx="0" w14:ky="0" w14:algn="tl">
            <w14:srgbClr w14:val="000000">
              <w14:alpha w14:val="60000"/>
            </w14:srgbClr>
          </w14:shadow>
        </w:rPr>
      </w:pPr>
      <w:r w:rsidRPr="0047436C">
        <w:rPr>
          <w:rFonts w:eastAsiaTheme="minorEastAsia"/>
          <w:color w:val="FF66CC"/>
          <w:sz w:val="44"/>
          <w:szCs w:val="44"/>
          <w:lang w:eastAsia="pl-PL"/>
          <w14:shadow w14:blurRad="50800" w14:dist="38100" w14:dir="2700000" w14:sx="100000" w14:sy="100000" w14:kx="0" w14:ky="0" w14:algn="tl">
            <w14:srgbClr w14:val="000000">
              <w14:alpha w14:val="60000"/>
            </w14:srgbClr>
          </w14:shadow>
        </w:rPr>
        <w:t>DĘBICA</w:t>
      </w:r>
    </w:p>
    <w:p w:rsidR="0047436C" w:rsidRPr="0047436C" w:rsidRDefault="0047436C" w:rsidP="0047436C">
      <w:pPr>
        <w:spacing w:after="0" w:line="240" w:lineRule="auto"/>
        <w:jc w:val="both"/>
        <w:rPr>
          <w:rFonts w:eastAsiaTheme="minorEastAsia"/>
          <w:color w:val="FF66CC"/>
          <w:sz w:val="44"/>
          <w:szCs w:val="44"/>
          <w:lang w:eastAsia="pl-PL"/>
          <w14:shadow w14:blurRad="50800" w14:dist="38100" w14:dir="2700000" w14:sx="100000" w14:sy="100000" w14:kx="0" w14:ky="0" w14:algn="tl">
            <w14:srgbClr w14:val="000000">
              <w14:alpha w14:val="60000"/>
            </w14:srgbClr>
          </w14:shadow>
        </w:rPr>
      </w:pPr>
      <w:r w:rsidRPr="0047436C">
        <w:rPr>
          <w:rFonts w:eastAsiaTheme="minorEastAsia"/>
          <w:color w:val="FF66CC"/>
          <w:sz w:val="44"/>
          <w:szCs w:val="44"/>
          <w:lang w:eastAsia="pl-PL"/>
          <w14:shadow w14:blurRad="50800" w14:dist="38100" w14:dir="2700000" w14:sx="100000" w14:sy="100000" w14:kx="0" w14:ky="0" w14:algn="tl">
            <w14:srgbClr w14:val="000000">
              <w14:alpha w14:val="60000"/>
            </w14:srgbClr>
          </w14:shadow>
        </w:rPr>
        <w:t>ALTA</w:t>
      </w:r>
    </w:p>
    <w:p w:rsidR="0047436C" w:rsidRPr="0047436C" w:rsidRDefault="0047436C" w:rsidP="0047436C">
      <w:pPr>
        <w:spacing w:after="0" w:line="240" w:lineRule="auto"/>
        <w:jc w:val="both"/>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pPr>
      <w:r w:rsidRPr="0047436C">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lastRenderedPageBreak/>
        <w:t xml:space="preserve">Zmiana kursu akcji spółki w okresie 12 pierwszych miesięcy po wprowadzeniu spółki do rubryki </w:t>
      </w:r>
      <w:proofErr w:type="gramStart"/>
      <w:r w:rsidRPr="0047436C">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w:t>
      </w:r>
      <w:proofErr w:type="gramEnd"/>
      <w:r w:rsidRPr="0047436C">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Wykres do przemyślenia” oraz zmiana </w:t>
      </w:r>
      <w:r w:rsidRPr="0047436C">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 xml:space="preserve">indeksów: </w:t>
      </w:r>
      <w:r w:rsidRPr="0047436C">
        <w:rPr>
          <w:rFonts w:eastAsiaTheme="minorEastAsia"/>
          <w:b/>
          <w:color w:val="FF66CC"/>
          <w:sz w:val="50"/>
          <w:szCs w:val="50"/>
          <w:lang w:eastAsia="pl-PL"/>
          <w14:shadow w14:blurRad="50800" w14:dist="38100" w14:dir="2700000" w14:sx="100000" w14:sy="100000" w14:kx="0" w14:ky="0" w14:algn="tl">
            <w14:srgbClr w14:val="000000">
              <w14:alpha w14:val="60000"/>
            </w14:srgbClr>
          </w14:shadow>
        </w:rPr>
        <w:t>WIG 20, WIG, mWIG40 oraz sWIG80</w:t>
      </w:r>
      <w:r w:rsidRPr="0047436C">
        <w:rPr>
          <w:rFonts w:eastAsiaTheme="minorEastAsia"/>
          <w:color w:val="FF66CC"/>
          <w:sz w:val="50"/>
          <w:szCs w:val="50"/>
          <w:lang w:eastAsia="pl-PL"/>
          <w14:shadow w14:blurRad="50800" w14:dist="38100" w14:dir="2700000" w14:sx="100000" w14:sy="100000" w14:kx="0" w14:ky="0" w14:algn="tl">
            <w14:srgbClr w14:val="000000">
              <w14:alpha w14:val="60000"/>
            </w14:srgbClr>
          </w14:shadow>
        </w:rPr>
        <w:t xml:space="preserve"> </w:t>
      </w:r>
      <w:r w:rsidRPr="0047436C">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w tym okresie </w:t>
      </w:r>
    </w:p>
    <w:p w:rsidR="0047436C" w:rsidRPr="0047436C" w:rsidRDefault="0047436C" w:rsidP="0047436C">
      <w:pPr>
        <w:spacing w:after="0" w:line="240" w:lineRule="auto"/>
        <w:jc w:val="both"/>
        <w:rPr>
          <w:rFonts w:eastAsiaTheme="minorEastAsia"/>
          <w:color w:val="000000" w:themeColor="text1"/>
          <w:sz w:val="40"/>
          <w:szCs w:val="40"/>
          <w:lang w:eastAsia="pl-PL"/>
          <w14:shadow w14:blurRad="50800" w14:dist="38100" w14:dir="2700000" w14:sx="100000" w14:sy="100000" w14:kx="0" w14:ky="0" w14:algn="tl">
            <w14:srgbClr w14:val="000000">
              <w14:alpha w14:val="60000"/>
            </w14:srgbClr>
          </w14:shadow>
        </w:rPr>
      </w:pPr>
    </w:p>
    <w:p w:rsidR="0047436C" w:rsidRPr="0047436C" w:rsidRDefault="0047436C" w:rsidP="0047436C">
      <w:pPr>
        <w:spacing w:after="0" w:line="240" w:lineRule="auto"/>
        <w:jc w:val="both"/>
        <w:rPr>
          <w:rFonts w:eastAsiaTheme="minorEastAsia"/>
          <w:i/>
          <w:color w:val="000000" w:themeColor="text1"/>
          <w:sz w:val="36"/>
          <w:szCs w:val="36"/>
          <w:lang w:eastAsia="pl-PL"/>
          <w14:shadow w14:blurRad="50800" w14:dist="38100" w14:dir="2700000" w14:sx="100000" w14:sy="100000" w14:kx="0" w14:ky="0" w14:algn="tl">
            <w14:srgbClr w14:val="000000">
              <w14:alpha w14:val="60000"/>
            </w14:srgbClr>
          </w14:shadow>
        </w:rPr>
      </w:pPr>
      <w:r w:rsidRPr="0047436C">
        <w:rPr>
          <w:rFonts w:eastAsiaTheme="minorEastAsia"/>
          <w:i/>
          <w:color w:val="000000" w:themeColor="text1"/>
          <w:sz w:val="36"/>
          <w:szCs w:val="36"/>
          <w:lang w:eastAsia="pl-PL"/>
          <w14:shadow w14:blurRad="50800" w14:dist="38100" w14:dir="2700000" w14:sx="100000" w14:sy="100000" w14:kx="0" w14:ky="0" w14:algn="tl">
            <w14:srgbClr w14:val="000000">
              <w14:alpha w14:val="60000"/>
            </w14:srgbClr>
          </w14:shadow>
        </w:rPr>
        <w:t>(kolejność według kolejności wprowadzania do rubryki od najwcześniej wprowadzonych do najpóźniej wprowadzonych)</w:t>
      </w:r>
    </w:p>
    <w:p w:rsidR="0047436C" w:rsidRPr="0047436C" w:rsidRDefault="0047436C" w:rsidP="0047436C">
      <w:pPr>
        <w:spacing w:after="0" w:line="240" w:lineRule="auto"/>
        <w:jc w:val="both"/>
        <w:rPr>
          <w:rFonts w:eastAsiaTheme="minorEastAsia"/>
          <w:lang w:eastAsia="pl-PL"/>
        </w:rPr>
      </w:pPr>
    </w:p>
    <w:tbl>
      <w:tblPr>
        <w:tblStyle w:val="Tabela-Siatka"/>
        <w:tblW w:w="9220" w:type="dxa"/>
        <w:tblLook w:val="04A0" w:firstRow="1" w:lastRow="0" w:firstColumn="1" w:lastColumn="0" w:noHBand="0" w:noVBand="1"/>
      </w:tblPr>
      <w:tblGrid>
        <w:gridCol w:w="3070"/>
        <w:gridCol w:w="1230"/>
        <w:gridCol w:w="1230"/>
        <w:gridCol w:w="1230"/>
        <w:gridCol w:w="1230"/>
        <w:gridCol w:w="1230"/>
      </w:tblGrid>
      <w:tr w:rsidR="0047436C" w:rsidRPr="0047436C" w:rsidTr="00B46241">
        <w:tc>
          <w:tcPr>
            <w:tcW w:w="3070" w:type="dxa"/>
            <w:tcBorders>
              <w:top w:val="single" w:sz="4" w:space="0" w:color="auto"/>
              <w:left w:val="single" w:sz="4" w:space="0" w:color="auto"/>
              <w:bottom w:val="single" w:sz="4" w:space="0" w:color="auto"/>
              <w:right w:val="single" w:sz="4" w:space="0" w:color="auto"/>
            </w:tcBorders>
            <w:shd w:val="clear" w:color="auto" w:fill="FFFF00"/>
            <w:hideMark/>
          </w:tcPr>
          <w:p w:rsidR="0047436C" w:rsidRPr="0047436C" w:rsidRDefault="0047436C" w:rsidP="0047436C">
            <w:pPr>
              <w:jc w:val="center"/>
              <w:rPr>
                <w:rFonts w:eastAsiaTheme="minorEastAsia"/>
                <w:sz w:val="26"/>
                <w:szCs w:val="26"/>
              </w:rPr>
            </w:pPr>
            <w:r w:rsidRPr="0047436C">
              <w:rPr>
                <w:rFonts w:eastAsiaTheme="minorEastAsia"/>
                <w:sz w:val="26"/>
                <w:szCs w:val="26"/>
              </w:rPr>
              <w:t>Nazwa</w:t>
            </w:r>
          </w:p>
          <w:p w:rsidR="0047436C" w:rsidRPr="0047436C" w:rsidRDefault="0047436C" w:rsidP="0047436C">
            <w:pPr>
              <w:jc w:val="center"/>
              <w:rPr>
                <w:rFonts w:eastAsiaTheme="minorEastAsia"/>
                <w:sz w:val="26"/>
                <w:szCs w:val="26"/>
              </w:rPr>
            </w:pPr>
            <w:proofErr w:type="gramStart"/>
            <w:r w:rsidRPr="0047436C">
              <w:rPr>
                <w:rFonts w:eastAsiaTheme="minorEastAsia"/>
                <w:sz w:val="26"/>
                <w:szCs w:val="26"/>
              </w:rPr>
              <w:t>spółki</w:t>
            </w:r>
            <w:proofErr w:type="gramEnd"/>
            <w:r w:rsidRPr="0047436C">
              <w:rPr>
                <w:rFonts w:eastAsiaTheme="minorEastAsia"/>
                <w:sz w:val="26"/>
                <w:szCs w:val="26"/>
              </w:rPr>
              <w:t xml:space="preserve"> </w:t>
            </w:r>
          </w:p>
          <w:p w:rsidR="0047436C" w:rsidRPr="0047436C" w:rsidRDefault="0047436C" w:rsidP="0047436C">
            <w:pPr>
              <w:jc w:val="center"/>
              <w:rPr>
                <w:rFonts w:eastAsiaTheme="minorEastAsia"/>
                <w:sz w:val="26"/>
                <w:szCs w:val="26"/>
              </w:rPr>
            </w:pPr>
            <w:proofErr w:type="gramStart"/>
            <w:r w:rsidRPr="0047436C">
              <w:rPr>
                <w:rFonts w:eastAsiaTheme="minorEastAsia"/>
                <w:sz w:val="26"/>
                <w:szCs w:val="26"/>
              </w:rPr>
              <w:t>giełdowej</w:t>
            </w:r>
            <w:proofErr w:type="gramEnd"/>
            <w:r w:rsidRPr="0047436C">
              <w:rPr>
                <w:rFonts w:eastAsiaTheme="minorEastAsia"/>
                <w:sz w:val="26"/>
                <w:szCs w:val="26"/>
              </w:rPr>
              <w:t xml:space="preserve">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47436C" w:rsidRPr="0047436C" w:rsidRDefault="0047436C" w:rsidP="0047436C">
            <w:pPr>
              <w:jc w:val="center"/>
              <w:rPr>
                <w:rFonts w:eastAsiaTheme="minorEastAsia"/>
                <w:sz w:val="26"/>
                <w:szCs w:val="26"/>
              </w:rPr>
            </w:pPr>
            <w:r w:rsidRPr="0047436C">
              <w:rPr>
                <w:rFonts w:eastAsiaTheme="minorEastAsia"/>
                <w:sz w:val="26"/>
                <w:szCs w:val="26"/>
              </w:rPr>
              <w:t xml:space="preserve">Zmiana </w:t>
            </w:r>
          </w:p>
          <w:p w:rsidR="0047436C" w:rsidRPr="0047436C" w:rsidRDefault="0047436C" w:rsidP="0047436C">
            <w:pPr>
              <w:jc w:val="center"/>
              <w:rPr>
                <w:rFonts w:eastAsiaTheme="minorEastAsia"/>
                <w:sz w:val="26"/>
                <w:szCs w:val="26"/>
              </w:rPr>
            </w:pPr>
            <w:proofErr w:type="gramStart"/>
            <w:r w:rsidRPr="0047436C">
              <w:rPr>
                <w:rFonts w:eastAsiaTheme="minorEastAsia"/>
                <w:sz w:val="26"/>
                <w:szCs w:val="26"/>
              </w:rPr>
              <w:t>kursu</w:t>
            </w:r>
            <w:proofErr w:type="gramEnd"/>
            <w:r w:rsidRPr="0047436C">
              <w:rPr>
                <w:rFonts w:eastAsiaTheme="minorEastAsia"/>
                <w:sz w:val="26"/>
                <w:szCs w:val="26"/>
              </w:rPr>
              <w:t xml:space="preserve"> akcji w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47436C" w:rsidRPr="0047436C" w:rsidRDefault="0047436C" w:rsidP="0047436C">
            <w:pPr>
              <w:jc w:val="center"/>
              <w:rPr>
                <w:rFonts w:eastAsiaTheme="minorEastAsia"/>
                <w:sz w:val="26"/>
                <w:szCs w:val="26"/>
              </w:rPr>
            </w:pPr>
            <w:r w:rsidRPr="0047436C">
              <w:rPr>
                <w:rFonts w:eastAsiaTheme="minorEastAsia"/>
                <w:sz w:val="26"/>
                <w:szCs w:val="26"/>
              </w:rPr>
              <w:t xml:space="preserve">Zmiana </w:t>
            </w:r>
            <w:proofErr w:type="gramStart"/>
            <w:r w:rsidRPr="0047436C">
              <w:rPr>
                <w:rFonts w:eastAsiaTheme="minorEastAsia"/>
                <w:sz w:val="26"/>
                <w:szCs w:val="26"/>
              </w:rPr>
              <w:t>WIG-u 20  w</w:t>
            </w:r>
            <w:proofErr w:type="gramEnd"/>
            <w:r w:rsidRPr="0047436C">
              <w:rPr>
                <w:rFonts w:eastAsiaTheme="minorEastAsia"/>
                <w:sz w:val="26"/>
                <w:szCs w:val="26"/>
              </w:rPr>
              <w:t xml:space="preserve"> %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47436C" w:rsidRPr="0047436C" w:rsidRDefault="0047436C" w:rsidP="0047436C">
            <w:pPr>
              <w:rPr>
                <w:rFonts w:eastAsiaTheme="minorEastAsia"/>
                <w:sz w:val="26"/>
                <w:szCs w:val="26"/>
              </w:rPr>
            </w:pPr>
            <w:r w:rsidRPr="0047436C">
              <w:rPr>
                <w:rFonts w:eastAsiaTheme="minorEastAsia"/>
                <w:sz w:val="26"/>
                <w:szCs w:val="26"/>
              </w:rPr>
              <w:t xml:space="preserve">Zmiana WIG-u </w:t>
            </w:r>
          </w:p>
          <w:p w:rsidR="0047436C" w:rsidRPr="0047436C" w:rsidRDefault="0047436C" w:rsidP="0047436C">
            <w:pPr>
              <w:rPr>
                <w:rFonts w:eastAsiaTheme="minorEastAsia"/>
              </w:rPr>
            </w:pPr>
            <w:r w:rsidRPr="0047436C">
              <w:rPr>
                <w:rFonts w:eastAsiaTheme="minorEastAsia"/>
                <w:sz w:val="26"/>
                <w:szCs w:val="26"/>
              </w:rPr>
              <w:t xml:space="preserve"> </w:t>
            </w:r>
            <w:proofErr w:type="gramStart"/>
            <w:r w:rsidRPr="0047436C">
              <w:rPr>
                <w:rFonts w:eastAsiaTheme="minorEastAsia"/>
                <w:sz w:val="26"/>
                <w:szCs w:val="26"/>
              </w:rPr>
              <w:t>w</w:t>
            </w:r>
            <w:proofErr w:type="gramEnd"/>
            <w:r w:rsidRPr="0047436C">
              <w:rPr>
                <w:rFonts w:eastAsiaTheme="minorEastAsia"/>
                <w:sz w:val="26"/>
                <w:szCs w:val="26"/>
              </w:rPr>
              <w:t xml:space="preserve"> %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47436C" w:rsidRPr="0047436C" w:rsidRDefault="0047436C" w:rsidP="0047436C">
            <w:pPr>
              <w:rPr>
                <w:rFonts w:eastAsiaTheme="minorEastAsia"/>
              </w:rPr>
            </w:pPr>
            <w:r w:rsidRPr="0047436C">
              <w:rPr>
                <w:rFonts w:eastAsiaTheme="minorEastAsia"/>
                <w:sz w:val="26"/>
                <w:szCs w:val="26"/>
              </w:rPr>
              <w:t xml:space="preserve">Zmiana </w:t>
            </w:r>
            <w:proofErr w:type="spellStart"/>
            <w:proofErr w:type="gramStart"/>
            <w:r w:rsidRPr="0047436C">
              <w:rPr>
                <w:rFonts w:eastAsiaTheme="minorEastAsia"/>
                <w:sz w:val="26"/>
                <w:szCs w:val="26"/>
              </w:rPr>
              <w:t>mWIG</w:t>
            </w:r>
            <w:proofErr w:type="spellEnd"/>
            <w:r w:rsidRPr="0047436C">
              <w:rPr>
                <w:rFonts w:eastAsiaTheme="minorEastAsia"/>
                <w:sz w:val="26"/>
                <w:szCs w:val="26"/>
              </w:rPr>
              <w:t>-u 40  w</w:t>
            </w:r>
            <w:proofErr w:type="gramEnd"/>
            <w:r w:rsidRPr="0047436C">
              <w:rPr>
                <w:rFonts w:eastAsiaTheme="minorEastAsia"/>
                <w:sz w:val="26"/>
                <w:szCs w:val="26"/>
              </w:rPr>
              <w:t xml:space="preserve"> %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47436C" w:rsidRPr="0047436C" w:rsidRDefault="0047436C" w:rsidP="0047436C">
            <w:pPr>
              <w:rPr>
                <w:rFonts w:eastAsiaTheme="minorEastAsia"/>
                <w:sz w:val="26"/>
                <w:szCs w:val="26"/>
              </w:rPr>
            </w:pPr>
            <w:r w:rsidRPr="0047436C">
              <w:rPr>
                <w:rFonts w:eastAsiaTheme="minorEastAsia"/>
                <w:sz w:val="26"/>
                <w:szCs w:val="26"/>
              </w:rPr>
              <w:t xml:space="preserve">Zmiana </w:t>
            </w:r>
            <w:proofErr w:type="spellStart"/>
            <w:r w:rsidRPr="0047436C">
              <w:rPr>
                <w:rFonts w:eastAsiaTheme="minorEastAsia"/>
                <w:sz w:val="26"/>
                <w:szCs w:val="26"/>
              </w:rPr>
              <w:t>sWIG</w:t>
            </w:r>
            <w:proofErr w:type="spellEnd"/>
            <w:r w:rsidRPr="0047436C">
              <w:rPr>
                <w:rFonts w:eastAsiaTheme="minorEastAsia"/>
                <w:sz w:val="26"/>
                <w:szCs w:val="26"/>
              </w:rPr>
              <w:t xml:space="preserve">-u </w:t>
            </w:r>
          </w:p>
          <w:p w:rsidR="0047436C" w:rsidRPr="0047436C" w:rsidRDefault="0047436C" w:rsidP="0047436C">
            <w:pPr>
              <w:rPr>
                <w:rFonts w:eastAsiaTheme="minorEastAsia"/>
              </w:rPr>
            </w:pPr>
            <w:r w:rsidRPr="0047436C">
              <w:rPr>
                <w:rFonts w:eastAsiaTheme="minorEastAsia"/>
                <w:sz w:val="26"/>
                <w:szCs w:val="26"/>
              </w:rPr>
              <w:t xml:space="preserve"> 80 w % </w:t>
            </w:r>
          </w:p>
        </w:tc>
      </w:tr>
      <w:tr w:rsidR="0047436C" w:rsidRPr="0047436C" w:rsidTr="00B46241">
        <w:tc>
          <w:tcPr>
            <w:tcW w:w="307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IMMOBILE</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 xml:space="preserve">  15,2</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-15,5</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-6,7</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 xml:space="preserve"> 2,0</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8,2</w:t>
            </w:r>
          </w:p>
        </w:tc>
      </w:tr>
      <w:tr w:rsidR="0047436C" w:rsidRPr="0047436C" w:rsidTr="00B46241">
        <w:tc>
          <w:tcPr>
            <w:tcW w:w="307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LENA</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 xml:space="preserve">  11,3</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-15,5</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-6,7</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 xml:space="preserve"> 2,0</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8,2</w:t>
            </w:r>
          </w:p>
        </w:tc>
      </w:tr>
      <w:tr w:rsidR="0047436C" w:rsidRPr="0047436C" w:rsidTr="00B46241">
        <w:tc>
          <w:tcPr>
            <w:tcW w:w="307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NETMEDIA</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 xml:space="preserve">  55,4</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-15,5</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-6,7</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 xml:space="preserve"> 2,0</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8,2</w:t>
            </w:r>
          </w:p>
        </w:tc>
      </w:tr>
      <w:tr w:rsidR="0047436C" w:rsidRPr="0047436C" w:rsidTr="00B46241">
        <w:tc>
          <w:tcPr>
            <w:tcW w:w="307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RAFAKO</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 xml:space="preserve">  58,1</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-15,5</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-6,7</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 xml:space="preserve"> 2,0</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8,2</w:t>
            </w:r>
          </w:p>
        </w:tc>
      </w:tr>
      <w:tr w:rsidR="0047436C" w:rsidRPr="0047436C" w:rsidTr="00B46241">
        <w:tc>
          <w:tcPr>
            <w:tcW w:w="307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BORYSZEW</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-20,8</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-12,5</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-4,6</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 xml:space="preserve"> 2,8</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6,2</w:t>
            </w:r>
          </w:p>
        </w:tc>
      </w:tr>
      <w:tr w:rsidR="0047436C" w:rsidRPr="0047436C" w:rsidTr="00B46241">
        <w:tc>
          <w:tcPr>
            <w:tcW w:w="307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ERBUD</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 xml:space="preserve">  24,2</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-12,2</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-5,3</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 xml:space="preserve"> 1,7</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5,9</w:t>
            </w:r>
          </w:p>
        </w:tc>
      </w:tr>
      <w:tr w:rsidR="0047436C" w:rsidRPr="0047436C" w:rsidTr="00B46241">
        <w:tc>
          <w:tcPr>
            <w:tcW w:w="307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IF CAPITAL</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 xml:space="preserve">    2,3</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-13,2</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-7,8</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-1,3</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5,5</w:t>
            </w:r>
          </w:p>
        </w:tc>
      </w:tr>
      <w:tr w:rsidR="0047436C" w:rsidRPr="0047436C" w:rsidTr="00B46241">
        <w:tc>
          <w:tcPr>
            <w:tcW w:w="307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CAPITAL PARTNERS</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 xml:space="preserve">  29,7</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-15,8</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-8,7</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-1,5</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3,6</w:t>
            </w:r>
          </w:p>
        </w:tc>
      </w:tr>
      <w:tr w:rsidR="0047436C" w:rsidRPr="0047436C" w:rsidTr="00B46241">
        <w:tc>
          <w:tcPr>
            <w:tcW w:w="307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ASSECO POLAND</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 xml:space="preserve">  19,9</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-15,8</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-8,5</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-1,0</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3,7</w:t>
            </w:r>
          </w:p>
        </w:tc>
      </w:tr>
      <w:tr w:rsidR="0047436C" w:rsidRPr="0047436C" w:rsidTr="00B46241">
        <w:tc>
          <w:tcPr>
            <w:tcW w:w="307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CD PROJEKT</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 xml:space="preserve">  61,5</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-15,8</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-8,5</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-1,0</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3,7</w:t>
            </w:r>
          </w:p>
        </w:tc>
      </w:tr>
      <w:tr w:rsidR="0047436C" w:rsidRPr="0047436C" w:rsidTr="00B46241">
        <w:tc>
          <w:tcPr>
            <w:tcW w:w="307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SYGNITY</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-49,9</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-15,8</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-8,5</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-1,0</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3,7</w:t>
            </w:r>
          </w:p>
        </w:tc>
      </w:tr>
      <w:tr w:rsidR="0047436C" w:rsidRPr="0047436C" w:rsidTr="00B46241">
        <w:tc>
          <w:tcPr>
            <w:tcW w:w="307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STALPRODUKT</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 xml:space="preserve">  13,9</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-16,7</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-8,3</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-0,5</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5,0</w:t>
            </w:r>
          </w:p>
        </w:tc>
      </w:tr>
      <w:tr w:rsidR="0047436C" w:rsidRPr="0047436C" w:rsidTr="00B46241">
        <w:tc>
          <w:tcPr>
            <w:tcW w:w="307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TAURON PE</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-38,0</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-11,6</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-2,4</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 xml:space="preserve"> 8,1</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9,7</w:t>
            </w:r>
          </w:p>
        </w:tc>
      </w:tr>
      <w:tr w:rsidR="0047436C" w:rsidRPr="0047436C" w:rsidTr="00B46241">
        <w:tc>
          <w:tcPr>
            <w:tcW w:w="307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ELEKTROTIM</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114,5</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-13,1</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-2,4</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 xml:space="preserve"> 8,1</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9,7</w:t>
            </w:r>
          </w:p>
        </w:tc>
      </w:tr>
      <w:tr w:rsidR="0047436C" w:rsidRPr="0047436C" w:rsidTr="00B46241">
        <w:tc>
          <w:tcPr>
            <w:tcW w:w="307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RELPOL</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 xml:space="preserve">  -3,3</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-13,1</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-3,8</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 xml:space="preserve"> 6,5</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9,2</w:t>
            </w:r>
          </w:p>
        </w:tc>
      </w:tr>
      <w:tr w:rsidR="0047436C" w:rsidRPr="0047436C" w:rsidTr="00B46241">
        <w:tc>
          <w:tcPr>
            <w:tcW w:w="307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 xml:space="preserve">TESGAS </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-14,4</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-13,1</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-4,1</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 xml:space="preserve"> 6,0</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8,4</w:t>
            </w:r>
          </w:p>
        </w:tc>
      </w:tr>
      <w:tr w:rsidR="0047436C" w:rsidRPr="0047436C" w:rsidTr="00B46241">
        <w:tc>
          <w:tcPr>
            <w:tcW w:w="307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ENEA</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-19,8</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-16,4</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-6,8</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 xml:space="preserve"> 3,7</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sz w:val="24"/>
                <w:szCs w:val="24"/>
              </w:rPr>
            </w:pPr>
            <w:r w:rsidRPr="0047436C">
              <w:rPr>
                <w:rFonts w:eastAsiaTheme="minorEastAsia"/>
                <w:sz w:val="24"/>
                <w:szCs w:val="24"/>
              </w:rPr>
              <w:t>9,1</w:t>
            </w:r>
          </w:p>
        </w:tc>
      </w:tr>
      <w:tr w:rsidR="0047436C" w:rsidRPr="0047436C" w:rsidTr="00B46241">
        <w:tc>
          <w:tcPr>
            <w:tcW w:w="307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rPr>
            </w:pPr>
            <w:r w:rsidRPr="0047436C">
              <w:rPr>
                <w:rFonts w:eastAsiaTheme="minorEastAsia"/>
                <w:sz w:val="24"/>
                <w:szCs w:val="24"/>
              </w:rPr>
              <w:t>PROCAD</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 xml:space="preserve">  73,6</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-19,9</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-9,9</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2,0</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8,2</w:t>
            </w:r>
          </w:p>
        </w:tc>
      </w:tr>
      <w:tr w:rsidR="0047436C" w:rsidRPr="0047436C" w:rsidTr="00B46241">
        <w:tc>
          <w:tcPr>
            <w:tcW w:w="307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rPr>
            </w:pPr>
            <w:r w:rsidRPr="0047436C">
              <w:rPr>
                <w:rFonts w:eastAsiaTheme="minorEastAsia"/>
                <w:sz w:val="24"/>
                <w:szCs w:val="24"/>
              </w:rPr>
              <w:t>PKO BP</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-27,8</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-20,4</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-10,1</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2,3</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9,8</w:t>
            </w:r>
          </w:p>
        </w:tc>
      </w:tr>
      <w:tr w:rsidR="0047436C" w:rsidRPr="0047436C" w:rsidTr="00B46241">
        <w:tc>
          <w:tcPr>
            <w:tcW w:w="307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rPr>
            </w:pPr>
            <w:r w:rsidRPr="0047436C">
              <w:rPr>
                <w:rFonts w:eastAsiaTheme="minorEastAsia"/>
                <w:sz w:val="24"/>
                <w:szCs w:val="24"/>
              </w:rPr>
              <w:t>MERCOR</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 xml:space="preserve">  5,7</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-25,5</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-15,4</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-3,4</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4,5</w:t>
            </w:r>
          </w:p>
        </w:tc>
      </w:tr>
      <w:tr w:rsidR="0047436C" w:rsidRPr="0047436C" w:rsidTr="00B46241">
        <w:tc>
          <w:tcPr>
            <w:tcW w:w="307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rPr>
            </w:pPr>
            <w:r w:rsidRPr="0047436C">
              <w:rPr>
                <w:rFonts w:eastAsiaTheme="minorEastAsia"/>
                <w:sz w:val="24"/>
                <w:szCs w:val="24"/>
              </w:rPr>
              <w:t>COMARCH</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-1,3</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-19,7</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-9,6</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 xml:space="preserve"> 2,4</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9,1</w:t>
            </w:r>
          </w:p>
        </w:tc>
      </w:tr>
      <w:tr w:rsidR="0047436C" w:rsidRPr="0047436C" w:rsidTr="00B46241">
        <w:tc>
          <w:tcPr>
            <w:tcW w:w="307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rPr>
            </w:pPr>
            <w:r w:rsidRPr="0047436C">
              <w:rPr>
                <w:rFonts w:eastAsiaTheme="minorEastAsia"/>
                <w:sz w:val="24"/>
                <w:szCs w:val="24"/>
              </w:rPr>
              <w:t>MUZA</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-15,0</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-28,6</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-15,9</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-3,7</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4,1</w:t>
            </w:r>
          </w:p>
        </w:tc>
      </w:tr>
      <w:tr w:rsidR="0047436C" w:rsidRPr="0047436C" w:rsidTr="00B46241">
        <w:tc>
          <w:tcPr>
            <w:tcW w:w="307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rPr>
            </w:pPr>
            <w:r w:rsidRPr="0047436C">
              <w:rPr>
                <w:rFonts w:eastAsiaTheme="minorEastAsia"/>
                <w:sz w:val="24"/>
                <w:szCs w:val="24"/>
              </w:rPr>
              <w:t>LUBAWA</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-29,7</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-26,3</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-14,9</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-4,2</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-0,1</w:t>
            </w:r>
          </w:p>
        </w:tc>
      </w:tr>
      <w:tr w:rsidR="0047436C" w:rsidRPr="0047436C" w:rsidTr="00B46241">
        <w:tc>
          <w:tcPr>
            <w:tcW w:w="307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rPr>
            </w:pPr>
            <w:r w:rsidRPr="0047436C">
              <w:rPr>
                <w:rFonts w:eastAsiaTheme="minorEastAsia"/>
                <w:sz w:val="24"/>
                <w:szCs w:val="24"/>
              </w:rPr>
              <w:t>ATREM</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-11,1</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-24,5</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-15,6</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-5,1</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-1,8</w:t>
            </w:r>
          </w:p>
        </w:tc>
      </w:tr>
      <w:tr w:rsidR="0047436C" w:rsidRPr="0047436C" w:rsidTr="00B46241">
        <w:tc>
          <w:tcPr>
            <w:tcW w:w="307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rPr>
            </w:pPr>
            <w:r w:rsidRPr="0047436C">
              <w:rPr>
                <w:rFonts w:eastAsiaTheme="minorEastAsia"/>
                <w:sz w:val="24"/>
                <w:szCs w:val="24"/>
              </w:rPr>
              <w:t>MOSTOSTAL WARSZAWA</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100,1</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-22,6</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-14,9</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-6,7</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-5,0</w:t>
            </w:r>
          </w:p>
        </w:tc>
      </w:tr>
      <w:tr w:rsidR="0047436C" w:rsidRPr="0047436C" w:rsidTr="00B46241">
        <w:tc>
          <w:tcPr>
            <w:tcW w:w="3070" w:type="dxa"/>
            <w:tcBorders>
              <w:top w:val="single" w:sz="4" w:space="0" w:color="auto"/>
              <w:left w:val="single" w:sz="4" w:space="0" w:color="auto"/>
              <w:bottom w:val="single" w:sz="4" w:space="0" w:color="auto"/>
              <w:right w:val="single" w:sz="4" w:space="0" w:color="auto"/>
            </w:tcBorders>
            <w:shd w:val="clear" w:color="auto" w:fill="FFFF00"/>
            <w:hideMark/>
          </w:tcPr>
          <w:p w:rsidR="0047436C" w:rsidRPr="0047436C" w:rsidRDefault="0047436C" w:rsidP="0047436C">
            <w:pPr>
              <w:jc w:val="center"/>
              <w:rPr>
                <w:rFonts w:eastAsiaTheme="minorEastAsia"/>
                <w:sz w:val="26"/>
                <w:szCs w:val="26"/>
              </w:rPr>
            </w:pPr>
            <w:r w:rsidRPr="0047436C">
              <w:rPr>
                <w:rFonts w:eastAsiaTheme="minorEastAsia"/>
                <w:sz w:val="26"/>
                <w:szCs w:val="26"/>
              </w:rPr>
              <w:lastRenderedPageBreak/>
              <w:t>Nazwa</w:t>
            </w:r>
          </w:p>
          <w:p w:rsidR="0047436C" w:rsidRPr="0047436C" w:rsidRDefault="0047436C" w:rsidP="0047436C">
            <w:pPr>
              <w:jc w:val="center"/>
              <w:rPr>
                <w:rFonts w:eastAsiaTheme="minorEastAsia"/>
                <w:sz w:val="26"/>
                <w:szCs w:val="26"/>
              </w:rPr>
            </w:pPr>
            <w:proofErr w:type="gramStart"/>
            <w:r w:rsidRPr="0047436C">
              <w:rPr>
                <w:rFonts w:eastAsiaTheme="minorEastAsia"/>
                <w:sz w:val="26"/>
                <w:szCs w:val="26"/>
              </w:rPr>
              <w:t>spółki</w:t>
            </w:r>
            <w:proofErr w:type="gramEnd"/>
            <w:r w:rsidRPr="0047436C">
              <w:rPr>
                <w:rFonts w:eastAsiaTheme="minorEastAsia"/>
                <w:sz w:val="26"/>
                <w:szCs w:val="26"/>
              </w:rPr>
              <w:t xml:space="preserve"> </w:t>
            </w:r>
          </w:p>
          <w:p w:rsidR="0047436C" w:rsidRPr="0047436C" w:rsidRDefault="0047436C" w:rsidP="0047436C">
            <w:pPr>
              <w:jc w:val="center"/>
              <w:rPr>
                <w:rFonts w:eastAsiaTheme="minorEastAsia"/>
                <w:sz w:val="26"/>
                <w:szCs w:val="26"/>
              </w:rPr>
            </w:pPr>
            <w:proofErr w:type="gramStart"/>
            <w:r w:rsidRPr="0047436C">
              <w:rPr>
                <w:rFonts w:eastAsiaTheme="minorEastAsia"/>
                <w:sz w:val="26"/>
                <w:szCs w:val="26"/>
              </w:rPr>
              <w:t>giełdowej</w:t>
            </w:r>
            <w:proofErr w:type="gramEnd"/>
            <w:r w:rsidRPr="0047436C">
              <w:rPr>
                <w:rFonts w:eastAsiaTheme="minorEastAsia"/>
                <w:sz w:val="26"/>
                <w:szCs w:val="26"/>
              </w:rPr>
              <w:t xml:space="preserve">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47436C" w:rsidRPr="0047436C" w:rsidRDefault="0047436C" w:rsidP="0047436C">
            <w:pPr>
              <w:jc w:val="center"/>
              <w:rPr>
                <w:rFonts w:eastAsiaTheme="minorEastAsia"/>
                <w:sz w:val="26"/>
                <w:szCs w:val="26"/>
              </w:rPr>
            </w:pPr>
            <w:r w:rsidRPr="0047436C">
              <w:rPr>
                <w:rFonts w:eastAsiaTheme="minorEastAsia"/>
                <w:sz w:val="26"/>
                <w:szCs w:val="26"/>
              </w:rPr>
              <w:t xml:space="preserve">Zmiana </w:t>
            </w:r>
          </w:p>
          <w:p w:rsidR="0047436C" w:rsidRPr="0047436C" w:rsidRDefault="0047436C" w:rsidP="0047436C">
            <w:pPr>
              <w:jc w:val="center"/>
              <w:rPr>
                <w:rFonts w:eastAsiaTheme="minorEastAsia"/>
                <w:sz w:val="26"/>
                <w:szCs w:val="26"/>
              </w:rPr>
            </w:pPr>
            <w:proofErr w:type="gramStart"/>
            <w:r w:rsidRPr="0047436C">
              <w:rPr>
                <w:rFonts w:eastAsiaTheme="minorEastAsia"/>
                <w:sz w:val="26"/>
                <w:szCs w:val="26"/>
              </w:rPr>
              <w:t>kursu</w:t>
            </w:r>
            <w:proofErr w:type="gramEnd"/>
            <w:r w:rsidRPr="0047436C">
              <w:rPr>
                <w:rFonts w:eastAsiaTheme="minorEastAsia"/>
                <w:sz w:val="26"/>
                <w:szCs w:val="26"/>
              </w:rPr>
              <w:t xml:space="preserve"> akcji w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47436C" w:rsidRPr="0047436C" w:rsidRDefault="0047436C" w:rsidP="0047436C">
            <w:pPr>
              <w:jc w:val="center"/>
              <w:rPr>
                <w:rFonts w:eastAsiaTheme="minorEastAsia"/>
                <w:sz w:val="26"/>
                <w:szCs w:val="26"/>
              </w:rPr>
            </w:pPr>
            <w:r w:rsidRPr="0047436C">
              <w:rPr>
                <w:rFonts w:eastAsiaTheme="minorEastAsia"/>
                <w:sz w:val="26"/>
                <w:szCs w:val="26"/>
              </w:rPr>
              <w:t xml:space="preserve">Zmiana </w:t>
            </w:r>
            <w:proofErr w:type="gramStart"/>
            <w:r w:rsidRPr="0047436C">
              <w:rPr>
                <w:rFonts w:eastAsiaTheme="minorEastAsia"/>
                <w:sz w:val="26"/>
                <w:szCs w:val="26"/>
              </w:rPr>
              <w:t>WIG-u 20  w</w:t>
            </w:r>
            <w:proofErr w:type="gramEnd"/>
            <w:r w:rsidRPr="0047436C">
              <w:rPr>
                <w:rFonts w:eastAsiaTheme="minorEastAsia"/>
                <w:sz w:val="26"/>
                <w:szCs w:val="26"/>
              </w:rPr>
              <w:t xml:space="preserve"> %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47436C" w:rsidRPr="0047436C" w:rsidRDefault="0047436C" w:rsidP="0047436C">
            <w:pPr>
              <w:rPr>
                <w:rFonts w:eastAsiaTheme="minorEastAsia"/>
                <w:sz w:val="26"/>
                <w:szCs w:val="26"/>
              </w:rPr>
            </w:pPr>
            <w:r w:rsidRPr="0047436C">
              <w:rPr>
                <w:rFonts w:eastAsiaTheme="minorEastAsia"/>
                <w:sz w:val="26"/>
                <w:szCs w:val="26"/>
              </w:rPr>
              <w:t xml:space="preserve">Zmiana WIG-u </w:t>
            </w:r>
          </w:p>
          <w:p w:rsidR="0047436C" w:rsidRPr="0047436C" w:rsidRDefault="0047436C" w:rsidP="0047436C">
            <w:pPr>
              <w:rPr>
                <w:rFonts w:eastAsiaTheme="minorEastAsia"/>
              </w:rPr>
            </w:pPr>
            <w:r w:rsidRPr="0047436C">
              <w:rPr>
                <w:rFonts w:eastAsiaTheme="minorEastAsia"/>
                <w:sz w:val="26"/>
                <w:szCs w:val="26"/>
              </w:rPr>
              <w:t xml:space="preserve"> </w:t>
            </w:r>
            <w:proofErr w:type="gramStart"/>
            <w:r w:rsidRPr="0047436C">
              <w:rPr>
                <w:rFonts w:eastAsiaTheme="minorEastAsia"/>
                <w:sz w:val="26"/>
                <w:szCs w:val="26"/>
              </w:rPr>
              <w:t>w</w:t>
            </w:r>
            <w:proofErr w:type="gramEnd"/>
            <w:r w:rsidRPr="0047436C">
              <w:rPr>
                <w:rFonts w:eastAsiaTheme="minorEastAsia"/>
                <w:sz w:val="26"/>
                <w:szCs w:val="26"/>
              </w:rPr>
              <w:t xml:space="preserve"> %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47436C" w:rsidRPr="0047436C" w:rsidRDefault="0047436C" w:rsidP="0047436C">
            <w:pPr>
              <w:rPr>
                <w:rFonts w:eastAsiaTheme="minorEastAsia"/>
              </w:rPr>
            </w:pPr>
            <w:r w:rsidRPr="0047436C">
              <w:rPr>
                <w:rFonts w:eastAsiaTheme="minorEastAsia"/>
                <w:sz w:val="26"/>
                <w:szCs w:val="26"/>
              </w:rPr>
              <w:t xml:space="preserve">Zmiana </w:t>
            </w:r>
            <w:proofErr w:type="spellStart"/>
            <w:proofErr w:type="gramStart"/>
            <w:r w:rsidRPr="0047436C">
              <w:rPr>
                <w:rFonts w:eastAsiaTheme="minorEastAsia"/>
                <w:sz w:val="26"/>
                <w:szCs w:val="26"/>
              </w:rPr>
              <w:t>mWIG</w:t>
            </w:r>
            <w:proofErr w:type="spellEnd"/>
            <w:r w:rsidRPr="0047436C">
              <w:rPr>
                <w:rFonts w:eastAsiaTheme="minorEastAsia"/>
                <w:sz w:val="26"/>
                <w:szCs w:val="26"/>
              </w:rPr>
              <w:t>-u 40  w</w:t>
            </w:r>
            <w:proofErr w:type="gramEnd"/>
            <w:r w:rsidRPr="0047436C">
              <w:rPr>
                <w:rFonts w:eastAsiaTheme="minorEastAsia"/>
                <w:sz w:val="26"/>
                <w:szCs w:val="26"/>
              </w:rPr>
              <w:t xml:space="preserve"> %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47436C" w:rsidRPr="0047436C" w:rsidRDefault="0047436C" w:rsidP="0047436C">
            <w:pPr>
              <w:rPr>
                <w:rFonts w:eastAsiaTheme="minorEastAsia"/>
                <w:sz w:val="26"/>
                <w:szCs w:val="26"/>
              </w:rPr>
            </w:pPr>
            <w:r w:rsidRPr="0047436C">
              <w:rPr>
                <w:rFonts w:eastAsiaTheme="minorEastAsia"/>
                <w:sz w:val="26"/>
                <w:szCs w:val="26"/>
              </w:rPr>
              <w:t xml:space="preserve">Zmiana </w:t>
            </w:r>
            <w:proofErr w:type="spellStart"/>
            <w:r w:rsidRPr="0047436C">
              <w:rPr>
                <w:rFonts w:eastAsiaTheme="minorEastAsia"/>
                <w:sz w:val="26"/>
                <w:szCs w:val="26"/>
              </w:rPr>
              <w:t>sWIG</w:t>
            </w:r>
            <w:proofErr w:type="spellEnd"/>
            <w:r w:rsidRPr="0047436C">
              <w:rPr>
                <w:rFonts w:eastAsiaTheme="minorEastAsia"/>
                <w:sz w:val="26"/>
                <w:szCs w:val="26"/>
              </w:rPr>
              <w:t xml:space="preserve">-u </w:t>
            </w:r>
          </w:p>
          <w:p w:rsidR="0047436C" w:rsidRPr="0047436C" w:rsidRDefault="0047436C" w:rsidP="0047436C">
            <w:pPr>
              <w:rPr>
                <w:rFonts w:eastAsiaTheme="minorEastAsia"/>
              </w:rPr>
            </w:pPr>
            <w:r w:rsidRPr="0047436C">
              <w:rPr>
                <w:rFonts w:eastAsiaTheme="minorEastAsia"/>
                <w:sz w:val="26"/>
                <w:szCs w:val="26"/>
              </w:rPr>
              <w:t xml:space="preserve"> 80 w % </w:t>
            </w:r>
          </w:p>
        </w:tc>
      </w:tr>
      <w:tr w:rsidR="0047436C" w:rsidRPr="0047436C" w:rsidTr="00B46241">
        <w:tc>
          <w:tcPr>
            <w:tcW w:w="307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rPr>
            </w:pPr>
            <w:r w:rsidRPr="0047436C">
              <w:rPr>
                <w:rFonts w:eastAsiaTheme="minorEastAsia"/>
                <w:sz w:val="24"/>
                <w:szCs w:val="24"/>
              </w:rPr>
              <w:t xml:space="preserve">CERAMIKA NOWA GALA </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15,2</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-20,8</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-13,0</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-5,4</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 xml:space="preserve"> 0,2</w:t>
            </w:r>
          </w:p>
        </w:tc>
      </w:tr>
      <w:tr w:rsidR="0047436C" w:rsidRPr="0047436C" w:rsidTr="00B46241">
        <w:tc>
          <w:tcPr>
            <w:tcW w:w="307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rPr>
            </w:pPr>
            <w:r w:rsidRPr="0047436C">
              <w:rPr>
                <w:rFonts w:eastAsiaTheme="minorEastAsia"/>
                <w:sz w:val="24"/>
                <w:szCs w:val="24"/>
              </w:rPr>
              <w:t>POLNORD</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16,8</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-26,1</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-17,1</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-7,8</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-0,9</w:t>
            </w:r>
          </w:p>
        </w:tc>
      </w:tr>
      <w:tr w:rsidR="0047436C" w:rsidRPr="0047436C" w:rsidTr="00B46241">
        <w:tc>
          <w:tcPr>
            <w:tcW w:w="307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rPr>
            </w:pPr>
            <w:r w:rsidRPr="0047436C">
              <w:rPr>
                <w:rFonts w:eastAsiaTheme="minorEastAsia"/>
                <w:sz w:val="24"/>
                <w:szCs w:val="24"/>
              </w:rPr>
              <w:t>TIM</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19,6</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-24,5</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-16,1</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-7,9</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 xml:space="preserve"> 2,1</w:t>
            </w:r>
          </w:p>
        </w:tc>
      </w:tr>
      <w:tr w:rsidR="0047436C" w:rsidRPr="0047436C" w:rsidTr="00B46241">
        <w:tc>
          <w:tcPr>
            <w:tcW w:w="307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rPr>
            </w:pPr>
            <w:r w:rsidRPr="0047436C">
              <w:rPr>
                <w:rFonts w:eastAsiaTheme="minorEastAsia"/>
                <w:sz w:val="24"/>
                <w:szCs w:val="24"/>
              </w:rPr>
              <w:t>UNIMA 2000</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 xml:space="preserve"> -3,9</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-24,5</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-16,1</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-7,9</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 xml:space="preserve"> 2,1</w:t>
            </w:r>
          </w:p>
        </w:tc>
      </w:tr>
      <w:tr w:rsidR="0047436C" w:rsidRPr="0047436C" w:rsidTr="00B46241">
        <w:tc>
          <w:tcPr>
            <w:tcW w:w="307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rPr>
            </w:pPr>
            <w:r w:rsidRPr="0047436C">
              <w:rPr>
                <w:rFonts w:eastAsiaTheme="minorEastAsia"/>
                <w:sz w:val="24"/>
                <w:szCs w:val="24"/>
              </w:rPr>
              <w:t>ROPCZYCE</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 xml:space="preserve"> -5,1</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-24,5</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-16,1</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-7,9</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 xml:space="preserve"> 2,1</w:t>
            </w:r>
          </w:p>
        </w:tc>
      </w:tr>
      <w:tr w:rsidR="0047436C" w:rsidRPr="0047436C" w:rsidTr="00B46241">
        <w:tc>
          <w:tcPr>
            <w:tcW w:w="307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rPr>
            </w:pPr>
            <w:r w:rsidRPr="0047436C">
              <w:rPr>
                <w:rFonts w:eastAsiaTheme="minorEastAsia"/>
                <w:sz w:val="24"/>
                <w:szCs w:val="24"/>
              </w:rPr>
              <w:t xml:space="preserve">EUROCASH </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 xml:space="preserve"> -2,4</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-19,8</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-11,8</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-6,4</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 xml:space="preserve"> 1,4</w:t>
            </w:r>
          </w:p>
        </w:tc>
      </w:tr>
      <w:tr w:rsidR="0047436C" w:rsidRPr="0047436C" w:rsidTr="00B46241">
        <w:tc>
          <w:tcPr>
            <w:tcW w:w="307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rPr>
            </w:pPr>
            <w:r w:rsidRPr="0047436C">
              <w:rPr>
                <w:rFonts w:eastAsiaTheme="minorEastAsia"/>
                <w:sz w:val="24"/>
                <w:szCs w:val="24"/>
              </w:rPr>
              <w:t>AGORA</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 xml:space="preserve">  0,0</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sz w:val="24"/>
                <w:szCs w:val="24"/>
              </w:rPr>
            </w:pPr>
            <w:r w:rsidRPr="0047436C">
              <w:rPr>
                <w:sz w:val="24"/>
                <w:szCs w:val="24"/>
              </w:rPr>
              <w:t>-16,1</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sz w:val="24"/>
                <w:szCs w:val="24"/>
              </w:rPr>
            </w:pPr>
            <w:r w:rsidRPr="0047436C">
              <w:rPr>
                <w:sz w:val="24"/>
                <w:szCs w:val="24"/>
              </w:rPr>
              <w:t xml:space="preserve">  -5,4</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sz w:val="24"/>
                <w:szCs w:val="24"/>
              </w:rPr>
            </w:pPr>
            <w:r w:rsidRPr="0047436C">
              <w:rPr>
                <w:sz w:val="24"/>
                <w:szCs w:val="24"/>
              </w:rPr>
              <w:t xml:space="preserve">  8,7</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sz w:val="24"/>
                <w:szCs w:val="24"/>
              </w:rPr>
            </w:pPr>
            <w:r w:rsidRPr="0047436C">
              <w:rPr>
                <w:sz w:val="24"/>
                <w:szCs w:val="24"/>
              </w:rPr>
              <w:t xml:space="preserve"> 8,1</w:t>
            </w:r>
          </w:p>
        </w:tc>
      </w:tr>
      <w:tr w:rsidR="0047436C" w:rsidRPr="0047436C" w:rsidTr="00B46241">
        <w:tc>
          <w:tcPr>
            <w:tcW w:w="307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rPr>
            </w:pPr>
            <w:r w:rsidRPr="0047436C">
              <w:rPr>
                <w:rFonts w:eastAsiaTheme="minorEastAsia"/>
                <w:sz w:val="24"/>
                <w:szCs w:val="24"/>
              </w:rPr>
              <w:t>BZWBK</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rFonts w:eastAsiaTheme="minorEastAsia"/>
                <w:sz w:val="24"/>
                <w:szCs w:val="24"/>
                <w:lang w:eastAsia="pl-PL"/>
              </w:rPr>
            </w:pPr>
            <w:r w:rsidRPr="0047436C">
              <w:rPr>
                <w:rFonts w:eastAsiaTheme="minorEastAsia"/>
                <w:sz w:val="24"/>
                <w:szCs w:val="24"/>
                <w:lang w:eastAsia="pl-PL"/>
              </w:rPr>
              <w:t xml:space="preserve">  3,6</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sz w:val="24"/>
                <w:szCs w:val="24"/>
              </w:rPr>
            </w:pPr>
            <w:r w:rsidRPr="0047436C">
              <w:rPr>
                <w:sz w:val="24"/>
                <w:szCs w:val="24"/>
              </w:rPr>
              <w:t>-18,0</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sz w:val="24"/>
                <w:szCs w:val="24"/>
              </w:rPr>
            </w:pPr>
            <w:r w:rsidRPr="0047436C">
              <w:rPr>
                <w:sz w:val="24"/>
                <w:szCs w:val="24"/>
              </w:rPr>
              <w:t xml:space="preserve">  -7,0</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sz w:val="24"/>
                <w:szCs w:val="24"/>
              </w:rPr>
            </w:pPr>
            <w:r w:rsidRPr="0047436C">
              <w:rPr>
                <w:sz w:val="24"/>
                <w:szCs w:val="24"/>
              </w:rPr>
              <w:t xml:space="preserve">  8,2</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sz w:val="24"/>
                <w:szCs w:val="24"/>
              </w:rPr>
            </w:pPr>
            <w:r w:rsidRPr="0047436C">
              <w:rPr>
                <w:sz w:val="24"/>
                <w:szCs w:val="24"/>
              </w:rPr>
              <w:t xml:space="preserve"> 6,8</w:t>
            </w:r>
          </w:p>
        </w:tc>
      </w:tr>
      <w:tr w:rsidR="0047436C" w:rsidRPr="0047436C" w:rsidTr="00B46241">
        <w:tc>
          <w:tcPr>
            <w:tcW w:w="307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sz w:val="24"/>
                <w:szCs w:val="24"/>
              </w:rPr>
            </w:pPr>
            <w:r w:rsidRPr="0047436C">
              <w:rPr>
                <w:sz w:val="24"/>
                <w:szCs w:val="24"/>
              </w:rPr>
              <w:t>NETMEDIA</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sz w:val="24"/>
                <w:szCs w:val="24"/>
              </w:rPr>
            </w:pPr>
            <w:r w:rsidRPr="0047436C">
              <w:rPr>
                <w:sz w:val="24"/>
                <w:szCs w:val="24"/>
              </w:rPr>
              <w:t>15,8</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sz w:val="24"/>
                <w:szCs w:val="24"/>
              </w:rPr>
            </w:pPr>
            <w:r w:rsidRPr="0047436C">
              <w:rPr>
                <w:sz w:val="24"/>
                <w:szCs w:val="24"/>
              </w:rPr>
              <w:t>-17,6</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sz w:val="24"/>
                <w:szCs w:val="24"/>
              </w:rPr>
            </w:pPr>
            <w:r w:rsidRPr="0047436C">
              <w:rPr>
                <w:sz w:val="24"/>
                <w:szCs w:val="24"/>
              </w:rPr>
              <w:t xml:space="preserve">  -6,8</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sz w:val="24"/>
                <w:szCs w:val="24"/>
              </w:rPr>
            </w:pPr>
            <w:r w:rsidRPr="0047436C">
              <w:rPr>
                <w:sz w:val="24"/>
                <w:szCs w:val="24"/>
              </w:rPr>
              <w:t xml:space="preserve">  8,8</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sz w:val="24"/>
                <w:szCs w:val="24"/>
              </w:rPr>
            </w:pPr>
            <w:r w:rsidRPr="0047436C">
              <w:rPr>
                <w:sz w:val="24"/>
                <w:szCs w:val="24"/>
              </w:rPr>
              <w:t xml:space="preserve">  0,1</w:t>
            </w:r>
          </w:p>
        </w:tc>
      </w:tr>
      <w:tr w:rsidR="0047436C" w:rsidRPr="0047436C" w:rsidTr="00B46241">
        <w:tc>
          <w:tcPr>
            <w:tcW w:w="307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sz w:val="24"/>
                <w:szCs w:val="24"/>
              </w:rPr>
            </w:pPr>
            <w:r w:rsidRPr="0047436C">
              <w:rPr>
                <w:sz w:val="24"/>
                <w:szCs w:val="24"/>
              </w:rPr>
              <w:t>STALPRODUKT</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sz w:val="24"/>
                <w:szCs w:val="24"/>
              </w:rPr>
            </w:pPr>
            <w:r w:rsidRPr="0047436C">
              <w:rPr>
                <w:sz w:val="24"/>
                <w:szCs w:val="24"/>
              </w:rPr>
              <w:t>30,8</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sz w:val="24"/>
                <w:szCs w:val="24"/>
              </w:rPr>
            </w:pPr>
            <w:r w:rsidRPr="0047436C">
              <w:rPr>
                <w:sz w:val="24"/>
                <w:szCs w:val="24"/>
              </w:rPr>
              <w:t>-17,6</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sz w:val="24"/>
                <w:szCs w:val="24"/>
              </w:rPr>
            </w:pPr>
            <w:r w:rsidRPr="0047436C">
              <w:rPr>
                <w:sz w:val="24"/>
                <w:szCs w:val="24"/>
              </w:rPr>
              <w:t xml:space="preserve">  -6,8</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sz w:val="24"/>
                <w:szCs w:val="24"/>
              </w:rPr>
            </w:pPr>
            <w:r w:rsidRPr="0047436C">
              <w:rPr>
                <w:sz w:val="24"/>
                <w:szCs w:val="24"/>
              </w:rPr>
              <w:t xml:space="preserve">  8,8</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sz w:val="24"/>
                <w:szCs w:val="24"/>
              </w:rPr>
            </w:pPr>
            <w:r w:rsidRPr="0047436C">
              <w:rPr>
                <w:sz w:val="24"/>
                <w:szCs w:val="24"/>
              </w:rPr>
              <w:t xml:space="preserve">  0,1</w:t>
            </w:r>
          </w:p>
        </w:tc>
      </w:tr>
      <w:tr w:rsidR="0047436C" w:rsidRPr="0047436C" w:rsidTr="00B46241">
        <w:tc>
          <w:tcPr>
            <w:tcW w:w="307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sz w:val="24"/>
                <w:szCs w:val="24"/>
              </w:rPr>
            </w:pPr>
            <w:r w:rsidRPr="0047436C">
              <w:rPr>
                <w:sz w:val="24"/>
                <w:szCs w:val="24"/>
              </w:rPr>
              <w:t>CYFROWY POLSAT</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sz w:val="24"/>
                <w:szCs w:val="24"/>
              </w:rPr>
            </w:pPr>
            <w:r w:rsidRPr="0047436C">
              <w:rPr>
                <w:sz w:val="24"/>
                <w:szCs w:val="24"/>
              </w:rPr>
              <w:t>-4,5</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sz w:val="24"/>
                <w:szCs w:val="24"/>
              </w:rPr>
            </w:pPr>
            <w:r w:rsidRPr="0047436C">
              <w:rPr>
                <w:sz w:val="24"/>
                <w:szCs w:val="24"/>
              </w:rPr>
              <w:t>-18,6</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sz w:val="24"/>
                <w:szCs w:val="24"/>
              </w:rPr>
            </w:pPr>
            <w:r w:rsidRPr="0047436C">
              <w:rPr>
                <w:sz w:val="24"/>
                <w:szCs w:val="24"/>
              </w:rPr>
              <w:t xml:space="preserve">  -7,8</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sz w:val="24"/>
                <w:szCs w:val="24"/>
              </w:rPr>
            </w:pPr>
            <w:r w:rsidRPr="0047436C">
              <w:rPr>
                <w:sz w:val="24"/>
                <w:szCs w:val="24"/>
              </w:rPr>
              <w:t xml:space="preserve">  7,3</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sz w:val="24"/>
                <w:szCs w:val="24"/>
              </w:rPr>
            </w:pPr>
            <w:r w:rsidRPr="0047436C">
              <w:rPr>
                <w:sz w:val="24"/>
                <w:szCs w:val="24"/>
              </w:rPr>
              <w:t xml:space="preserve">  6,8</w:t>
            </w:r>
          </w:p>
        </w:tc>
      </w:tr>
      <w:tr w:rsidR="0047436C" w:rsidRPr="0047436C" w:rsidTr="00B46241">
        <w:tc>
          <w:tcPr>
            <w:tcW w:w="307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sz w:val="24"/>
                <w:szCs w:val="24"/>
              </w:rPr>
            </w:pPr>
            <w:r w:rsidRPr="0047436C">
              <w:rPr>
                <w:sz w:val="24"/>
                <w:szCs w:val="24"/>
              </w:rPr>
              <w:t>DĘBICA</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sz w:val="24"/>
                <w:szCs w:val="24"/>
              </w:rPr>
            </w:pPr>
            <w:r w:rsidRPr="0047436C">
              <w:rPr>
                <w:sz w:val="24"/>
                <w:szCs w:val="24"/>
              </w:rPr>
              <w:t>18,1</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sz w:val="24"/>
                <w:szCs w:val="24"/>
              </w:rPr>
            </w:pPr>
            <w:r w:rsidRPr="0047436C">
              <w:rPr>
                <w:sz w:val="24"/>
                <w:szCs w:val="24"/>
              </w:rPr>
              <w:t>-19,0</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sz w:val="24"/>
                <w:szCs w:val="24"/>
              </w:rPr>
            </w:pPr>
            <w:r w:rsidRPr="0047436C">
              <w:rPr>
                <w:sz w:val="24"/>
                <w:szCs w:val="24"/>
              </w:rPr>
              <w:t xml:space="preserve">  -8,0</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sz w:val="24"/>
                <w:szCs w:val="24"/>
              </w:rPr>
            </w:pPr>
            <w:r w:rsidRPr="0047436C">
              <w:rPr>
                <w:sz w:val="24"/>
                <w:szCs w:val="24"/>
              </w:rPr>
              <w:t xml:space="preserve">  7,7</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sz w:val="24"/>
                <w:szCs w:val="24"/>
              </w:rPr>
            </w:pPr>
            <w:r w:rsidRPr="0047436C">
              <w:rPr>
                <w:sz w:val="24"/>
                <w:szCs w:val="24"/>
              </w:rPr>
              <w:t xml:space="preserve">  6,1</w:t>
            </w:r>
          </w:p>
        </w:tc>
      </w:tr>
      <w:tr w:rsidR="0047436C" w:rsidRPr="0047436C" w:rsidTr="00B46241">
        <w:tc>
          <w:tcPr>
            <w:tcW w:w="307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sz w:val="24"/>
                <w:szCs w:val="24"/>
              </w:rPr>
            </w:pPr>
            <w:r w:rsidRPr="0047436C">
              <w:rPr>
                <w:sz w:val="24"/>
                <w:szCs w:val="24"/>
              </w:rPr>
              <w:t xml:space="preserve">ALTA </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sz w:val="24"/>
                <w:szCs w:val="24"/>
              </w:rPr>
            </w:pPr>
            <w:r w:rsidRPr="0047436C">
              <w:rPr>
                <w:sz w:val="24"/>
                <w:szCs w:val="24"/>
              </w:rPr>
              <w:t>54,8</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sz w:val="24"/>
                <w:szCs w:val="24"/>
              </w:rPr>
            </w:pPr>
            <w:r w:rsidRPr="0047436C">
              <w:rPr>
                <w:sz w:val="24"/>
                <w:szCs w:val="24"/>
              </w:rPr>
              <w:t>-14,3</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sz w:val="24"/>
                <w:szCs w:val="24"/>
              </w:rPr>
            </w:pPr>
            <w:r w:rsidRPr="0047436C">
              <w:rPr>
                <w:sz w:val="24"/>
                <w:szCs w:val="24"/>
              </w:rPr>
              <w:t xml:space="preserve">  -4,9</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sz w:val="24"/>
                <w:szCs w:val="24"/>
              </w:rPr>
            </w:pPr>
            <w:r w:rsidRPr="0047436C">
              <w:rPr>
                <w:sz w:val="24"/>
                <w:szCs w:val="24"/>
              </w:rPr>
              <w:t xml:space="preserve">  8,1</w:t>
            </w:r>
          </w:p>
        </w:tc>
        <w:tc>
          <w:tcPr>
            <w:tcW w:w="1230" w:type="dxa"/>
            <w:tcBorders>
              <w:top w:val="single" w:sz="4" w:space="0" w:color="auto"/>
              <w:left w:val="single" w:sz="4" w:space="0" w:color="auto"/>
              <w:bottom w:val="single" w:sz="4" w:space="0" w:color="auto"/>
              <w:right w:val="single" w:sz="4" w:space="0" w:color="auto"/>
            </w:tcBorders>
          </w:tcPr>
          <w:p w:rsidR="0047436C" w:rsidRPr="0047436C" w:rsidRDefault="0047436C" w:rsidP="0047436C">
            <w:pPr>
              <w:jc w:val="center"/>
              <w:rPr>
                <w:sz w:val="24"/>
                <w:szCs w:val="24"/>
              </w:rPr>
            </w:pPr>
            <w:r w:rsidRPr="0047436C">
              <w:rPr>
                <w:sz w:val="24"/>
                <w:szCs w:val="24"/>
              </w:rPr>
              <w:t xml:space="preserve">  2,8</w:t>
            </w:r>
          </w:p>
        </w:tc>
      </w:tr>
      <w:tr w:rsidR="0047436C" w:rsidRPr="0047436C" w:rsidTr="00B46241">
        <w:tc>
          <w:tcPr>
            <w:tcW w:w="307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color w:val="FF66CC"/>
                <w:sz w:val="40"/>
                <w:szCs w:val="40"/>
              </w:rPr>
            </w:pPr>
            <w:r w:rsidRPr="0047436C">
              <w:rPr>
                <w:rFonts w:ascii="Calibri" w:eastAsia="Times New Roman" w:hAnsi="Calibri" w:cs="Times New Roman"/>
                <w:color w:val="FF0000"/>
                <w:sz w:val="40"/>
                <w:szCs w:val="40"/>
                <w14:shadow w14:blurRad="50800" w14:dist="38100" w14:dir="2700000" w14:sx="100000" w14:sy="100000" w14:kx="0" w14:ky="0" w14:algn="tl">
                  <w14:srgbClr w14:val="000000">
                    <w14:alpha w14:val="60000"/>
                  </w14:srgbClr>
                </w14:shadow>
              </w:rPr>
              <w:t>ŚREDNIO</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b/>
                <w:sz w:val="40"/>
                <w:szCs w:val="40"/>
                <w:lang w:eastAsia="pl-PL"/>
              </w:rPr>
            </w:pPr>
            <w:r w:rsidRPr="0047436C">
              <w:rPr>
                <w:rFonts w:eastAsiaTheme="minorEastAsia"/>
                <w:b/>
                <w:sz w:val="40"/>
                <w:szCs w:val="40"/>
                <w:lang w:eastAsia="pl-PL"/>
              </w:rPr>
              <w:t>13,4</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b/>
                <w:sz w:val="40"/>
                <w:szCs w:val="40"/>
                <w:lang w:eastAsia="pl-PL"/>
              </w:rPr>
            </w:pPr>
            <w:r w:rsidRPr="0047436C">
              <w:rPr>
                <w:rFonts w:eastAsiaTheme="minorEastAsia"/>
                <w:b/>
                <w:sz w:val="40"/>
                <w:szCs w:val="40"/>
                <w:lang w:eastAsia="pl-PL"/>
              </w:rPr>
              <w:t>-18,3</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b/>
                <w:sz w:val="40"/>
                <w:szCs w:val="40"/>
                <w:lang w:eastAsia="pl-PL"/>
              </w:rPr>
            </w:pPr>
            <w:r w:rsidRPr="0047436C">
              <w:rPr>
                <w:rFonts w:eastAsiaTheme="minorEastAsia"/>
                <w:b/>
                <w:sz w:val="40"/>
                <w:szCs w:val="40"/>
                <w:lang w:eastAsia="pl-PL"/>
              </w:rPr>
              <w:t>-9,2</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b/>
                <w:sz w:val="40"/>
                <w:szCs w:val="40"/>
                <w:lang w:eastAsia="pl-PL"/>
              </w:rPr>
            </w:pPr>
            <w:r w:rsidRPr="0047436C">
              <w:rPr>
                <w:rFonts w:eastAsiaTheme="minorEastAsia"/>
                <w:b/>
                <w:sz w:val="40"/>
                <w:szCs w:val="40"/>
                <w:lang w:eastAsia="pl-PL"/>
              </w:rPr>
              <w:t>0,8</w:t>
            </w:r>
          </w:p>
        </w:tc>
        <w:tc>
          <w:tcPr>
            <w:tcW w:w="1230" w:type="dxa"/>
            <w:tcBorders>
              <w:top w:val="single" w:sz="4" w:space="0" w:color="auto"/>
              <w:left w:val="single" w:sz="4" w:space="0" w:color="auto"/>
              <w:bottom w:val="single" w:sz="4" w:space="0" w:color="auto"/>
              <w:right w:val="single" w:sz="4" w:space="0" w:color="auto"/>
            </w:tcBorders>
            <w:hideMark/>
          </w:tcPr>
          <w:p w:rsidR="0047436C" w:rsidRPr="0047436C" w:rsidRDefault="0047436C" w:rsidP="0047436C">
            <w:pPr>
              <w:jc w:val="center"/>
              <w:rPr>
                <w:rFonts w:eastAsiaTheme="minorEastAsia"/>
                <w:b/>
                <w:sz w:val="40"/>
                <w:szCs w:val="40"/>
                <w:lang w:eastAsia="pl-PL"/>
              </w:rPr>
            </w:pPr>
            <w:r w:rsidRPr="0047436C">
              <w:rPr>
                <w:rFonts w:eastAsiaTheme="minorEastAsia"/>
                <w:b/>
                <w:sz w:val="40"/>
                <w:szCs w:val="40"/>
                <w:lang w:eastAsia="pl-PL"/>
              </w:rPr>
              <w:t>4,7</w:t>
            </w:r>
          </w:p>
        </w:tc>
      </w:tr>
    </w:tbl>
    <w:p w:rsidR="0047436C" w:rsidRPr="0047436C" w:rsidRDefault="0047436C" w:rsidP="0047436C">
      <w:pPr>
        <w:spacing w:after="0" w:line="240" w:lineRule="auto"/>
        <w:jc w:val="both"/>
        <w:rPr>
          <w:rFonts w:eastAsiaTheme="minorEastAsia"/>
          <w:sz w:val="80"/>
          <w:szCs w:val="80"/>
          <w:u w:val="single"/>
          <w:lang w:eastAsia="pl-PL"/>
        </w:rPr>
      </w:pPr>
    </w:p>
    <w:p w:rsidR="0047436C" w:rsidRPr="0047436C" w:rsidRDefault="0047436C" w:rsidP="0047436C">
      <w:pPr>
        <w:spacing w:after="0" w:line="240" w:lineRule="auto"/>
        <w:jc w:val="both"/>
        <w:rPr>
          <w:rFonts w:eastAsiaTheme="minorEastAsia"/>
          <w:sz w:val="90"/>
          <w:szCs w:val="90"/>
          <w:u w:val="single"/>
          <w:lang w:eastAsia="pl-PL"/>
        </w:rPr>
      </w:pPr>
      <w:r w:rsidRPr="0047436C">
        <w:rPr>
          <w:rFonts w:eastAsiaTheme="minorEastAsia"/>
          <w:sz w:val="90"/>
          <w:szCs w:val="90"/>
          <w:u w:val="single"/>
          <w:lang w:eastAsia="pl-PL"/>
        </w:rPr>
        <w:t>Wniosek końcowy</w:t>
      </w:r>
    </w:p>
    <w:p w:rsidR="0047436C" w:rsidRPr="0047436C" w:rsidRDefault="0047436C" w:rsidP="0047436C">
      <w:pPr>
        <w:spacing w:after="0" w:line="240" w:lineRule="auto"/>
        <w:jc w:val="both"/>
        <w:rPr>
          <w:rFonts w:eastAsiaTheme="minorEastAsia"/>
          <w:color w:val="FF0000"/>
          <w:sz w:val="80"/>
          <w:szCs w:val="80"/>
          <w:u w:val="single"/>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7436C" w:rsidRPr="0047436C" w:rsidRDefault="0047436C" w:rsidP="0047436C">
      <w:pPr>
        <w:spacing w:after="0" w:line="240" w:lineRule="auto"/>
        <w:jc w:val="both"/>
        <w:rPr>
          <w:rFonts w:eastAsiaTheme="minorEastAsia"/>
          <w:color w:val="000000" w:themeColor="text1"/>
          <w:sz w:val="44"/>
          <w:szCs w:val="44"/>
          <w:lang w:eastAsia="pl-PL"/>
          <w14:shadow w14:blurRad="50800" w14:dist="38100" w14:dir="2700000" w14:sx="100000" w14:sy="100000" w14:kx="0" w14:ky="0" w14:algn="tl">
            <w14:srgbClr w14:val="000000">
              <w14:alpha w14:val="60000"/>
            </w14:srgbClr>
          </w14:shadow>
        </w:rPr>
      </w:pPr>
      <w:r w:rsidRPr="0047436C">
        <w:rPr>
          <w:rFonts w:eastAsiaTheme="minorEastAsia"/>
          <w:color w:val="000000" w:themeColor="text1"/>
          <w:sz w:val="44"/>
          <w:szCs w:val="44"/>
          <w:lang w:eastAsia="pl-PL"/>
          <w14:shadow w14:blurRad="50800" w14:dist="38100" w14:dir="2700000" w14:sx="100000" w14:sy="100000" w14:kx="0" w14:ky="0" w14:algn="tl">
            <w14:srgbClr w14:val="000000">
              <w14:alpha w14:val="60000"/>
            </w14:srgbClr>
          </w14:shadow>
        </w:rPr>
        <w:t xml:space="preserve">Procentowa zmiana kursu akcji spółki po wprowadzeniu jej do rubryki </w:t>
      </w:r>
      <w:proofErr w:type="gramStart"/>
      <w:r w:rsidRPr="0047436C">
        <w:rPr>
          <w:rFonts w:eastAsiaTheme="minorEastAsia"/>
          <w:color w:val="000000" w:themeColor="text1"/>
          <w:sz w:val="44"/>
          <w:szCs w:val="44"/>
          <w:lang w:eastAsia="pl-PL"/>
          <w14:shadow w14:blurRad="50800" w14:dist="38100" w14:dir="2700000" w14:sx="100000" w14:sy="100000" w14:kx="0" w14:ky="0" w14:algn="tl">
            <w14:srgbClr w14:val="000000">
              <w14:alpha w14:val="60000"/>
            </w14:srgbClr>
          </w14:shadow>
        </w:rPr>
        <w:t>,,</w:t>
      </w:r>
      <w:proofErr w:type="gramEnd"/>
      <w:r w:rsidRPr="0047436C">
        <w:rPr>
          <w:rFonts w:eastAsiaTheme="minorEastAsia"/>
          <w:color w:val="000000" w:themeColor="text1"/>
          <w:sz w:val="44"/>
          <w:szCs w:val="44"/>
          <w:lang w:eastAsia="pl-PL"/>
          <w14:shadow w14:blurRad="50800" w14:dist="38100" w14:dir="2700000" w14:sx="100000" w14:sy="100000" w14:kx="0" w14:ky="0" w14:algn="tl">
            <w14:srgbClr w14:val="000000">
              <w14:alpha w14:val="60000"/>
            </w14:srgbClr>
          </w14:shadow>
        </w:rPr>
        <w:t xml:space="preserve">Wykres do przemyślenia” w okresie 12 pierwszych miesięcy po jej wprowadzeniu do tej rubryki wynosiła średnio </w:t>
      </w:r>
      <w:r w:rsidRPr="0047436C">
        <w:rPr>
          <w:rFonts w:eastAsiaTheme="minorEastAsia"/>
          <w:b/>
          <w:color w:val="FF0000"/>
          <w:sz w:val="44"/>
          <w:szCs w:val="44"/>
          <w:lang w:eastAsia="pl-PL"/>
          <w14:shadow w14:blurRad="50800" w14:dist="38100" w14:dir="2700000" w14:sx="100000" w14:sy="100000" w14:kx="0" w14:ky="0" w14:algn="tl">
            <w14:srgbClr w14:val="000000">
              <w14:alpha w14:val="60000"/>
            </w14:srgbClr>
          </w14:shadow>
        </w:rPr>
        <w:t>plus 13,4 %.</w:t>
      </w:r>
      <w:r w:rsidRPr="0047436C">
        <w:rPr>
          <w:rFonts w:eastAsiaTheme="minorEastAsia"/>
          <w:color w:val="000000" w:themeColor="text1"/>
          <w:sz w:val="44"/>
          <w:szCs w:val="44"/>
          <w:lang w:eastAsia="pl-PL"/>
          <w14:shadow w14:blurRad="50800" w14:dist="38100" w14:dir="2700000" w14:sx="100000" w14:sy="100000" w14:kx="0" w14:ky="0" w14:algn="tl">
            <w14:srgbClr w14:val="000000">
              <w14:alpha w14:val="60000"/>
            </w14:srgbClr>
          </w14:shadow>
        </w:rPr>
        <w:t xml:space="preserve"> Procentowa zmiana indeksu </w:t>
      </w:r>
      <w:r w:rsidRPr="0047436C">
        <w:rPr>
          <w:rFonts w:eastAsiaTheme="minorEastAsia"/>
          <w:b/>
          <w:color w:val="000000" w:themeColor="text1"/>
          <w:sz w:val="44"/>
          <w:szCs w:val="44"/>
          <w:lang w:eastAsia="pl-PL"/>
          <w14:shadow w14:blurRad="50800" w14:dist="38100" w14:dir="2700000" w14:sx="100000" w14:sy="100000" w14:kx="0" w14:ky="0" w14:algn="tl">
            <w14:srgbClr w14:val="000000">
              <w14:alpha w14:val="60000"/>
            </w14:srgbClr>
          </w14:shadow>
        </w:rPr>
        <w:t>WIG 20</w:t>
      </w:r>
      <w:r w:rsidRPr="0047436C">
        <w:rPr>
          <w:rFonts w:eastAsiaTheme="minorEastAsia"/>
          <w:color w:val="000000" w:themeColor="text1"/>
          <w:sz w:val="44"/>
          <w:szCs w:val="44"/>
          <w:lang w:eastAsia="pl-PL"/>
          <w14:shadow w14:blurRad="50800" w14:dist="38100" w14:dir="2700000" w14:sx="100000" w14:sy="100000" w14:kx="0" w14:ky="0" w14:algn="tl">
            <w14:srgbClr w14:val="000000">
              <w14:alpha w14:val="60000"/>
            </w14:srgbClr>
          </w14:shadow>
        </w:rPr>
        <w:t xml:space="preserve"> w tym okresie wynosiła </w:t>
      </w:r>
      <w:r w:rsidRPr="0047436C">
        <w:rPr>
          <w:rFonts w:eastAsiaTheme="minorEastAsia"/>
          <w:b/>
          <w:color w:val="000000" w:themeColor="text1"/>
          <w:sz w:val="44"/>
          <w:szCs w:val="44"/>
          <w:lang w:eastAsia="pl-PL"/>
          <w14:shadow w14:blurRad="50800" w14:dist="38100" w14:dir="2700000" w14:sx="100000" w14:sy="100000" w14:kx="0" w14:ky="0" w14:algn="tl">
            <w14:srgbClr w14:val="000000">
              <w14:alpha w14:val="60000"/>
            </w14:srgbClr>
          </w14:shadow>
        </w:rPr>
        <w:t>minus 18,3 %</w:t>
      </w:r>
      <w:r w:rsidRPr="0047436C">
        <w:rPr>
          <w:rFonts w:eastAsiaTheme="minorEastAsia"/>
          <w:color w:val="000000" w:themeColor="text1"/>
          <w:sz w:val="44"/>
          <w:szCs w:val="44"/>
          <w:lang w:eastAsia="pl-PL"/>
          <w14:shadow w14:blurRad="50800" w14:dist="38100" w14:dir="2700000" w14:sx="100000" w14:sy="100000" w14:kx="0" w14:ky="0" w14:algn="tl">
            <w14:srgbClr w14:val="000000">
              <w14:alpha w14:val="60000"/>
            </w14:srgbClr>
          </w14:shadow>
        </w:rPr>
        <w:t xml:space="preserve">, indeksu </w:t>
      </w:r>
      <w:r w:rsidRPr="0047436C">
        <w:rPr>
          <w:rFonts w:eastAsiaTheme="minorEastAsia"/>
          <w:b/>
          <w:color w:val="000000" w:themeColor="text1"/>
          <w:sz w:val="44"/>
          <w:szCs w:val="44"/>
          <w:lang w:eastAsia="pl-PL"/>
          <w14:shadow w14:blurRad="50800" w14:dist="38100" w14:dir="2700000" w14:sx="100000" w14:sy="100000" w14:kx="0" w14:ky="0" w14:algn="tl">
            <w14:srgbClr w14:val="000000">
              <w14:alpha w14:val="60000"/>
            </w14:srgbClr>
          </w14:shadow>
        </w:rPr>
        <w:t xml:space="preserve">WIG </w:t>
      </w:r>
      <w:proofErr w:type="gramStart"/>
      <w:r w:rsidRPr="0047436C">
        <w:rPr>
          <w:rFonts w:eastAsiaTheme="minorEastAsia"/>
          <w:b/>
          <w:color w:val="000000" w:themeColor="text1"/>
          <w:sz w:val="44"/>
          <w:szCs w:val="44"/>
          <w:lang w:eastAsia="pl-PL"/>
          <w14:shadow w14:blurRad="50800" w14:dist="38100" w14:dir="2700000" w14:sx="100000" w14:sy="100000" w14:kx="0" w14:ky="0" w14:algn="tl">
            <w14:srgbClr w14:val="000000">
              <w14:alpha w14:val="60000"/>
            </w14:srgbClr>
          </w14:shadow>
        </w:rPr>
        <w:t xml:space="preserve">minus 9,2 %,  </w:t>
      </w:r>
      <w:r w:rsidRPr="0047436C">
        <w:rPr>
          <w:rFonts w:eastAsiaTheme="minorEastAsia"/>
          <w:color w:val="000000" w:themeColor="text1"/>
          <w:sz w:val="44"/>
          <w:szCs w:val="44"/>
          <w:lang w:eastAsia="pl-PL"/>
          <w14:shadow w14:blurRad="50800" w14:dist="38100" w14:dir="2700000" w14:sx="100000" w14:sy="100000" w14:kx="0" w14:ky="0" w14:algn="tl">
            <w14:srgbClr w14:val="000000">
              <w14:alpha w14:val="60000"/>
            </w14:srgbClr>
          </w14:shadow>
        </w:rPr>
        <w:t>indeksu</w:t>
      </w:r>
      <w:proofErr w:type="gramEnd"/>
      <w:r w:rsidRPr="0047436C">
        <w:rPr>
          <w:rFonts w:eastAsiaTheme="minorEastAsia"/>
          <w:color w:val="000000" w:themeColor="text1"/>
          <w:sz w:val="44"/>
          <w:szCs w:val="44"/>
          <w:lang w:eastAsia="pl-PL"/>
          <w14:shadow w14:blurRad="50800" w14:dist="38100" w14:dir="2700000" w14:sx="100000" w14:sy="100000" w14:kx="0" w14:ky="0" w14:algn="tl">
            <w14:srgbClr w14:val="000000">
              <w14:alpha w14:val="60000"/>
            </w14:srgbClr>
          </w14:shadow>
        </w:rPr>
        <w:t xml:space="preserve"> </w:t>
      </w:r>
      <w:proofErr w:type="spellStart"/>
      <w:r w:rsidRPr="0047436C">
        <w:rPr>
          <w:rFonts w:eastAsiaTheme="minorEastAsia"/>
          <w:b/>
          <w:color w:val="000000" w:themeColor="text1"/>
          <w:sz w:val="44"/>
          <w:szCs w:val="44"/>
          <w:lang w:eastAsia="pl-PL"/>
          <w14:shadow w14:blurRad="50800" w14:dist="38100" w14:dir="2700000" w14:sx="100000" w14:sy="100000" w14:kx="0" w14:ky="0" w14:algn="tl">
            <w14:srgbClr w14:val="000000">
              <w14:alpha w14:val="60000"/>
            </w14:srgbClr>
          </w14:shadow>
        </w:rPr>
        <w:t>mWIG</w:t>
      </w:r>
      <w:proofErr w:type="spellEnd"/>
      <w:r w:rsidRPr="0047436C">
        <w:rPr>
          <w:rFonts w:eastAsiaTheme="minorEastAsia"/>
          <w:b/>
          <w:color w:val="000000" w:themeColor="text1"/>
          <w:sz w:val="44"/>
          <w:szCs w:val="44"/>
          <w:lang w:eastAsia="pl-PL"/>
          <w14:shadow w14:blurRad="50800" w14:dist="38100" w14:dir="2700000" w14:sx="100000" w14:sy="100000" w14:kx="0" w14:ky="0" w14:algn="tl">
            <w14:srgbClr w14:val="000000">
              <w14:alpha w14:val="60000"/>
            </w14:srgbClr>
          </w14:shadow>
        </w:rPr>
        <w:t xml:space="preserve"> 20 plus 0,8 % a  </w:t>
      </w:r>
      <w:r w:rsidRPr="0047436C">
        <w:rPr>
          <w:rFonts w:eastAsiaTheme="minorEastAsia"/>
          <w:color w:val="000000" w:themeColor="text1"/>
          <w:sz w:val="44"/>
          <w:szCs w:val="44"/>
          <w:lang w:eastAsia="pl-PL"/>
          <w14:shadow w14:blurRad="50800" w14:dist="38100" w14:dir="2700000" w14:sx="100000" w14:sy="100000" w14:kx="0" w14:ky="0" w14:algn="tl">
            <w14:srgbClr w14:val="000000">
              <w14:alpha w14:val="60000"/>
            </w14:srgbClr>
          </w14:shadow>
        </w:rPr>
        <w:t xml:space="preserve">indeksu </w:t>
      </w:r>
      <w:r w:rsidRPr="0047436C">
        <w:rPr>
          <w:rFonts w:eastAsiaTheme="minorEastAsia"/>
          <w:b/>
          <w:color w:val="000000" w:themeColor="text1"/>
          <w:sz w:val="44"/>
          <w:szCs w:val="44"/>
          <w:lang w:eastAsia="pl-PL"/>
          <w14:shadow w14:blurRad="50800" w14:dist="38100" w14:dir="2700000" w14:sx="100000" w14:sy="100000" w14:kx="0" w14:ky="0" w14:algn="tl">
            <w14:srgbClr w14:val="000000">
              <w14:alpha w14:val="60000"/>
            </w14:srgbClr>
          </w14:shadow>
        </w:rPr>
        <w:t>sWIG80 plus 4,7 %</w:t>
      </w:r>
    </w:p>
    <w:p w:rsidR="0047436C" w:rsidRPr="0047436C" w:rsidRDefault="0047436C" w:rsidP="0047436C">
      <w:pPr>
        <w:spacing w:after="0" w:line="240" w:lineRule="auto"/>
        <w:jc w:val="both"/>
        <w:rPr>
          <w:rFonts w:eastAsiaTheme="minorEastAsia"/>
          <w:color w:val="000000" w:themeColor="text1"/>
          <w:sz w:val="28"/>
          <w:szCs w:val="28"/>
          <w:u w:val="single"/>
          <w:lang w:eastAsia="pl-PL"/>
        </w:rPr>
      </w:pPr>
      <w:r w:rsidRPr="0047436C">
        <w:rPr>
          <w:rFonts w:eastAsiaTheme="minorEastAsia"/>
          <w:color w:val="000000" w:themeColor="text1"/>
          <w:sz w:val="28"/>
          <w:szCs w:val="28"/>
          <w:u w:val="single"/>
          <w:lang w:eastAsia="pl-PL"/>
        </w:rPr>
        <w:lastRenderedPageBreak/>
        <w:t xml:space="preserve">Dodatek graficzny: Średnia procentowa zmiana kursu akcji spółki po wprowadzeniu jej do rubryki </w:t>
      </w:r>
      <w:proofErr w:type="gramStart"/>
      <w:r w:rsidRPr="0047436C">
        <w:rPr>
          <w:rFonts w:eastAsiaTheme="minorEastAsia"/>
          <w:color w:val="000000" w:themeColor="text1"/>
          <w:sz w:val="28"/>
          <w:szCs w:val="28"/>
          <w:u w:val="single"/>
          <w:lang w:eastAsia="pl-PL"/>
        </w:rPr>
        <w:t>,,</w:t>
      </w:r>
      <w:proofErr w:type="gramEnd"/>
      <w:r w:rsidRPr="0047436C">
        <w:rPr>
          <w:rFonts w:eastAsiaTheme="minorEastAsia"/>
          <w:color w:val="000000" w:themeColor="text1"/>
          <w:sz w:val="28"/>
          <w:szCs w:val="28"/>
          <w:u w:val="single"/>
          <w:lang w:eastAsia="pl-PL"/>
        </w:rPr>
        <w:t xml:space="preserve">Wykres do przemyślenia” w okresie 12 pierwszych miesięcy po jej wprowadzeniu do tej rubryki oraz średnia procentowa zmiana 4 kluczowych indeksów polskiego rynku akcji w tym okresie </w:t>
      </w:r>
    </w:p>
    <w:p w:rsidR="0047436C" w:rsidRPr="0047436C" w:rsidRDefault="0047436C" w:rsidP="0047436C">
      <w:pPr>
        <w:spacing w:after="0" w:line="240" w:lineRule="auto"/>
        <w:jc w:val="both"/>
        <w:rPr>
          <w:rFonts w:eastAsiaTheme="minorEastAsia"/>
          <w:color w:val="000000" w:themeColor="text1"/>
          <w:sz w:val="28"/>
          <w:szCs w:val="28"/>
          <w:u w:val="single"/>
          <w:lang w:eastAsia="pl-PL"/>
        </w:rPr>
      </w:pPr>
    </w:p>
    <w:p w:rsidR="0047436C" w:rsidRPr="0047436C" w:rsidRDefault="0047436C" w:rsidP="0047436C">
      <w:pPr>
        <w:spacing w:after="0" w:line="240" w:lineRule="auto"/>
        <w:jc w:val="both"/>
        <w:rPr>
          <w:rFonts w:eastAsiaTheme="minorEastAsia"/>
          <w:color w:val="000000" w:themeColor="text1"/>
          <w:sz w:val="28"/>
          <w:szCs w:val="28"/>
          <w:u w:val="single"/>
          <w:lang w:eastAsia="pl-PL"/>
        </w:rPr>
      </w:pPr>
      <w:r w:rsidRPr="0047436C">
        <w:rPr>
          <w:rFonts w:eastAsiaTheme="minorEastAsia"/>
          <w:noProof/>
          <w:lang w:eastAsia="pl-PL"/>
        </w:rPr>
        <w:drawing>
          <wp:inline distT="0" distB="0" distL="0" distR="0" wp14:anchorId="3147A955" wp14:editId="2537FD85">
            <wp:extent cx="5572125" cy="7648575"/>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7436C" w:rsidRPr="0047436C" w:rsidRDefault="0047436C" w:rsidP="0047436C">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eastAsia="Times New Roman" w:cs="Times New Roman"/>
          <w:b/>
          <w:color w:val="FFFFFF" w:themeColor="background1"/>
          <w:sz w:val="94"/>
          <w:szCs w:val="94"/>
          <w:lang w:eastAsia="pl-PL"/>
        </w:rPr>
      </w:pPr>
      <w:r w:rsidRPr="0047436C">
        <w:rPr>
          <w:rFonts w:eastAsia="Times New Roman" w:cs="Times New Roman"/>
          <w:b/>
          <w:color w:val="FFFFFF" w:themeColor="background1"/>
          <w:sz w:val="94"/>
          <w:szCs w:val="94"/>
          <w:lang w:eastAsia="pl-PL"/>
        </w:rPr>
        <w:lastRenderedPageBreak/>
        <w:t>Generalny wniosek:</w:t>
      </w:r>
    </w:p>
    <w:p w:rsidR="0047436C" w:rsidRPr="0047436C" w:rsidRDefault="0047436C" w:rsidP="0047436C">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eastAsia="Times New Roman" w:cs="Times New Roman"/>
          <w:b/>
          <w:color w:val="FFFFFF" w:themeColor="background1"/>
          <w:sz w:val="104"/>
          <w:szCs w:val="104"/>
          <w:lang w:eastAsia="pl-PL"/>
        </w:rPr>
      </w:pPr>
      <w:r w:rsidRPr="0047436C">
        <w:rPr>
          <w:rFonts w:eastAsia="Times New Roman" w:cs="Times New Roman"/>
          <w:b/>
          <w:color w:val="FFFFFF" w:themeColor="background1"/>
          <w:sz w:val="94"/>
          <w:szCs w:val="94"/>
          <w:lang w:eastAsia="pl-PL"/>
        </w:rPr>
        <w:t xml:space="preserve">kursy akcji spółki po wprowadzeniu jej do rubryki ,,Wykres do przemyślenia” zasadniczo rzecz biorąc wykazują relatywną przewagę nad </w:t>
      </w:r>
      <w:proofErr w:type="gramStart"/>
      <w:r w:rsidRPr="0047436C">
        <w:rPr>
          <w:rFonts w:eastAsia="Times New Roman" w:cs="Times New Roman"/>
          <w:b/>
          <w:color w:val="FFFFFF" w:themeColor="background1"/>
          <w:sz w:val="94"/>
          <w:szCs w:val="94"/>
          <w:lang w:eastAsia="pl-PL"/>
        </w:rPr>
        <w:t>indeksami:  WIG</w:t>
      </w:r>
      <w:proofErr w:type="gramEnd"/>
      <w:r w:rsidRPr="0047436C">
        <w:rPr>
          <w:rFonts w:eastAsia="Times New Roman" w:cs="Times New Roman"/>
          <w:b/>
          <w:color w:val="FFFFFF" w:themeColor="background1"/>
          <w:sz w:val="94"/>
          <w:szCs w:val="94"/>
          <w:lang w:eastAsia="pl-PL"/>
        </w:rPr>
        <w:t>20, WIG, WIG40 oraz sWIG80</w:t>
      </w:r>
    </w:p>
    <w:p w:rsidR="0047436C" w:rsidRPr="0047436C" w:rsidRDefault="0047436C" w:rsidP="0047436C">
      <w:pPr>
        <w:rPr>
          <w:rFonts w:eastAsiaTheme="minorEastAsia"/>
          <w:lang w:eastAsia="pl-PL"/>
        </w:rPr>
      </w:pPr>
    </w:p>
    <w:p w:rsidR="0047436C" w:rsidRPr="0047436C" w:rsidRDefault="0047436C" w:rsidP="0047436C">
      <w:pPr>
        <w:rPr>
          <w:rFonts w:eastAsiaTheme="minorEastAsia"/>
          <w:lang w:eastAsia="pl-PL"/>
        </w:rPr>
      </w:pPr>
    </w:p>
    <w:p w:rsidR="0047436C" w:rsidRPr="0047436C" w:rsidRDefault="0047436C" w:rsidP="0047436C">
      <w:pPr>
        <w:pBdr>
          <w:top w:val="single" w:sz="4" w:space="1" w:color="auto"/>
          <w:left w:val="single" w:sz="4" w:space="4" w:color="auto"/>
          <w:bottom w:val="single" w:sz="4" w:space="1" w:color="auto"/>
          <w:right w:val="single" w:sz="4" w:space="4" w:color="auto"/>
        </w:pBdr>
        <w:spacing w:after="0" w:line="240" w:lineRule="auto"/>
        <w:jc w:val="center"/>
        <w:rPr>
          <w:rFonts w:eastAsiaTheme="minorEastAsia"/>
          <w:color w:val="FF0000"/>
          <w:sz w:val="110"/>
          <w:szCs w:val="110"/>
          <w:lang w:eastAsia="pl-PL"/>
        </w:rPr>
      </w:pPr>
      <w:r w:rsidRPr="0047436C">
        <w:rPr>
          <w:rFonts w:eastAsiaTheme="minorEastAsia"/>
          <w:sz w:val="110"/>
          <w:szCs w:val="110"/>
          <w:lang w:eastAsia="pl-PL"/>
        </w:rPr>
        <w:lastRenderedPageBreak/>
        <w:t xml:space="preserve">Aby dowiedzieć się które spółki będą umieszczane w rubryce </w:t>
      </w:r>
      <w:proofErr w:type="gramStart"/>
      <w:r w:rsidRPr="0047436C">
        <w:rPr>
          <w:rFonts w:eastAsiaTheme="minorEastAsia"/>
          <w:sz w:val="110"/>
          <w:szCs w:val="110"/>
          <w:lang w:eastAsia="pl-PL"/>
        </w:rPr>
        <w:t>,,</w:t>
      </w:r>
      <w:proofErr w:type="gramEnd"/>
      <w:r w:rsidRPr="0047436C">
        <w:rPr>
          <w:rFonts w:eastAsiaTheme="minorEastAsia"/>
          <w:sz w:val="110"/>
          <w:szCs w:val="110"/>
          <w:lang w:eastAsia="pl-PL"/>
        </w:rPr>
        <w:t xml:space="preserve">Wykres do przemyślenia” warto często odwiedzać stronę internetową </w:t>
      </w:r>
      <w:r w:rsidRPr="0047436C">
        <w:rPr>
          <w:rFonts w:eastAsiaTheme="minorEastAsia"/>
          <w:color w:val="FF0000"/>
          <w:sz w:val="110"/>
          <w:szCs w:val="110"/>
          <w:lang w:eastAsia="pl-PL"/>
        </w:rPr>
        <w:t>analizy-rynkowe.</w:t>
      </w:r>
      <w:proofErr w:type="gramStart"/>
      <w:r w:rsidRPr="0047436C">
        <w:rPr>
          <w:rFonts w:eastAsiaTheme="minorEastAsia"/>
          <w:color w:val="FF0000"/>
          <w:sz w:val="110"/>
          <w:szCs w:val="110"/>
          <w:lang w:eastAsia="pl-PL"/>
        </w:rPr>
        <w:t>pl</w:t>
      </w:r>
      <w:proofErr w:type="gramEnd"/>
    </w:p>
    <w:p w:rsidR="0047436C" w:rsidRPr="0047436C" w:rsidRDefault="0047436C" w:rsidP="0047436C">
      <w:pPr>
        <w:rPr>
          <w:rFonts w:eastAsiaTheme="minorEastAsia"/>
          <w:lang w:eastAsia="pl-PL"/>
        </w:rPr>
      </w:pPr>
    </w:p>
    <w:p w:rsidR="0047436C" w:rsidRPr="0047436C" w:rsidRDefault="0047436C" w:rsidP="0047436C">
      <w:pPr>
        <w:rPr>
          <w:rFonts w:eastAsiaTheme="minorEastAsia"/>
          <w:lang w:eastAsia="pl-PL"/>
        </w:rPr>
      </w:pPr>
    </w:p>
    <w:p w:rsidR="0047436C" w:rsidRPr="0047436C" w:rsidRDefault="0047436C" w:rsidP="0047436C">
      <w:pPr>
        <w:rPr>
          <w:rFonts w:eastAsiaTheme="minorEastAsia"/>
          <w:lang w:eastAsia="pl-PL"/>
        </w:rPr>
      </w:pPr>
    </w:p>
    <w:p w:rsidR="0047436C" w:rsidRPr="0047436C" w:rsidRDefault="0047436C" w:rsidP="0047436C">
      <w:pPr>
        <w:spacing w:after="0" w:line="240" w:lineRule="auto"/>
        <w:jc w:val="both"/>
      </w:pPr>
    </w:p>
    <w:p w:rsidR="0047436C" w:rsidRPr="0047436C" w:rsidRDefault="0047436C" w:rsidP="0047436C">
      <w:pPr>
        <w:spacing w:after="0" w:line="240" w:lineRule="auto"/>
        <w:jc w:val="both"/>
      </w:pPr>
    </w:p>
    <w:p w:rsidR="0047436C" w:rsidRPr="0047436C" w:rsidRDefault="0047436C" w:rsidP="0047436C">
      <w:pPr>
        <w:spacing w:after="0" w:line="240" w:lineRule="auto"/>
        <w:jc w:val="both"/>
        <w:rPr>
          <w:rFonts w:eastAsia="Times New Roman" w:cs="Times New Roman"/>
          <w:b/>
        </w:rPr>
      </w:pPr>
      <w:r w:rsidRPr="0047436C">
        <w:rPr>
          <w:rFonts w:eastAsia="Times New Roman" w:cs="Times New Roman"/>
          <w:b/>
        </w:rPr>
        <w:t>Wnioski końcowe</w:t>
      </w:r>
    </w:p>
    <w:p w:rsidR="0047436C" w:rsidRPr="0047436C" w:rsidRDefault="0047436C" w:rsidP="0047436C">
      <w:pPr>
        <w:spacing w:after="0" w:line="240" w:lineRule="auto"/>
        <w:jc w:val="both"/>
        <w:rPr>
          <w:rFonts w:eastAsia="Times New Roman" w:cs="Times New Roman"/>
        </w:rPr>
      </w:pPr>
    </w:p>
    <w:p w:rsidR="0047436C" w:rsidRPr="0047436C" w:rsidRDefault="0047436C" w:rsidP="0047436C">
      <w:pPr>
        <w:numPr>
          <w:ilvl w:val="0"/>
          <w:numId w:val="1"/>
        </w:numPr>
        <w:spacing w:after="0" w:line="240" w:lineRule="auto"/>
        <w:contextualSpacing/>
        <w:jc w:val="both"/>
        <w:rPr>
          <w:rFonts w:eastAsia="Times New Roman" w:cs="Times New Roman"/>
          <w:color w:val="000000" w:themeColor="text1"/>
        </w:rPr>
      </w:pPr>
      <w:r w:rsidRPr="0047436C">
        <w:rPr>
          <w:rFonts w:eastAsia="Times New Roman" w:cs="Times New Roman"/>
          <w:color w:val="000000" w:themeColor="text1"/>
        </w:rPr>
        <w:t>Kurs dolara amerykańskiego (w złotych) przebił zaznaczony na wykresie trend wzrostowy poprowadzony przez dołki z 9 lipca 2014 roku oraz 14 października 2015 roku. Pojawiła się szansa na wybicie z na razie tylko hipotetycznej formacji podwójnego szczytu. Dojdzie do tego wybicia, gdy kurs USD/PLN osiągnie (na zamknięciu notowań) poziom dołka z 4 kwietnia 2016 roku (</w:t>
      </w:r>
      <w:r w:rsidRPr="0047436C">
        <w:rPr>
          <w:rFonts w:eastAsia="Times New Roman" w:cs="Times New Roman"/>
          <w:b/>
          <w:color w:val="FF0000"/>
        </w:rPr>
        <w:t>3,7230 zł</w:t>
      </w:r>
      <w:r w:rsidRPr="0047436C">
        <w:rPr>
          <w:rFonts w:eastAsia="Times New Roman" w:cs="Times New Roman"/>
          <w:color w:val="000000" w:themeColor="text1"/>
        </w:rPr>
        <w:t>.). Realna perspektywa zmiany trendu ze wzrostowego na spadkowy może być związana z perspektywą napływu kapitału zagranicznego na polski rynek akcji. Średnia ruchoma z 200 sesji próbuje zmienić trend na spadkowy.</w:t>
      </w:r>
    </w:p>
    <w:p w:rsidR="0047436C" w:rsidRPr="0047436C" w:rsidRDefault="0047436C" w:rsidP="0047436C">
      <w:pPr>
        <w:spacing w:after="0" w:line="240" w:lineRule="auto"/>
        <w:contextualSpacing/>
        <w:jc w:val="both"/>
        <w:rPr>
          <w:rFonts w:eastAsia="Times New Roman" w:cs="Times New Roman"/>
          <w:b/>
          <w:color w:val="FF0000"/>
        </w:rPr>
      </w:pPr>
    </w:p>
    <w:p w:rsidR="0047436C" w:rsidRPr="0047436C" w:rsidRDefault="0047436C" w:rsidP="0047436C">
      <w:pPr>
        <w:numPr>
          <w:ilvl w:val="0"/>
          <w:numId w:val="1"/>
        </w:numPr>
        <w:spacing w:after="0" w:line="240" w:lineRule="auto"/>
        <w:contextualSpacing/>
        <w:jc w:val="both"/>
        <w:rPr>
          <w:rFonts w:eastAsia="Times New Roman" w:cs="Times New Roman"/>
          <w:color w:val="000000" w:themeColor="text1"/>
        </w:rPr>
      </w:pPr>
      <w:r w:rsidRPr="0047436C">
        <w:rPr>
          <w:rFonts w:eastAsia="Times New Roman" w:cs="Times New Roman"/>
        </w:rPr>
        <w:t>Kurs euro amerykańskiego (w złotych) przebił zaznaczony na wykresie trend wzrostowy poprowadzony przez dołki z 27 kwietnia oraz 29 grudnia 2015 roku. Pojawiła się szansa na wybicie z na razie tylko hipotetycznej formacji podwójnego szczytu. Dojdzie do tego wybicia, gdy kurs USD/PLN osiągnie (na zamknięciu notowań) poziom dołka z 4 kwietnia 2016 roku (</w:t>
      </w:r>
      <w:r w:rsidRPr="0047436C">
        <w:rPr>
          <w:rFonts w:eastAsia="Times New Roman" w:cs="Times New Roman"/>
          <w:b/>
          <w:color w:val="FF0000"/>
        </w:rPr>
        <w:t>4,2409 zł</w:t>
      </w:r>
      <w:r w:rsidRPr="0047436C">
        <w:rPr>
          <w:rFonts w:eastAsia="Times New Roman" w:cs="Times New Roman"/>
        </w:rPr>
        <w:t>.). Realna perspektywa zmiany trendu ze wzrostowego na spadkowy może być związana z perspektywą napływu kapitału zagranicznego na polski rynek akcji. Średnia ruchoma z 200 sesji próbuje zmienić trend na spadkowy.</w:t>
      </w:r>
    </w:p>
    <w:p w:rsidR="0047436C" w:rsidRPr="0047436C" w:rsidRDefault="0047436C" w:rsidP="0047436C">
      <w:pPr>
        <w:spacing w:after="0" w:line="240" w:lineRule="auto"/>
        <w:contextualSpacing/>
        <w:jc w:val="both"/>
        <w:rPr>
          <w:rFonts w:eastAsia="Times New Roman" w:cs="Times New Roman"/>
          <w:color w:val="000000" w:themeColor="text1"/>
        </w:rPr>
      </w:pPr>
    </w:p>
    <w:p w:rsidR="0047436C" w:rsidRPr="0047436C" w:rsidRDefault="0047436C" w:rsidP="0047436C">
      <w:pPr>
        <w:numPr>
          <w:ilvl w:val="0"/>
          <w:numId w:val="1"/>
        </w:numPr>
        <w:spacing w:after="0" w:line="240" w:lineRule="auto"/>
        <w:contextualSpacing/>
        <w:jc w:val="both"/>
        <w:rPr>
          <w:rFonts w:eastAsia="Times New Roman" w:cs="Times New Roman"/>
          <w:b/>
          <w:color w:val="000000" w:themeColor="text1"/>
        </w:rPr>
      </w:pPr>
      <w:r w:rsidRPr="0047436C">
        <w:rPr>
          <w:rFonts w:eastAsia="Times New Roman" w:cs="Times New Roman"/>
          <w:color w:val="000000" w:themeColor="text1"/>
        </w:rPr>
        <w:t xml:space="preserve">Początkowo </w:t>
      </w:r>
      <w:r w:rsidRPr="0047436C">
        <w:rPr>
          <w:rFonts w:eastAsia="Times New Roman" w:cs="Times New Roman"/>
          <w:b/>
          <w:color w:val="000000" w:themeColor="text1"/>
        </w:rPr>
        <w:t>indeks amerykańskiego rynku akcji S&amp;P500</w:t>
      </w:r>
      <w:r w:rsidRPr="0047436C">
        <w:rPr>
          <w:rFonts w:eastAsia="Times New Roman" w:cs="Times New Roman"/>
          <w:color w:val="000000" w:themeColor="text1"/>
        </w:rPr>
        <w:t xml:space="preserve"> wybił się z formacji podwójnego szczytu, co zapowiadało spadki. Wkrótce jednak indeks zaczął dynamicznie rosnąć. Przebił poziom wyższego szczytu. W rezultacie </w:t>
      </w:r>
      <w:r w:rsidRPr="0047436C">
        <w:rPr>
          <w:rFonts w:eastAsia="Times New Roman" w:cs="Times New Roman"/>
          <w:b/>
          <w:color w:val="000000" w:themeColor="text1"/>
        </w:rPr>
        <w:t xml:space="preserve">doszło do </w:t>
      </w:r>
      <w:proofErr w:type="gramStart"/>
      <w:r w:rsidRPr="0047436C">
        <w:rPr>
          <w:rFonts w:eastAsia="Times New Roman" w:cs="Times New Roman"/>
          <w:b/>
          <w:color w:val="000000" w:themeColor="text1"/>
        </w:rPr>
        <w:t>,,</w:t>
      </w:r>
      <w:proofErr w:type="gramEnd"/>
      <w:r w:rsidRPr="0047436C">
        <w:rPr>
          <w:rFonts w:eastAsia="Times New Roman" w:cs="Times New Roman"/>
          <w:b/>
          <w:color w:val="000000" w:themeColor="text1"/>
        </w:rPr>
        <w:t>spalenia” formacji podwójnego szczytu.</w:t>
      </w:r>
      <w:r w:rsidRPr="0047436C">
        <w:rPr>
          <w:rFonts w:eastAsia="Times New Roman" w:cs="Times New Roman"/>
          <w:color w:val="000000" w:themeColor="text1"/>
        </w:rPr>
        <w:t xml:space="preserve"> Pojawił się wiec bardzo </w:t>
      </w:r>
      <w:r w:rsidRPr="0047436C">
        <w:rPr>
          <w:rFonts w:eastAsia="Times New Roman" w:cs="Times New Roman"/>
          <w:b/>
          <w:color w:val="000000" w:themeColor="text1"/>
        </w:rPr>
        <w:t xml:space="preserve">silny sygnał kupna. </w:t>
      </w:r>
    </w:p>
    <w:p w:rsidR="0047436C" w:rsidRPr="0047436C" w:rsidRDefault="0047436C" w:rsidP="0047436C">
      <w:pPr>
        <w:spacing w:after="0" w:line="240" w:lineRule="auto"/>
        <w:ind w:left="720"/>
        <w:contextualSpacing/>
        <w:jc w:val="both"/>
        <w:rPr>
          <w:rFonts w:eastAsia="Times New Roman" w:cs="Times New Roman"/>
          <w:color w:val="000000" w:themeColor="text1"/>
        </w:rPr>
      </w:pPr>
    </w:p>
    <w:p w:rsidR="006A0713" w:rsidRPr="006A0713" w:rsidRDefault="0047436C" w:rsidP="006A0713">
      <w:pPr>
        <w:numPr>
          <w:ilvl w:val="0"/>
          <w:numId w:val="1"/>
        </w:numPr>
        <w:spacing w:after="0" w:line="240" w:lineRule="auto"/>
        <w:contextualSpacing/>
        <w:jc w:val="both"/>
        <w:rPr>
          <w:rFonts w:eastAsia="Times New Roman" w:cs="Times New Roman"/>
        </w:rPr>
      </w:pPr>
      <w:r w:rsidRPr="006A0713">
        <w:rPr>
          <w:rFonts w:eastAsia="Times New Roman" w:cs="Times New Roman"/>
          <w:color w:val="000000" w:themeColor="text1"/>
        </w:rPr>
        <w:t xml:space="preserve">Na wykresie siły względnej WIG20/USD-PLN stworzonej w oparciu o dane kwartalne w pobliżu ważnej linii wsparcia pojawiła się formacja harami, co stwarza szansę na wzrosty indeksu WIG20 związane z realną napływu kapitału zagranicznego. </w:t>
      </w:r>
      <w:r w:rsidRPr="006A0713">
        <w:rPr>
          <w:rFonts w:eastAsia="Times New Roman" w:cs="Times New Roman"/>
          <w:b/>
          <w:color w:val="000000" w:themeColor="text1"/>
        </w:rPr>
        <w:t>Wskaźnik C/WK dla indeksu WIG20 jest bardzo niski i wynosi 1,1</w:t>
      </w:r>
      <w:r w:rsidR="006A0713">
        <w:rPr>
          <w:rFonts w:eastAsia="Times New Roman" w:cs="Times New Roman"/>
          <w:b/>
          <w:color w:val="000000" w:themeColor="text1"/>
        </w:rPr>
        <w:t xml:space="preserve">. </w:t>
      </w:r>
    </w:p>
    <w:p w:rsidR="006A0713" w:rsidRPr="006A0713" w:rsidRDefault="006A0713" w:rsidP="006A0713">
      <w:pPr>
        <w:spacing w:after="0" w:line="240" w:lineRule="auto"/>
        <w:ind w:left="720"/>
        <w:contextualSpacing/>
        <w:jc w:val="both"/>
        <w:rPr>
          <w:rFonts w:eastAsia="Times New Roman" w:cs="Times New Roman"/>
        </w:rPr>
      </w:pPr>
    </w:p>
    <w:p w:rsidR="006A0713" w:rsidRPr="001F1EA6" w:rsidRDefault="006A0713" w:rsidP="006A0713">
      <w:pPr>
        <w:numPr>
          <w:ilvl w:val="0"/>
          <w:numId w:val="1"/>
        </w:numPr>
        <w:spacing w:after="0" w:line="240" w:lineRule="auto"/>
        <w:contextualSpacing/>
        <w:jc w:val="both"/>
        <w:rPr>
          <w:rFonts w:eastAsia="Times New Roman" w:cs="Times New Roman"/>
          <w:b/>
        </w:rPr>
      </w:pPr>
      <w:r w:rsidRPr="006A0713">
        <w:rPr>
          <w:rFonts w:eastAsia="Times New Roman" w:cs="Times New Roman"/>
          <w:color w:val="000000" w:themeColor="text1"/>
        </w:rPr>
        <w:t xml:space="preserve">Przez </w:t>
      </w:r>
      <w:r w:rsidRPr="001F1EA6">
        <w:rPr>
          <w:rFonts w:eastAsia="Times New Roman" w:cs="Times New Roman"/>
          <w:b/>
          <w:color w:val="000000" w:themeColor="text1"/>
        </w:rPr>
        <w:t xml:space="preserve">rok </w:t>
      </w:r>
      <w:proofErr w:type="gramStart"/>
      <w:r w:rsidRPr="001F1EA6">
        <w:rPr>
          <w:rFonts w:eastAsia="Times New Roman" w:cs="Times New Roman"/>
          <w:b/>
          <w:color w:val="000000" w:themeColor="text1"/>
        </w:rPr>
        <w:t>,,</w:t>
      </w:r>
      <w:proofErr w:type="gramEnd"/>
      <w:r w:rsidRPr="001F1EA6">
        <w:rPr>
          <w:rFonts w:eastAsia="Times New Roman" w:cs="Times New Roman"/>
          <w:b/>
          <w:color w:val="000000" w:themeColor="text1"/>
        </w:rPr>
        <w:t>podwójnego” ochłodzenia gospodarczego</w:t>
      </w:r>
      <w:r w:rsidRPr="006A0713">
        <w:rPr>
          <w:rFonts w:eastAsia="Times New Roman" w:cs="Times New Roman"/>
          <w:color w:val="000000" w:themeColor="text1"/>
        </w:rPr>
        <w:t xml:space="preserve"> rozumiem taki rok T, w którym spełnione były 2 warunki: po pierwsze: realne tempo zmian PKB kształtowało się na mniej korzystnym poziomie, niż w roku T-1 a po drugie: realne tempo zmian nakładów inwestycyjnych kształtowało się na mniej korzystnym poziomie, niż w roku T-1. prawdopodobnie roku 2016 będzie również rokiem ,,podwójnego” ochłodzenia gospodarczego. Z przeprowadzonych przeze mnie badań wynika, że rok następujący bezpośrednio po roku </w:t>
      </w:r>
      <w:proofErr w:type="gramStart"/>
      <w:r w:rsidRPr="006A0713">
        <w:rPr>
          <w:rFonts w:eastAsia="Times New Roman" w:cs="Times New Roman"/>
          <w:color w:val="000000" w:themeColor="text1"/>
        </w:rPr>
        <w:t>,,</w:t>
      </w:r>
      <w:proofErr w:type="gramEnd"/>
      <w:r w:rsidRPr="006A0713">
        <w:rPr>
          <w:rFonts w:eastAsia="Times New Roman" w:cs="Times New Roman"/>
          <w:color w:val="000000" w:themeColor="text1"/>
        </w:rPr>
        <w:t>podwójnego” ochłodzenia gospodarczego był średnio rzecz biorąc dość dobry dla indeksu WIG20 ora</w:t>
      </w:r>
      <w:bookmarkStart w:id="0" w:name="_GoBack"/>
      <w:bookmarkEnd w:id="0"/>
      <w:r w:rsidRPr="006A0713">
        <w:rPr>
          <w:rFonts w:eastAsia="Times New Roman" w:cs="Times New Roman"/>
          <w:color w:val="000000" w:themeColor="text1"/>
        </w:rPr>
        <w:t xml:space="preserve">z bardzo dobry dla indeksów: mWIG40 oraz sWIG80. Wedle najnowszych prognoz Organizacji Współpracy Międzynarodowej i Rozwoju w 2016 roku realna zmiana PKB w naszym kraju ma wynieść 3,0 % a nakładów inwestycyjnych 1,2 %. Jeżeli tak miało by być to rok 2016 powinien być rokiem ,,podwójnego” ochłodzenia gospodarczego </w:t>
      </w:r>
      <w:proofErr w:type="gramStart"/>
      <w:r w:rsidR="00AC16B8">
        <w:rPr>
          <w:rFonts w:eastAsia="Times New Roman" w:cs="Times New Roman"/>
          <w:color w:val="000000" w:themeColor="text1"/>
        </w:rPr>
        <w:t xml:space="preserve">a </w:t>
      </w:r>
      <w:r w:rsidRPr="006A0713">
        <w:rPr>
          <w:rFonts w:eastAsia="Times New Roman" w:cs="Times New Roman"/>
          <w:color w:val="000000" w:themeColor="text1"/>
        </w:rPr>
        <w:t xml:space="preserve"> (zgodnie</w:t>
      </w:r>
      <w:proofErr w:type="gramEnd"/>
      <w:r w:rsidRPr="006A0713">
        <w:rPr>
          <w:rFonts w:eastAsia="Times New Roman" w:cs="Times New Roman"/>
          <w:color w:val="000000" w:themeColor="text1"/>
        </w:rPr>
        <w:t xml:space="preserve"> z zasadą ,,kupuj słabość, sprzedawaj silę”) </w:t>
      </w:r>
      <w:r w:rsidRPr="001F1EA6">
        <w:rPr>
          <w:rFonts w:eastAsia="Times New Roman" w:cs="Times New Roman"/>
          <w:b/>
          <w:color w:val="000000" w:themeColor="text1"/>
        </w:rPr>
        <w:t xml:space="preserve">w roku kolejnym, czyli w roku 2017 zachowanie polskich indeksów  (szczególnie indeksów średnich i małych spółek) powinno być stosunkowo mocne. </w:t>
      </w:r>
    </w:p>
    <w:p w:rsidR="006A0713" w:rsidRPr="006A0713" w:rsidRDefault="006A0713" w:rsidP="006A0713">
      <w:pPr>
        <w:spacing w:after="0" w:line="240" w:lineRule="auto"/>
        <w:ind w:left="720"/>
        <w:contextualSpacing/>
        <w:jc w:val="both"/>
        <w:rPr>
          <w:rFonts w:eastAsia="Times New Roman" w:cs="Times New Roman"/>
        </w:rPr>
      </w:pPr>
    </w:p>
    <w:p w:rsidR="0047436C" w:rsidRPr="0047436C" w:rsidRDefault="0047436C" w:rsidP="0047436C">
      <w:pPr>
        <w:spacing w:after="0" w:line="240" w:lineRule="auto"/>
        <w:jc w:val="both"/>
        <w:rPr>
          <w:rFonts w:eastAsia="Times New Roman" w:cs="Times New Roman"/>
        </w:rPr>
      </w:pPr>
      <w:r w:rsidRPr="0047436C">
        <w:rPr>
          <w:rFonts w:eastAsia="Times New Roman" w:cs="Times New Roman"/>
        </w:rPr>
        <w:t xml:space="preserve">Opracował: Sławomir Kłusek, </w:t>
      </w:r>
      <w:r w:rsidR="006A0713">
        <w:rPr>
          <w:rFonts w:eastAsia="Times New Roman" w:cs="Times New Roman"/>
        </w:rPr>
        <w:t>21</w:t>
      </w:r>
      <w:r w:rsidRPr="0047436C">
        <w:rPr>
          <w:rFonts w:eastAsia="Times New Roman" w:cs="Times New Roman"/>
        </w:rPr>
        <w:t xml:space="preserve"> listopada 2016 roku</w:t>
      </w:r>
    </w:p>
    <w:p w:rsidR="0047436C" w:rsidRPr="0047436C" w:rsidRDefault="0047436C" w:rsidP="0047436C">
      <w:pPr>
        <w:spacing w:after="0" w:line="240" w:lineRule="auto"/>
        <w:jc w:val="both"/>
        <w:rPr>
          <w:rFonts w:eastAsia="Times New Roman" w:cs="Times New Roman"/>
        </w:rPr>
      </w:pPr>
    </w:p>
    <w:p w:rsidR="0047436C" w:rsidRPr="0047436C" w:rsidRDefault="0047436C" w:rsidP="0047436C">
      <w:pPr>
        <w:spacing w:after="0" w:line="240" w:lineRule="auto"/>
        <w:jc w:val="both"/>
        <w:rPr>
          <w:rFonts w:eastAsia="Times New Roman" w:cs="Times New Roman"/>
          <w:i/>
          <w:color w:val="000000" w:themeColor="text1"/>
        </w:rPr>
      </w:pPr>
      <w:r w:rsidRPr="0047436C">
        <w:rPr>
          <w:rFonts w:eastAsia="Times New Roman" w:cs="Times New Roman"/>
          <w:i/>
        </w:rPr>
        <w:t xml:space="preserve">Powyższy raport stanowi wyłącznie wyraz osobistych opinii autora. Treści zawarte na stronie internetowej </w:t>
      </w:r>
      <w:r w:rsidRPr="0047436C">
        <w:rPr>
          <w:rFonts w:eastAsia="Times New Roman" w:cs="Times New Roman"/>
          <w:b/>
          <w:i/>
        </w:rPr>
        <w:t>analizy-rynkowe.</w:t>
      </w:r>
      <w:proofErr w:type="gramStart"/>
      <w:r w:rsidRPr="0047436C">
        <w:rPr>
          <w:rFonts w:eastAsia="Times New Roman" w:cs="Times New Roman"/>
          <w:b/>
          <w:i/>
        </w:rPr>
        <w:t>pl</w:t>
      </w:r>
      <w:r w:rsidRPr="0047436C">
        <w:rPr>
          <w:rFonts w:eastAsia="Times New Roman" w:cs="Times New Roman"/>
          <w:i/>
        </w:rPr>
        <w:t xml:space="preserve">  stanowią</w:t>
      </w:r>
      <w:proofErr w:type="gramEnd"/>
      <w:r w:rsidRPr="0047436C">
        <w:rPr>
          <w:rFonts w:eastAsia="Times New Roman" w:cs="Times New Roman"/>
          <w:i/>
        </w:rPr>
        <w:t xml:space="preserve"> „rekomendacji” w rozumieniu przepisów Rozporządzenia Ministra Finansów z dnia 19 października 2005 r. w sprawie informacji stanowiących rekomendacje dotyczące instrumentów finansowych, lub ich emitentów (</w:t>
      </w:r>
      <w:proofErr w:type="spellStart"/>
      <w:r w:rsidRPr="0047436C">
        <w:rPr>
          <w:rFonts w:eastAsia="Times New Roman" w:cs="Times New Roman"/>
          <w:i/>
        </w:rPr>
        <w:t>Dz.U</w:t>
      </w:r>
      <w:proofErr w:type="spellEnd"/>
      <w:r w:rsidRPr="0047436C">
        <w:rPr>
          <w:rFonts w:eastAsia="Times New Roman" w:cs="Times New Roman"/>
          <w:i/>
        </w:rPr>
        <w:t>. z 2005 r. Nr 206, poz</w:t>
      </w:r>
      <w:proofErr w:type="gramStart"/>
      <w:r w:rsidRPr="0047436C">
        <w:rPr>
          <w:rFonts w:eastAsia="Times New Roman" w:cs="Times New Roman"/>
          <w:i/>
        </w:rPr>
        <w:t>. 1715). Autor</w:t>
      </w:r>
      <w:proofErr w:type="gramEnd"/>
      <w:r w:rsidRPr="0047436C">
        <w:rPr>
          <w:rFonts w:eastAsia="Times New Roman" w:cs="Times New Roman"/>
          <w:i/>
        </w:rPr>
        <w:t xml:space="preserve"> nie ponosi odpowiedzialności za jakiekolwiek decyzje inwestycyjne podjęte na podstawie treści zawartych na stronie internetowej </w:t>
      </w:r>
      <w:r w:rsidR="00AC16B8">
        <w:rPr>
          <w:rFonts w:eastAsia="Times New Roman" w:cs="Times New Roman"/>
          <w:b/>
          <w:i/>
          <w:color w:val="000000" w:themeColor="text1"/>
        </w:rPr>
        <w:t>analizy-rynkowe.</w:t>
      </w:r>
      <w:proofErr w:type="gramStart"/>
      <w:r w:rsidR="00AC16B8">
        <w:rPr>
          <w:rFonts w:eastAsia="Times New Roman" w:cs="Times New Roman"/>
          <w:b/>
          <w:i/>
          <w:color w:val="000000" w:themeColor="text1"/>
        </w:rPr>
        <w:t>pl</w:t>
      </w:r>
      <w:proofErr w:type="gramEnd"/>
      <w:r w:rsidR="00AC16B8">
        <w:rPr>
          <w:rFonts w:eastAsia="Times New Roman" w:cs="Times New Roman"/>
          <w:b/>
          <w:i/>
          <w:color w:val="000000" w:themeColor="text1"/>
        </w:rPr>
        <w:t>.</w:t>
      </w:r>
    </w:p>
    <w:sectPr w:rsidR="0047436C" w:rsidRPr="0047436C" w:rsidSect="00B46241">
      <w:footerReference w:type="defaul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19B" w:rsidRDefault="00BD419B">
      <w:pPr>
        <w:spacing w:after="0" w:line="240" w:lineRule="auto"/>
      </w:pPr>
      <w:r>
        <w:separator/>
      </w:r>
    </w:p>
  </w:endnote>
  <w:endnote w:type="continuationSeparator" w:id="0">
    <w:p w:rsidR="00BD419B" w:rsidRDefault="00BD4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2094"/>
      <w:docPartObj>
        <w:docPartGallery w:val="Page Numbers (Bottom of Page)"/>
        <w:docPartUnique/>
      </w:docPartObj>
    </w:sdtPr>
    <w:sdtEndPr/>
    <w:sdtContent>
      <w:p w:rsidR="006A0713" w:rsidRDefault="006A0713">
        <w:pPr>
          <w:pStyle w:val="Stopka"/>
          <w:jc w:val="center"/>
        </w:pPr>
        <w:r>
          <w:fldChar w:fldCharType="begin"/>
        </w:r>
        <w:r>
          <w:instrText>PAGE   \* MERGEFORMAT</w:instrText>
        </w:r>
        <w:r>
          <w:fldChar w:fldCharType="separate"/>
        </w:r>
        <w:r w:rsidR="0073240A">
          <w:rPr>
            <w:noProof/>
          </w:rPr>
          <w:t>16</w:t>
        </w:r>
        <w:r>
          <w:fldChar w:fldCharType="end"/>
        </w:r>
      </w:p>
    </w:sdtContent>
  </w:sdt>
  <w:p w:rsidR="006A0713" w:rsidRDefault="006A07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19B" w:rsidRDefault="00BD419B">
      <w:pPr>
        <w:spacing w:after="0" w:line="240" w:lineRule="auto"/>
      </w:pPr>
      <w:r>
        <w:separator/>
      </w:r>
    </w:p>
  </w:footnote>
  <w:footnote w:type="continuationSeparator" w:id="0">
    <w:p w:rsidR="00BD419B" w:rsidRDefault="00BD41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94DEE"/>
    <w:multiLevelType w:val="hybridMultilevel"/>
    <w:tmpl w:val="CBFE8794"/>
    <w:lvl w:ilvl="0" w:tplc="BB8469FE">
      <w:numFmt w:val="bullet"/>
      <w:lvlText w:val=""/>
      <w:lvlJc w:val="left"/>
      <w:pPr>
        <w:ind w:left="720" w:hanging="360"/>
      </w:pPr>
      <w:rPr>
        <w:rFonts w:ascii="Wingdings" w:eastAsia="Times New Roman" w:hAnsi="Wingdings" w:hint="default"/>
        <w:b w:val="0"/>
        <w:color w:val="000000" w:themeColor="text1"/>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6C"/>
    <w:rsid w:val="0009138C"/>
    <w:rsid w:val="001C58D2"/>
    <w:rsid w:val="001F1EA6"/>
    <w:rsid w:val="0047436C"/>
    <w:rsid w:val="00627433"/>
    <w:rsid w:val="006A0713"/>
    <w:rsid w:val="0073240A"/>
    <w:rsid w:val="007F4C4D"/>
    <w:rsid w:val="00965831"/>
    <w:rsid w:val="00AC16B8"/>
    <w:rsid w:val="00B46241"/>
    <w:rsid w:val="00BD419B"/>
    <w:rsid w:val="00D76B4D"/>
    <w:rsid w:val="00D92260"/>
    <w:rsid w:val="00FC57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74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47436C"/>
    <w:pPr>
      <w:tabs>
        <w:tab w:val="center" w:pos="4536"/>
        <w:tab w:val="right" w:pos="9072"/>
      </w:tabs>
      <w:spacing w:after="0" w:line="240" w:lineRule="auto"/>
    </w:pPr>
    <w:rPr>
      <w:rFonts w:eastAsiaTheme="minorEastAsia"/>
      <w:lang w:eastAsia="pl-PL"/>
    </w:rPr>
  </w:style>
  <w:style w:type="character" w:customStyle="1" w:styleId="StopkaZnak">
    <w:name w:val="Stopka Znak"/>
    <w:basedOn w:val="Domylnaczcionkaakapitu"/>
    <w:link w:val="Stopka"/>
    <w:uiPriority w:val="99"/>
    <w:rsid w:val="0047436C"/>
    <w:rPr>
      <w:rFonts w:eastAsiaTheme="minorEastAsia"/>
      <w:lang w:eastAsia="pl-PL"/>
    </w:rPr>
  </w:style>
  <w:style w:type="paragraph" w:styleId="Tekstdymka">
    <w:name w:val="Balloon Text"/>
    <w:basedOn w:val="Normalny"/>
    <w:link w:val="TekstdymkaZnak"/>
    <w:uiPriority w:val="99"/>
    <w:semiHidden/>
    <w:unhideWhenUsed/>
    <w:rsid w:val="004743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436C"/>
    <w:rPr>
      <w:rFonts w:ascii="Tahoma" w:hAnsi="Tahoma" w:cs="Tahoma"/>
      <w:sz w:val="16"/>
      <w:szCs w:val="16"/>
    </w:rPr>
  </w:style>
  <w:style w:type="paragraph" w:styleId="Bezodstpw">
    <w:name w:val="No Spacing"/>
    <w:uiPriority w:val="1"/>
    <w:qFormat/>
    <w:rsid w:val="0047436C"/>
    <w:pPr>
      <w:spacing w:after="0" w:line="240" w:lineRule="auto"/>
    </w:pPr>
  </w:style>
  <w:style w:type="character" w:styleId="Hipercze">
    <w:name w:val="Hyperlink"/>
    <w:basedOn w:val="Domylnaczcionkaakapitu"/>
    <w:uiPriority w:val="99"/>
    <w:unhideWhenUsed/>
    <w:rsid w:val="00B46241"/>
    <w:rPr>
      <w:color w:val="0000FF" w:themeColor="hyperlink"/>
      <w:u w:val="single"/>
    </w:rPr>
  </w:style>
  <w:style w:type="paragraph" w:styleId="Akapitzlist">
    <w:name w:val="List Paragraph"/>
    <w:basedOn w:val="Normalny"/>
    <w:uiPriority w:val="34"/>
    <w:qFormat/>
    <w:rsid w:val="006A07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74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47436C"/>
    <w:pPr>
      <w:tabs>
        <w:tab w:val="center" w:pos="4536"/>
        <w:tab w:val="right" w:pos="9072"/>
      </w:tabs>
      <w:spacing w:after="0" w:line="240" w:lineRule="auto"/>
    </w:pPr>
    <w:rPr>
      <w:rFonts w:eastAsiaTheme="minorEastAsia"/>
      <w:lang w:eastAsia="pl-PL"/>
    </w:rPr>
  </w:style>
  <w:style w:type="character" w:customStyle="1" w:styleId="StopkaZnak">
    <w:name w:val="Stopka Znak"/>
    <w:basedOn w:val="Domylnaczcionkaakapitu"/>
    <w:link w:val="Stopka"/>
    <w:uiPriority w:val="99"/>
    <w:rsid w:val="0047436C"/>
    <w:rPr>
      <w:rFonts w:eastAsiaTheme="minorEastAsia"/>
      <w:lang w:eastAsia="pl-PL"/>
    </w:rPr>
  </w:style>
  <w:style w:type="paragraph" w:styleId="Tekstdymka">
    <w:name w:val="Balloon Text"/>
    <w:basedOn w:val="Normalny"/>
    <w:link w:val="TekstdymkaZnak"/>
    <w:uiPriority w:val="99"/>
    <w:semiHidden/>
    <w:unhideWhenUsed/>
    <w:rsid w:val="004743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436C"/>
    <w:rPr>
      <w:rFonts w:ascii="Tahoma" w:hAnsi="Tahoma" w:cs="Tahoma"/>
      <w:sz w:val="16"/>
      <w:szCs w:val="16"/>
    </w:rPr>
  </w:style>
  <w:style w:type="paragraph" w:styleId="Bezodstpw">
    <w:name w:val="No Spacing"/>
    <w:uiPriority w:val="1"/>
    <w:qFormat/>
    <w:rsid w:val="0047436C"/>
    <w:pPr>
      <w:spacing w:after="0" w:line="240" w:lineRule="auto"/>
    </w:pPr>
  </w:style>
  <w:style w:type="character" w:styleId="Hipercze">
    <w:name w:val="Hyperlink"/>
    <w:basedOn w:val="Domylnaczcionkaakapitu"/>
    <w:uiPriority w:val="99"/>
    <w:unhideWhenUsed/>
    <w:rsid w:val="00B46241"/>
    <w:rPr>
      <w:color w:val="0000FF" w:themeColor="hyperlink"/>
      <w:u w:val="single"/>
    </w:rPr>
  </w:style>
  <w:style w:type="paragraph" w:styleId="Akapitzlist">
    <w:name w:val="List Paragraph"/>
    <w:basedOn w:val="Normalny"/>
    <w:uiPriority w:val="34"/>
    <w:qFormat/>
    <w:rsid w:val="006A0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oq.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44"/>
    </mc:Choice>
    <mc:Fallback>
      <c:style val="44"/>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Arkusz1!$A$1:$A$5</c:f>
              <c:strCache>
                <c:ptCount val="5"/>
                <c:pt idx="0">
                  <c:v>Wykres do przemyślenia</c:v>
                </c:pt>
                <c:pt idx="1">
                  <c:v>sWIG80</c:v>
                </c:pt>
                <c:pt idx="2">
                  <c:v>mWIG40</c:v>
                </c:pt>
                <c:pt idx="3">
                  <c:v>WIG</c:v>
                </c:pt>
                <c:pt idx="4">
                  <c:v>WIG20</c:v>
                </c:pt>
              </c:strCache>
            </c:strRef>
          </c:cat>
          <c:val>
            <c:numRef>
              <c:f>Arkusz1!$B$1:$B$5</c:f>
              <c:numCache>
                <c:formatCode>0.0</c:formatCode>
                <c:ptCount val="5"/>
                <c:pt idx="0">
                  <c:v>13.4</c:v>
                </c:pt>
                <c:pt idx="1">
                  <c:v>4.7</c:v>
                </c:pt>
                <c:pt idx="2">
                  <c:v>0.8</c:v>
                </c:pt>
                <c:pt idx="3">
                  <c:v>-9.1999999999999993</c:v>
                </c:pt>
                <c:pt idx="4">
                  <c:v>-18.3</c:v>
                </c:pt>
              </c:numCache>
            </c:numRef>
          </c:val>
        </c:ser>
        <c:dLbls>
          <c:showLegendKey val="0"/>
          <c:showVal val="0"/>
          <c:showCatName val="0"/>
          <c:showSerName val="0"/>
          <c:showPercent val="0"/>
          <c:showBubbleSize val="0"/>
        </c:dLbls>
        <c:gapWidth val="150"/>
        <c:axId val="164298752"/>
        <c:axId val="164300288"/>
      </c:barChart>
      <c:catAx>
        <c:axId val="164298752"/>
        <c:scaling>
          <c:orientation val="minMax"/>
        </c:scaling>
        <c:delete val="0"/>
        <c:axPos val="b"/>
        <c:numFmt formatCode="General" sourceLinked="1"/>
        <c:majorTickMark val="out"/>
        <c:minorTickMark val="none"/>
        <c:tickLblPos val="nextTo"/>
        <c:crossAx val="164300288"/>
        <c:crosses val="autoZero"/>
        <c:auto val="1"/>
        <c:lblAlgn val="ctr"/>
        <c:lblOffset val="100"/>
        <c:noMultiLvlLbl val="0"/>
      </c:catAx>
      <c:valAx>
        <c:axId val="164300288"/>
        <c:scaling>
          <c:orientation val="minMax"/>
        </c:scaling>
        <c:delete val="0"/>
        <c:axPos val="l"/>
        <c:majorGridlines/>
        <c:numFmt formatCode="0.0" sourceLinked="1"/>
        <c:majorTickMark val="out"/>
        <c:minorTickMark val="none"/>
        <c:tickLblPos val="nextTo"/>
        <c:crossAx val="164298752"/>
        <c:crosses val="autoZero"/>
        <c:crossBetween val="between"/>
      </c:valAx>
      <c:spPr>
        <a:noFill/>
        <a:ln w="25400">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888C1-AD4E-4EB5-A27A-6AB157FA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16</Pages>
  <Words>2392</Words>
  <Characters>14353</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wydma</dc:creator>
  <cp:keywords/>
  <dc:description/>
  <cp:lastModifiedBy>wydma</cp:lastModifiedBy>
  <cp:revision>8</cp:revision>
  <dcterms:created xsi:type="dcterms:W3CDTF">2016-11-19T20:09:00Z</dcterms:created>
  <dcterms:modified xsi:type="dcterms:W3CDTF">2016-11-20T04:45:00Z</dcterms:modified>
</cp:coreProperties>
</file>