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8C" w:rsidRDefault="004D348C" w:rsidP="004D348C">
      <w:pPr>
        <w:spacing w:after="0" w:line="240" w:lineRule="auto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4D348C" w:rsidRDefault="004D348C" w:rsidP="004D348C">
      <w:pPr>
        <w:spacing w:after="0" w:line="240" w:lineRule="auto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4D348C" w:rsidRDefault="004D348C" w:rsidP="004D348C">
      <w:pPr>
        <w:spacing w:after="0" w:line="240" w:lineRule="auto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4D348C" w:rsidRDefault="004D348C" w:rsidP="004D348C">
      <w:pPr>
        <w:spacing w:after="0" w:line="240" w:lineRule="auto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4D348C" w:rsidRDefault="004D348C" w:rsidP="004D348C">
      <w:pPr>
        <w:spacing w:after="0" w:line="240" w:lineRule="auto"/>
        <w:jc w:val="center"/>
        <w:rPr>
          <w:sz w:val="48"/>
          <w:szCs w:val="48"/>
        </w:rPr>
      </w:pPr>
    </w:p>
    <w:p w:rsidR="004D348C" w:rsidRDefault="004D348C" w:rsidP="004D348C">
      <w:pPr>
        <w:spacing w:after="0" w:line="240" w:lineRule="auto"/>
        <w:jc w:val="center"/>
        <w:rPr>
          <w:sz w:val="48"/>
          <w:szCs w:val="48"/>
        </w:rPr>
      </w:pPr>
    </w:p>
    <w:p w:rsidR="004D348C" w:rsidRDefault="004D348C" w:rsidP="004D348C">
      <w:pPr>
        <w:spacing w:after="0" w:line="240" w:lineRule="auto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4D348C" w:rsidRDefault="004D348C" w:rsidP="004D348C">
      <w:pPr>
        <w:spacing w:after="0" w:line="240" w:lineRule="auto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48C" w:rsidRDefault="004D348C" w:rsidP="004D348C">
      <w:pPr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4D348C" w:rsidRDefault="004D348C" w:rsidP="004D348C">
      <w:pPr>
        <w:spacing w:after="0" w:line="240" w:lineRule="auto"/>
        <w:jc w:val="both"/>
        <w:rPr>
          <w:sz w:val="26"/>
          <w:szCs w:val="26"/>
        </w:rPr>
      </w:pPr>
    </w:p>
    <w:p w:rsidR="004D348C" w:rsidRDefault="004D348C" w:rsidP="004D348C">
      <w:pPr>
        <w:spacing w:after="0" w:line="240" w:lineRule="auto"/>
        <w:jc w:val="both"/>
        <w:rPr>
          <w:sz w:val="26"/>
          <w:szCs w:val="26"/>
        </w:rPr>
      </w:pPr>
    </w:p>
    <w:p w:rsidR="004D348C" w:rsidRDefault="004D348C" w:rsidP="004D348C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31 października 2016 roku</w:t>
      </w:r>
    </w:p>
    <w:p w:rsidR="004D348C" w:rsidRDefault="004D348C" w:rsidP="004D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after="0" w:line="240" w:lineRule="auto"/>
        <w:jc w:val="center"/>
      </w:pPr>
      <w:r>
        <w:t>Kurs USD/PLN – perspektywa długoterminowa, kurs z 29 października 2016 roku = 3,9495</w:t>
      </w:r>
    </w:p>
    <w:p w:rsidR="004D348C" w:rsidRDefault="004D348C" w:rsidP="004D348C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3F6D2E73" wp14:editId="5A9BD5E1">
            <wp:extent cx="4829175" cy="2895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48C" w:rsidRDefault="004D348C" w:rsidP="004D348C">
      <w:pPr>
        <w:spacing w:after="0" w:line="240" w:lineRule="auto"/>
        <w:jc w:val="both"/>
        <w:rPr>
          <w:b/>
          <w:color w:val="FF0000"/>
        </w:rPr>
      </w:pPr>
      <w:r>
        <w:t xml:space="preserve">Kurs dolara amerykańskiego (w złotych) przebił zaznaczony na wykresie trend wzrostowy poprowadzony przez dołki z 9 lipca 2014 roku oraz 14 października 2015 roku. </w:t>
      </w:r>
      <w:r>
        <w:rPr>
          <w:b/>
        </w:rPr>
        <w:t>Pojawiła się szansa na wybicie z na razie tylko hipotetycznej formacji podwójnego szczytu</w:t>
      </w:r>
      <w:r>
        <w:t xml:space="preserve">. Dojdzie do tego wybicia, gdy kurs USD/PLN osiągnie (na zamknięciu notowań) poziom dołka z 4 kwietnia 2016 roku (3,7230 zł.). Realna perspektywa zmiany trendu ze wzrostowego na spadkowy może być związana z perspektywą napływu kapitału zagranicznego na polski rynek akcji. Średnia ruchoma z 200 sesji próbuje zmienić trend na spadkowy. </w:t>
      </w:r>
    </w:p>
    <w:p w:rsidR="004D348C" w:rsidRDefault="004D348C" w:rsidP="004D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after="0" w:line="240" w:lineRule="auto"/>
        <w:jc w:val="center"/>
      </w:pPr>
      <w:r>
        <w:t>Kurs EUR/PLN – perspektywa średniookresowa, kurs z 29 października 2016 roku = 4,3381</w:t>
      </w:r>
    </w:p>
    <w:p w:rsidR="004D348C" w:rsidRDefault="004D348C" w:rsidP="004D348C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67455E3E" wp14:editId="6B3D4C75">
            <wp:extent cx="4829175" cy="29051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721" w:rsidRDefault="004D348C" w:rsidP="004D348C">
      <w:pPr>
        <w:spacing w:after="0" w:line="240" w:lineRule="auto"/>
        <w:jc w:val="both"/>
      </w:pPr>
      <w:r>
        <w:t xml:space="preserve">Kurs euro amerykańskiego (w złotych) przebił zaznaczony na wykresie trend wzrostowy poprowadzony przez dołki z 27 kwietnia oraz 29 grudnia 2015 roku. </w:t>
      </w:r>
      <w:r>
        <w:rPr>
          <w:b/>
        </w:rPr>
        <w:t>Pojawiła się szansa na wybicie z na razie tylko hipotetycznej formacji podwójnego szczytu</w:t>
      </w:r>
      <w:r>
        <w:t xml:space="preserve">. Dojdzie do tego wybicia, gdy kurs USD/PLN osiągnie (na zamknięciu notowań) poziom dołka z 4 kwietnia 2016 roku (4,2409 zł.). Realna perspektywa zmiany trendu ze wzrostowego na spadkowy może być związana z perspektywą napływu kapitału zagranicznego na polski rynek akcji. Średnia ruchoma z 200 sesji próbuje zmienić trend na spadkowy. </w:t>
      </w:r>
    </w:p>
    <w:p w:rsidR="004D348C" w:rsidRDefault="004D348C" w:rsidP="004D348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WIG20 stoi przed ogromną szansą na relatywne </w:t>
      </w:r>
      <w:proofErr w:type="gramStart"/>
      <w:r>
        <w:rPr>
          <w:sz w:val="26"/>
          <w:szCs w:val="26"/>
        </w:rPr>
        <w:t>umocnienie !</w:t>
      </w:r>
      <w:proofErr w:type="gramEnd"/>
    </w:p>
    <w:p w:rsidR="004D348C" w:rsidRDefault="004D348C" w:rsidP="004D348C">
      <w:pPr>
        <w:pStyle w:val="Bezodstpw"/>
        <w:jc w:val="center"/>
        <w:rPr>
          <w:sz w:val="26"/>
          <w:szCs w:val="26"/>
        </w:rPr>
      </w:pPr>
    </w:p>
    <w:p w:rsidR="004D348C" w:rsidRDefault="004D348C" w:rsidP="004D348C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poprzednim tygodniu indeks WIG20 pokazał bardzo dużą siłę. </w:t>
      </w:r>
      <w:proofErr w:type="gramStart"/>
      <w:r>
        <w:rPr>
          <w:sz w:val="26"/>
          <w:szCs w:val="26"/>
        </w:rPr>
        <w:t>Zyskał bowiem</w:t>
      </w:r>
      <w:proofErr w:type="gramEnd"/>
      <w:r>
        <w:rPr>
          <w:sz w:val="26"/>
          <w:szCs w:val="26"/>
        </w:rPr>
        <w:t xml:space="preserve"> na wartości 3,7 %. W rezultacie pojawia się szansa na to, że nadchodzi lepszy okres dla tego indeksu. Liderami zwyżek w gronie spółek o największej kapitalizacji były: Lotos (wzrost </w:t>
      </w:r>
      <w:r w:rsidR="00E4326C">
        <w:rPr>
          <w:sz w:val="26"/>
          <w:szCs w:val="26"/>
        </w:rPr>
        <w:t xml:space="preserve">kursu </w:t>
      </w:r>
      <w:r>
        <w:rPr>
          <w:sz w:val="26"/>
          <w:szCs w:val="26"/>
        </w:rPr>
        <w:t xml:space="preserve">o 12,8 %), PKN Orlen (wzrost o 8,0 %), PZU (wzrost o 6,4 %), PKO BP (wzrost o 6,4 %), Eurocash (wzrost o 6,2 %) oraz Enea (wzrost o 6,0 %). </w:t>
      </w:r>
    </w:p>
    <w:p w:rsidR="004D348C" w:rsidRDefault="004D348C" w:rsidP="004D348C">
      <w:pPr>
        <w:pStyle w:val="Bezodstpw"/>
        <w:jc w:val="both"/>
        <w:rPr>
          <w:sz w:val="26"/>
          <w:szCs w:val="26"/>
        </w:rPr>
      </w:pPr>
    </w:p>
    <w:p w:rsidR="004D348C" w:rsidRPr="00766C2B" w:rsidRDefault="004D348C" w:rsidP="004D348C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Na początku warto spojrzeć </w:t>
      </w:r>
      <w:r w:rsidRPr="00766C2B">
        <w:rPr>
          <w:b/>
          <w:sz w:val="26"/>
          <w:szCs w:val="26"/>
        </w:rPr>
        <w:t>na wykres siły względnej WIG20/S&amp;P500</w:t>
      </w:r>
      <w:r>
        <w:rPr>
          <w:sz w:val="26"/>
          <w:szCs w:val="26"/>
        </w:rPr>
        <w:t xml:space="preserve">. Na wykresie tym od szczytu ustanowionego w dniu 25 października 2007 roku trwa trend spadkowy. Pojawiły się jednak </w:t>
      </w:r>
      <w:r w:rsidRPr="00766C2B">
        <w:rPr>
          <w:b/>
          <w:sz w:val="26"/>
          <w:szCs w:val="26"/>
        </w:rPr>
        <w:t xml:space="preserve">pewne symptomy wskazujące na możliwość odwrócenia tego niekorzystnego trendu. </w:t>
      </w:r>
    </w:p>
    <w:p w:rsidR="004D348C" w:rsidRDefault="004D348C" w:rsidP="004D348C">
      <w:pPr>
        <w:pStyle w:val="Bezodstpw"/>
        <w:jc w:val="both"/>
        <w:rPr>
          <w:sz w:val="26"/>
          <w:szCs w:val="26"/>
        </w:rPr>
      </w:pPr>
    </w:p>
    <w:p w:rsidR="004D348C" w:rsidRDefault="004D348C" w:rsidP="004D348C">
      <w:pPr>
        <w:pStyle w:val="Bezodstpw"/>
        <w:jc w:val="both"/>
        <w:rPr>
          <w:b/>
          <w:sz w:val="26"/>
          <w:szCs w:val="26"/>
          <w:u w:val="single"/>
        </w:rPr>
      </w:pPr>
      <w:r w:rsidRPr="00C52485">
        <w:rPr>
          <w:b/>
          <w:sz w:val="26"/>
          <w:szCs w:val="26"/>
          <w:u w:val="single"/>
        </w:rPr>
        <w:t>WIG20/S&amp;P500</w:t>
      </w:r>
    </w:p>
    <w:p w:rsidR="004D348C" w:rsidRDefault="004D348C" w:rsidP="004D348C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68098ADC" wp14:editId="512103A5">
            <wp:extent cx="5429250" cy="3257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48C" w:rsidRDefault="004D348C" w:rsidP="004D348C">
      <w:pPr>
        <w:pStyle w:val="Bezodstpw"/>
        <w:jc w:val="both"/>
        <w:rPr>
          <w:sz w:val="26"/>
          <w:szCs w:val="26"/>
        </w:rPr>
      </w:pPr>
    </w:p>
    <w:p w:rsidR="004D348C" w:rsidRDefault="004D348C" w:rsidP="004D348C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Kiedy bowiem przyjrzymy się dokładniej wykresowi tej siły względnej można zauważyć, że </w:t>
      </w:r>
      <w:r w:rsidRPr="00766C2B">
        <w:rPr>
          <w:b/>
          <w:sz w:val="26"/>
          <w:szCs w:val="26"/>
        </w:rPr>
        <w:t>przebita została spadkowa linia trendu</w:t>
      </w:r>
      <w:r>
        <w:rPr>
          <w:sz w:val="26"/>
          <w:szCs w:val="26"/>
        </w:rPr>
        <w:t xml:space="preserve"> poprowadzona przez szczyty z września 2015 roku oraz marca 2016 roku, co zostało przedstawione na kolejnej stronie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Tygodniowego”. </w:t>
      </w:r>
    </w:p>
    <w:p w:rsidR="004D348C" w:rsidRDefault="004D348C" w:rsidP="004D348C">
      <w:pPr>
        <w:pStyle w:val="Bezodstpw"/>
        <w:jc w:val="both"/>
        <w:rPr>
          <w:sz w:val="26"/>
          <w:szCs w:val="26"/>
        </w:rPr>
      </w:pPr>
    </w:p>
    <w:p w:rsidR="004D348C" w:rsidRDefault="004D348C" w:rsidP="004D348C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 drugie </w:t>
      </w:r>
      <w:r w:rsidRPr="00766C2B">
        <w:rPr>
          <w:b/>
          <w:sz w:val="26"/>
          <w:szCs w:val="26"/>
        </w:rPr>
        <w:t>doszło do wybicia z formacji podwójnego dna</w:t>
      </w:r>
      <w:r>
        <w:rPr>
          <w:sz w:val="26"/>
          <w:szCs w:val="26"/>
        </w:rPr>
        <w:t xml:space="preserve"> z dołkami ukształtowanymi w dniach: 8 lipca oraz 30 września 2016 roku. Wybicie z tej formacji stwarza szansę na dalsze wzrosty, czyli lepsze zachowanie indeksu WIG20 niż indeksu S&amp;P500. Dzięki temu można powiedzieć, że </w:t>
      </w:r>
      <w:r w:rsidRPr="00766C2B">
        <w:rPr>
          <w:b/>
          <w:sz w:val="26"/>
          <w:szCs w:val="26"/>
        </w:rPr>
        <w:t xml:space="preserve">prawdopodobnie mogą pojawić się jakieś czynniki fundamentalne, które stwarzają szasnę na relatywne umocnienie indeksu WIG20 w stosunku do nie tylko indeksu S&amp;P500, lecz </w:t>
      </w:r>
      <w:proofErr w:type="gramStart"/>
      <w:r w:rsidRPr="00766C2B">
        <w:rPr>
          <w:b/>
          <w:sz w:val="26"/>
          <w:szCs w:val="26"/>
        </w:rPr>
        <w:t>także  w</w:t>
      </w:r>
      <w:proofErr w:type="gramEnd"/>
      <w:r w:rsidRPr="00766C2B">
        <w:rPr>
          <w:b/>
          <w:sz w:val="26"/>
          <w:szCs w:val="26"/>
        </w:rPr>
        <w:t xml:space="preserve"> stosunku do innych indeksów zagranicznych.</w:t>
      </w:r>
      <w:r>
        <w:rPr>
          <w:sz w:val="26"/>
          <w:szCs w:val="26"/>
        </w:rPr>
        <w:t xml:space="preserve"> Przy okazji warto zauważyć, że w okresie ostatnich 10 lat indeks </w:t>
      </w:r>
      <w:r>
        <w:rPr>
          <w:sz w:val="26"/>
          <w:szCs w:val="26"/>
        </w:rPr>
        <w:lastRenderedPageBreak/>
        <w:t xml:space="preserve">WIG20 stracił na wartości 41,3 % i był z punktu widzenia stopy zwrotu jednym z najsłabszych indeksów na świecie. Być może obecnie sytuacja ma szansę się powoli zacząć odwracać. </w:t>
      </w:r>
    </w:p>
    <w:p w:rsidR="004D348C" w:rsidRDefault="004D348C" w:rsidP="004D348C">
      <w:pPr>
        <w:pStyle w:val="Bezodstpw"/>
        <w:jc w:val="both"/>
        <w:rPr>
          <w:sz w:val="26"/>
          <w:szCs w:val="26"/>
        </w:rPr>
      </w:pPr>
    </w:p>
    <w:p w:rsidR="004D348C" w:rsidRDefault="004D348C" w:rsidP="004D348C">
      <w:pPr>
        <w:pStyle w:val="Bezodstpw"/>
        <w:jc w:val="both"/>
        <w:rPr>
          <w:b/>
          <w:sz w:val="26"/>
          <w:szCs w:val="26"/>
          <w:u w:val="single"/>
        </w:rPr>
      </w:pPr>
      <w:r w:rsidRPr="00655264">
        <w:rPr>
          <w:b/>
          <w:sz w:val="26"/>
          <w:szCs w:val="26"/>
          <w:u w:val="single"/>
        </w:rPr>
        <w:t>WIG20/S&amp;P500</w:t>
      </w:r>
    </w:p>
    <w:p w:rsidR="004D348C" w:rsidRPr="00655264" w:rsidRDefault="004D348C" w:rsidP="004D348C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7A95B617" wp14:editId="5C7798CC">
            <wp:extent cx="5429250" cy="3257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48C" w:rsidRDefault="004D348C" w:rsidP="004D348C">
      <w:pPr>
        <w:pStyle w:val="Bezodstpw"/>
        <w:jc w:val="both"/>
        <w:rPr>
          <w:sz w:val="26"/>
          <w:szCs w:val="26"/>
        </w:rPr>
      </w:pPr>
    </w:p>
    <w:p w:rsidR="004D348C" w:rsidRDefault="004D348C" w:rsidP="004D348C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Tabela: Zmiana wybranych indeksów na przestrzeni ostatnich 10 lat (dane według stanu na 28 października 2016 roku)</w:t>
      </w:r>
    </w:p>
    <w:p w:rsidR="004D348C" w:rsidRDefault="004D348C" w:rsidP="004D348C">
      <w:pPr>
        <w:pStyle w:val="Bezodstpw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348C" w:rsidTr="001D46E2">
        <w:tc>
          <w:tcPr>
            <w:tcW w:w="4606" w:type="dxa"/>
            <w:tcBorders>
              <w:bottom w:val="single" w:sz="4" w:space="0" w:color="auto"/>
            </w:tcBorders>
          </w:tcPr>
          <w:p w:rsidR="004D348C" w:rsidRDefault="004D348C" w:rsidP="00DA075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Indeks</w:t>
            </w:r>
          </w:p>
        </w:tc>
        <w:tc>
          <w:tcPr>
            <w:tcW w:w="4606" w:type="dxa"/>
          </w:tcPr>
          <w:p w:rsidR="004D348C" w:rsidRDefault="004D348C" w:rsidP="00DA075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Stopa zwrotu</w:t>
            </w:r>
          </w:p>
        </w:tc>
      </w:tr>
      <w:tr w:rsidR="001D46E2" w:rsidTr="001D46E2">
        <w:tc>
          <w:tcPr>
            <w:tcW w:w="4606" w:type="dxa"/>
            <w:shd w:val="clear" w:color="auto" w:fill="FFCC00"/>
          </w:tcPr>
          <w:p w:rsidR="001D46E2" w:rsidRDefault="001D46E2" w:rsidP="00DA075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Argentyna – </w:t>
            </w:r>
            <w:proofErr w:type="spellStart"/>
            <w:r>
              <w:rPr>
                <w:sz w:val="26"/>
                <w:szCs w:val="26"/>
              </w:rPr>
              <w:t>Merval</w:t>
            </w:r>
            <w:proofErr w:type="spellEnd"/>
          </w:p>
        </w:tc>
        <w:tc>
          <w:tcPr>
            <w:tcW w:w="4606" w:type="dxa"/>
          </w:tcPr>
          <w:p w:rsidR="001D46E2" w:rsidRDefault="001D46E2" w:rsidP="00DA075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+910,0 %</w:t>
            </w:r>
          </w:p>
        </w:tc>
      </w:tr>
      <w:tr w:rsidR="001D46E2" w:rsidTr="001D46E2">
        <w:tc>
          <w:tcPr>
            <w:tcW w:w="4606" w:type="dxa"/>
            <w:shd w:val="clear" w:color="auto" w:fill="FFCC00"/>
          </w:tcPr>
          <w:p w:rsidR="001D46E2" w:rsidRDefault="001D46E2" w:rsidP="00DA075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Niemcy – DAX30</w:t>
            </w:r>
          </w:p>
        </w:tc>
        <w:tc>
          <w:tcPr>
            <w:tcW w:w="4606" w:type="dxa"/>
          </w:tcPr>
          <w:p w:rsidR="001D46E2" w:rsidRDefault="001D46E2" w:rsidP="00DA075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+70,9 %</w:t>
            </w:r>
          </w:p>
        </w:tc>
      </w:tr>
      <w:tr w:rsidR="001D46E2" w:rsidTr="001D46E2">
        <w:tc>
          <w:tcPr>
            <w:tcW w:w="4606" w:type="dxa"/>
            <w:shd w:val="clear" w:color="auto" w:fill="FFCC00"/>
          </w:tcPr>
          <w:p w:rsidR="001D46E2" w:rsidRDefault="001D46E2" w:rsidP="00DA075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Brazylia – </w:t>
            </w:r>
            <w:proofErr w:type="spellStart"/>
            <w:r>
              <w:rPr>
                <w:sz w:val="26"/>
                <w:szCs w:val="26"/>
              </w:rPr>
              <w:t>Bovespa</w:t>
            </w:r>
            <w:proofErr w:type="spellEnd"/>
          </w:p>
        </w:tc>
        <w:tc>
          <w:tcPr>
            <w:tcW w:w="4606" w:type="dxa"/>
          </w:tcPr>
          <w:p w:rsidR="001D46E2" w:rsidRDefault="001D46E2" w:rsidP="00DA075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+65,3 %</w:t>
            </w:r>
          </w:p>
        </w:tc>
      </w:tr>
      <w:tr w:rsidR="001D46E2" w:rsidTr="001D46E2">
        <w:tc>
          <w:tcPr>
            <w:tcW w:w="4606" w:type="dxa"/>
            <w:shd w:val="clear" w:color="auto" w:fill="FFCC00"/>
          </w:tcPr>
          <w:p w:rsidR="001D46E2" w:rsidRDefault="001D46E2" w:rsidP="00DA075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USA – S&amp;P 500</w:t>
            </w:r>
          </w:p>
        </w:tc>
        <w:tc>
          <w:tcPr>
            <w:tcW w:w="4606" w:type="dxa"/>
          </w:tcPr>
          <w:p w:rsidR="001D46E2" w:rsidRDefault="001D46E2" w:rsidP="00DA075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+54,3 %</w:t>
            </w:r>
          </w:p>
        </w:tc>
      </w:tr>
      <w:tr w:rsidR="001D46E2" w:rsidTr="001D46E2">
        <w:tc>
          <w:tcPr>
            <w:tcW w:w="4606" w:type="dxa"/>
            <w:shd w:val="clear" w:color="auto" w:fill="FFCC00"/>
          </w:tcPr>
          <w:p w:rsidR="001D46E2" w:rsidRDefault="001D46E2" w:rsidP="00DA075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Korea Południowa – KOSPI</w:t>
            </w:r>
          </w:p>
        </w:tc>
        <w:tc>
          <w:tcPr>
            <w:tcW w:w="4606" w:type="dxa"/>
          </w:tcPr>
          <w:p w:rsidR="001D46E2" w:rsidRDefault="001D46E2" w:rsidP="00DA075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+48,9 %</w:t>
            </w:r>
          </w:p>
        </w:tc>
      </w:tr>
      <w:tr w:rsidR="001D46E2" w:rsidTr="001D46E2">
        <w:tc>
          <w:tcPr>
            <w:tcW w:w="4606" w:type="dxa"/>
            <w:shd w:val="clear" w:color="auto" w:fill="FFCC00"/>
          </w:tcPr>
          <w:p w:rsidR="001D46E2" w:rsidRDefault="001D46E2" w:rsidP="00DA075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Węgry – BUX</w:t>
            </w:r>
          </w:p>
        </w:tc>
        <w:tc>
          <w:tcPr>
            <w:tcW w:w="4606" w:type="dxa"/>
          </w:tcPr>
          <w:p w:rsidR="001D46E2" w:rsidRDefault="001D46E2" w:rsidP="00DA075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+32,8 %</w:t>
            </w:r>
          </w:p>
        </w:tc>
      </w:tr>
      <w:tr w:rsidR="001D46E2" w:rsidTr="001D46E2">
        <w:tc>
          <w:tcPr>
            <w:tcW w:w="4606" w:type="dxa"/>
            <w:shd w:val="clear" w:color="auto" w:fill="FFCC00"/>
          </w:tcPr>
          <w:p w:rsidR="001D46E2" w:rsidRDefault="001D46E2" w:rsidP="00DA075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Japonia – NIKKEI 225</w:t>
            </w:r>
          </w:p>
        </w:tc>
        <w:tc>
          <w:tcPr>
            <w:tcW w:w="4606" w:type="dxa"/>
          </w:tcPr>
          <w:p w:rsidR="001D46E2" w:rsidRDefault="001D46E2" w:rsidP="00DA075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+6,7 %</w:t>
            </w:r>
          </w:p>
        </w:tc>
      </w:tr>
      <w:tr w:rsidR="001D46E2" w:rsidTr="001D46E2">
        <w:tc>
          <w:tcPr>
            <w:tcW w:w="4606" w:type="dxa"/>
            <w:shd w:val="clear" w:color="auto" w:fill="FFCC00"/>
          </w:tcPr>
          <w:p w:rsidR="001D46E2" w:rsidRDefault="001D46E2" w:rsidP="00DA075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Francja – CAC40</w:t>
            </w:r>
          </w:p>
        </w:tc>
        <w:tc>
          <w:tcPr>
            <w:tcW w:w="4606" w:type="dxa"/>
          </w:tcPr>
          <w:p w:rsidR="001D46E2" w:rsidRDefault="001D46E2" w:rsidP="00DA075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-15,2 %</w:t>
            </w:r>
          </w:p>
        </w:tc>
      </w:tr>
      <w:tr w:rsidR="001D46E2" w:rsidTr="001D46E2">
        <w:tc>
          <w:tcPr>
            <w:tcW w:w="4606" w:type="dxa"/>
            <w:shd w:val="clear" w:color="auto" w:fill="FFCC00"/>
          </w:tcPr>
          <w:p w:rsidR="001D46E2" w:rsidRDefault="001D46E2" w:rsidP="00DA075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Rosja - RTS</w:t>
            </w:r>
          </w:p>
        </w:tc>
        <w:tc>
          <w:tcPr>
            <w:tcW w:w="4606" w:type="dxa"/>
          </w:tcPr>
          <w:p w:rsidR="001D46E2" w:rsidRDefault="001D46E2" w:rsidP="00DA075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-37,6 %</w:t>
            </w:r>
          </w:p>
        </w:tc>
      </w:tr>
      <w:tr w:rsidR="001D46E2" w:rsidTr="001D46E2">
        <w:tc>
          <w:tcPr>
            <w:tcW w:w="4606" w:type="dxa"/>
            <w:shd w:val="clear" w:color="auto" w:fill="FFCC00"/>
          </w:tcPr>
          <w:p w:rsidR="001D46E2" w:rsidRDefault="001D46E2" w:rsidP="00DA075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Polska – WIG20</w:t>
            </w:r>
          </w:p>
        </w:tc>
        <w:tc>
          <w:tcPr>
            <w:tcW w:w="4606" w:type="dxa"/>
          </w:tcPr>
          <w:p w:rsidR="001D46E2" w:rsidRDefault="001D46E2" w:rsidP="00DA0758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-41,3 %</w:t>
            </w:r>
          </w:p>
        </w:tc>
      </w:tr>
    </w:tbl>
    <w:p w:rsidR="004D348C" w:rsidRDefault="004D348C" w:rsidP="004D348C">
      <w:pPr>
        <w:pStyle w:val="Bezodstpw"/>
        <w:jc w:val="both"/>
      </w:pPr>
      <w:r>
        <w:rPr>
          <w:sz w:val="26"/>
          <w:szCs w:val="26"/>
        </w:rPr>
        <w:t xml:space="preserve">Źródło: portal </w:t>
      </w:r>
      <w:hyperlink r:id="rId13" w:history="1">
        <w:r w:rsidRPr="00FC4630">
          <w:rPr>
            <w:rStyle w:val="Hipercze"/>
            <w:sz w:val="26"/>
            <w:szCs w:val="26"/>
          </w:rPr>
          <w:t>http://stooq.pl/</w:t>
        </w:r>
      </w:hyperlink>
    </w:p>
    <w:p w:rsidR="004D348C" w:rsidRDefault="004D348C" w:rsidP="004D348C">
      <w:pPr>
        <w:pStyle w:val="Bezodstpw"/>
        <w:jc w:val="both"/>
      </w:pPr>
    </w:p>
    <w:p w:rsidR="004D348C" w:rsidRDefault="004D348C" w:rsidP="004D348C">
      <w:pPr>
        <w:pStyle w:val="Bezodstpw"/>
        <w:jc w:val="both"/>
        <w:rPr>
          <w:sz w:val="26"/>
          <w:szCs w:val="26"/>
        </w:rPr>
      </w:pPr>
      <w:r w:rsidRPr="007D173F">
        <w:rPr>
          <w:sz w:val="26"/>
          <w:szCs w:val="26"/>
        </w:rPr>
        <w:t>Serwis Stooq prowadzony jest przez Akcje.</w:t>
      </w:r>
      <w:proofErr w:type="gramStart"/>
      <w:r w:rsidRPr="007D173F">
        <w:rPr>
          <w:sz w:val="26"/>
          <w:szCs w:val="26"/>
        </w:rPr>
        <w:t>net</w:t>
      </w:r>
      <w:proofErr w:type="gramEnd"/>
      <w:r w:rsidRPr="007D173F">
        <w:rPr>
          <w:sz w:val="26"/>
          <w:szCs w:val="26"/>
        </w:rPr>
        <w:t xml:space="preserve"> </w:t>
      </w:r>
      <w:proofErr w:type="spellStart"/>
      <w:r w:rsidRPr="007D173F">
        <w:rPr>
          <w:sz w:val="26"/>
          <w:szCs w:val="26"/>
        </w:rPr>
        <w:t>j.d.</w:t>
      </w:r>
      <w:proofErr w:type="gramStart"/>
      <w:r w:rsidRPr="007D173F">
        <w:rPr>
          <w:sz w:val="26"/>
          <w:szCs w:val="26"/>
        </w:rPr>
        <w:t>g</w:t>
      </w:r>
      <w:proofErr w:type="spellEnd"/>
      <w:proofErr w:type="gramEnd"/>
      <w:r w:rsidRPr="007D173F">
        <w:rPr>
          <w:sz w:val="26"/>
          <w:szCs w:val="26"/>
        </w:rPr>
        <w:t xml:space="preserve">. Jego </w:t>
      </w:r>
      <w:r>
        <w:rPr>
          <w:sz w:val="26"/>
          <w:szCs w:val="26"/>
        </w:rPr>
        <w:t xml:space="preserve">misją </w:t>
      </w:r>
      <w:r w:rsidRPr="007D173F">
        <w:rPr>
          <w:sz w:val="26"/>
          <w:szCs w:val="26"/>
        </w:rPr>
        <w:t xml:space="preserve">jest publikowanie informacji z rynków finansowych. </w:t>
      </w:r>
      <w:r>
        <w:rPr>
          <w:sz w:val="26"/>
          <w:szCs w:val="26"/>
        </w:rPr>
        <w:t xml:space="preserve">Strona </w:t>
      </w:r>
      <w:r w:rsidRPr="007D173F">
        <w:rPr>
          <w:sz w:val="26"/>
          <w:szCs w:val="26"/>
        </w:rPr>
        <w:t xml:space="preserve">działa na rynku od 2000 </w:t>
      </w:r>
      <w:proofErr w:type="gramStart"/>
      <w:r w:rsidRPr="007D173F">
        <w:rPr>
          <w:sz w:val="26"/>
          <w:szCs w:val="26"/>
        </w:rPr>
        <w:t>roku (jako</w:t>
      </w:r>
      <w:proofErr w:type="gramEnd"/>
      <w:r w:rsidRPr="007D173F">
        <w:rPr>
          <w:sz w:val="26"/>
          <w:szCs w:val="26"/>
        </w:rPr>
        <w:t xml:space="preserve"> firma od 2002 roku). Do września 2006 roku nazwą wiodącą było "Akcje.</w:t>
      </w:r>
      <w:proofErr w:type="gramStart"/>
      <w:r w:rsidRPr="007D173F">
        <w:rPr>
          <w:sz w:val="26"/>
          <w:szCs w:val="26"/>
        </w:rPr>
        <w:t>net</w:t>
      </w:r>
      <w:proofErr w:type="gramEnd"/>
      <w:r w:rsidRPr="007D173F">
        <w:rPr>
          <w:sz w:val="26"/>
          <w:szCs w:val="26"/>
        </w:rPr>
        <w:t>", po czym została ona zmieniona na "Stooq".</w:t>
      </w:r>
    </w:p>
    <w:p w:rsidR="004D348C" w:rsidRDefault="00262A55" w:rsidP="004D348C">
      <w:pPr>
        <w:pStyle w:val="Bezodstpw"/>
        <w:jc w:val="both"/>
        <w:rPr>
          <w:rStyle w:val="Hipercze"/>
          <w:sz w:val="26"/>
          <w:szCs w:val="26"/>
        </w:rPr>
      </w:pPr>
      <w:hyperlink r:id="rId14" w:history="1">
        <w:r w:rsidR="004D348C" w:rsidRPr="00FC4630">
          <w:rPr>
            <w:rStyle w:val="Hipercze"/>
            <w:sz w:val="26"/>
            <w:szCs w:val="26"/>
          </w:rPr>
          <w:t>http://stooq.pl/stooq/</w:t>
        </w:r>
      </w:hyperlink>
    </w:p>
    <w:p w:rsidR="004D348C" w:rsidRDefault="004D348C" w:rsidP="004D348C">
      <w:pPr>
        <w:pStyle w:val="Bezodstpw"/>
        <w:jc w:val="both"/>
        <w:rPr>
          <w:rStyle w:val="Hipercze"/>
          <w:color w:val="000000" w:themeColor="text1"/>
          <w:sz w:val="26"/>
          <w:szCs w:val="26"/>
        </w:rPr>
      </w:pPr>
      <w:r w:rsidRPr="008706C9">
        <w:rPr>
          <w:rStyle w:val="Hipercze"/>
          <w:color w:val="000000" w:themeColor="text1"/>
          <w:sz w:val="26"/>
          <w:szCs w:val="26"/>
        </w:rPr>
        <w:lastRenderedPageBreak/>
        <w:t xml:space="preserve">Przy </w:t>
      </w:r>
      <w:r>
        <w:rPr>
          <w:rStyle w:val="Hipercze"/>
          <w:color w:val="000000" w:themeColor="text1"/>
          <w:sz w:val="26"/>
          <w:szCs w:val="26"/>
        </w:rPr>
        <w:t xml:space="preserve">okazji warto także przyjrzeć się wykresowi kursu akcji spółki Lotos. </w:t>
      </w:r>
      <w:r w:rsidRPr="00766C2B">
        <w:rPr>
          <w:rStyle w:val="Hipercze"/>
          <w:b/>
          <w:color w:val="000000" w:themeColor="text1"/>
          <w:sz w:val="26"/>
          <w:szCs w:val="26"/>
        </w:rPr>
        <w:t>Przebicie spadkowej linii trendu</w:t>
      </w:r>
      <w:r>
        <w:rPr>
          <w:rStyle w:val="Hipercze"/>
          <w:color w:val="000000" w:themeColor="text1"/>
          <w:sz w:val="26"/>
          <w:szCs w:val="26"/>
        </w:rPr>
        <w:t xml:space="preserve"> poprowadzonej przez szczyty z 2013, 2014 oraz 2016 roku było tak zdecydowane i dynamiczne, że można oczekiwać dalszych zwyżek kursu. </w:t>
      </w:r>
    </w:p>
    <w:p w:rsidR="004D348C" w:rsidRDefault="004D348C" w:rsidP="004D348C">
      <w:pPr>
        <w:pStyle w:val="Bezodstpw"/>
        <w:jc w:val="both"/>
        <w:rPr>
          <w:rStyle w:val="Hipercze"/>
          <w:color w:val="000000" w:themeColor="text1"/>
          <w:sz w:val="26"/>
          <w:szCs w:val="26"/>
        </w:rPr>
      </w:pPr>
    </w:p>
    <w:p w:rsidR="004D348C" w:rsidRDefault="004D348C" w:rsidP="004D348C">
      <w:pPr>
        <w:pStyle w:val="Bezodstpw"/>
        <w:jc w:val="both"/>
        <w:rPr>
          <w:rStyle w:val="Hipercze"/>
          <w:b/>
          <w:color w:val="000000" w:themeColor="text1"/>
          <w:sz w:val="26"/>
          <w:szCs w:val="26"/>
        </w:rPr>
      </w:pPr>
      <w:r w:rsidRPr="008706C9">
        <w:rPr>
          <w:rStyle w:val="Hipercze"/>
          <w:b/>
          <w:color w:val="000000" w:themeColor="text1"/>
          <w:sz w:val="26"/>
          <w:szCs w:val="26"/>
        </w:rPr>
        <w:t>LOTOS</w:t>
      </w:r>
    </w:p>
    <w:p w:rsidR="004D348C" w:rsidRDefault="004D348C" w:rsidP="004D348C">
      <w:pPr>
        <w:pStyle w:val="Bezodstpw"/>
        <w:jc w:val="both"/>
        <w:rPr>
          <w:b/>
          <w:noProof/>
          <w:color w:val="000000" w:themeColor="text1"/>
          <w:u w:val="single"/>
          <w:lang w:eastAsia="pl-PL"/>
        </w:rPr>
      </w:pPr>
      <w:r>
        <w:rPr>
          <w:b/>
          <w:noProof/>
          <w:color w:val="000000" w:themeColor="text1"/>
          <w:u w:val="single"/>
          <w:lang w:eastAsia="pl-PL"/>
        </w:rPr>
        <w:drawing>
          <wp:inline distT="0" distB="0" distL="0" distR="0" wp14:anchorId="732DC178" wp14:editId="3D63FFFF">
            <wp:extent cx="5429250" cy="3257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48C" w:rsidRDefault="004D348C" w:rsidP="004D348C">
      <w:pPr>
        <w:pStyle w:val="Bezodstpw"/>
        <w:jc w:val="both"/>
        <w:rPr>
          <w:b/>
          <w:noProof/>
          <w:color w:val="000000" w:themeColor="text1"/>
          <w:u w:val="single"/>
          <w:lang w:eastAsia="pl-PL"/>
        </w:rPr>
      </w:pPr>
    </w:p>
    <w:p w:rsidR="004D348C" w:rsidRDefault="004D348C" w:rsidP="004D348C">
      <w:pPr>
        <w:pStyle w:val="Bezodstpw"/>
        <w:jc w:val="both"/>
        <w:rPr>
          <w:b/>
          <w:noProof/>
          <w:color w:val="000000" w:themeColor="text1"/>
          <w:u w:val="single"/>
          <w:lang w:eastAsia="pl-PL"/>
        </w:rPr>
      </w:pPr>
    </w:p>
    <w:p w:rsidR="004D348C" w:rsidRPr="00177D75" w:rsidRDefault="004D348C" w:rsidP="004D348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noProof/>
          <w:color w:val="000000" w:themeColor="text1"/>
          <w:sz w:val="26"/>
          <w:szCs w:val="26"/>
          <w:lang w:eastAsia="pl-PL"/>
        </w:rPr>
      </w:pPr>
      <w:r w:rsidRPr="00177D75">
        <w:rPr>
          <w:noProof/>
          <w:color w:val="000000" w:themeColor="text1"/>
          <w:sz w:val="26"/>
          <w:szCs w:val="26"/>
          <w:lang w:eastAsia="pl-PL"/>
        </w:rPr>
        <w:t>Portfel fundamentalny</w:t>
      </w:r>
    </w:p>
    <w:p w:rsidR="004D348C" w:rsidRPr="00177D75" w:rsidRDefault="004D348C" w:rsidP="004D348C">
      <w:pPr>
        <w:pStyle w:val="Bezodstpw"/>
        <w:jc w:val="both"/>
        <w:rPr>
          <w:noProof/>
          <w:color w:val="000000" w:themeColor="text1"/>
          <w:sz w:val="26"/>
          <w:szCs w:val="26"/>
          <w:lang w:eastAsia="pl-PL"/>
        </w:rPr>
      </w:pPr>
    </w:p>
    <w:p w:rsidR="004D348C" w:rsidRPr="004D156B" w:rsidRDefault="004D348C" w:rsidP="004D348C">
      <w:pPr>
        <w:pStyle w:val="Bezodstpw"/>
        <w:jc w:val="both"/>
        <w:rPr>
          <w:b/>
          <w:noProof/>
          <w:color w:val="000000" w:themeColor="text1"/>
          <w:sz w:val="26"/>
          <w:szCs w:val="26"/>
          <w:lang w:eastAsia="pl-PL"/>
        </w:rPr>
      </w:pPr>
      <w:r w:rsidRPr="004D156B">
        <w:rPr>
          <w:b/>
          <w:noProof/>
          <w:color w:val="000000" w:themeColor="text1"/>
          <w:sz w:val="26"/>
          <w:szCs w:val="26"/>
          <w:lang w:eastAsia="pl-PL"/>
        </w:rPr>
        <w:t>Co to jest spólka ..atrakcyjna fundamenatlnie” ?</w:t>
      </w:r>
    </w:p>
    <w:p w:rsidR="004D348C" w:rsidRPr="00177D75" w:rsidRDefault="004D348C" w:rsidP="004D348C">
      <w:pPr>
        <w:pStyle w:val="Bezodstpw"/>
        <w:jc w:val="both"/>
        <w:rPr>
          <w:noProof/>
          <w:color w:val="000000" w:themeColor="text1"/>
          <w:sz w:val="26"/>
          <w:szCs w:val="26"/>
          <w:lang w:eastAsia="pl-PL"/>
        </w:rPr>
      </w:pPr>
    </w:p>
    <w:p w:rsidR="004D348C" w:rsidRPr="00E4326C" w:rsidRDefault="004D348C" w:rsidP="004D348C">
      <w:pPr>
        <w:pStyle w:val="Bezodstpw"/>
        <w:jc w:val="both"/>
        <w:rPr>
          <w:b/>
          <w:noProof/>
          <w:color w:val="FF0000"/>
          <w:sz w:val="26"/>
          <w:szCs w:val="26"/>
          <w:lang w:eastAsia="pl-PL"/>
        </w:rPr>
      </w:pPr>
      <w:r w:rsidRPr="00177D75">
        <w:rPr>
          <w:noProof/>
          <w:color w:val="000000" w:themeColor="text1"/>
          <w:sz w:val="26"/>
          <w:szCs w:val="26"/>
          <w:lang w:eastAsia="pl-PL"/>
        </w:rPr>
        <w:t xml:space="preserve">22 lutego 2015 roku pojawiło się na stronie internetowej </w:t>
      </w:r>
      <w:hyperlink r:id="rId16" w:history="1">
        <w:r w:rsidRPr="00795318">
          <w:rPr>
            <w:rStyle w:val="Hipercze"/>
            <w:noProof/>
            <w:sz w:val="26"/>
            <w:szCs w:val="26"/>
            <w:lang w:eastAsia="pl-PL"/>
          </w:rPr>
          <w:t>http://analizy-rynkowe.pl/</w:t>
        </w:r>
      </w:hyperlink>
      <w:r>
        <w:rPr>
          <w:noProof/>
          <w:color w:val="000000" w:themeColor="text1"/>
          <w:sz w:val="26"/>
          <w:szCs w:val="26"/>
          <w:lang w:eastAsia="pl-PL"/>
        </w:rPr>
        <w:t xml:space="preserve"> </w:t>
      </w:r>
      <w:r w:rsidRPr="00177D75">
        <w:rPr>
          <w:noProof/>
          <w:color w:val="000000" w:themeColor="text1"/>
          <w:sz w:val="26"/>
          <w:szCs w:val="26"/>
          <w:lang w:eastAsia="pl-PL"/>
        </w:rPr>
        <w:t>opracowanie zatytułowane ,,Co to właściwie znaczy, że spółka jest ,,atrakcyjna fundamentalnie” ? – próba refleksji…”.</w:t>
      </w:r>
      <w:r>
        <w:rPr>
          <w:noProof/>
          <w:color w:val="000000" w:themeColor="text1"/>
          <w:sz w:val="26"/>
          <w:szCs w:val="26"/>
          <w:lang w:eastAsia="pl-PL"/>
        </w:rPr>
        <w:t xml:space="preserve"> </w:t>
      </w:r>
      <w:r w:rsidRPr="00177D75">
        <w:rPr>
          <w:noProof/>
          <w:color w:val="000000" w:themeColor="text1"/>
          <w:sz w:val="26"/>
          <w:szCs w:val="26"/>
          <w:lang w:eastAsia="pl-PL"/>
        </w:rPr>
        <w:t xml:space="preserve">Opracowaniu tym przedstawiłem koncepcję 3 kryteriów, wedle których można uznać daną spółkę za ,,atrakcyjną fundamentalnie”. Wyrażam przekonanie, że z punktu widzenia inwestora giełdowego </w:t>
      </w:r>
      <w:r w:rsidRPr="00E4326C">
        <w:rPr>
          <w:b/>
          <w:noProof/>
          <w:color w:val="FF0000"/>
          <w:sz w:val="26"/>
          <w:szCs w:val="26"/>
          <w:lang w:eastAsia="pl-PL"/>
        </w:rPr>
        <w:t>,,spółka atrakcyjna fundamentalnie” to spółka charakteryzująca się obecnie takimi wskaźnikami fundamentalnych, których poziom sprzyja wysokiej stopie zwrotu z akcji tej spółki w przyszłości.</w:t>
      </w:r>
    </w:p>
    <w:p w:rsidR="004D348C" w:rsidRPr="00177D75" w:rsidRDefault="004D348C" w:rsidP="004D348C">
      <w:pPr>
        <w:pStyle w:val="Bezodstpw"/>
        <w:jc w:val="both"/>
        <w:rPr>
          <w:noProof/>
          <w:color w:val="000000" w:themeColor="text1"/>
          <w:sz w:val="26"/>
          <w:szCs w:val="26"/>
          <w:lang w:eastAsia="pl-PL"/>
        </w:rPr>
      </w:pPr>
    </w:p>
    <w:p w:rsidR="004D348C" w:rsidRPr="00177D75" w:rsidRDefault="004D348C" w:rsidP="004D348C">
      <w:pPr>
        <w:pStyle w:val="Bezodstpw"/>
        <w:jc w:val="both"/>
        <w:rPr>
          <w:noProof/>
          <w:color w:val="000000" w:themeColor="text1"/>
          <w:sz w:val="26"/>
          <w:szCs w:val="26"/>
          <w:lang w:eastAsia="pl-PL"/>
        </w:rPr>
      </w:pPr>
      <w:r w:rsidRPr="00177D75">
        <w:rPr>
          <w:noProof/>
          <w:color w:val="000000" w:themeColor="text1"/>
          <w:sz w:val="26"/>
          <w:szCs w:val="26"/>
          <w:lang w:eastAsia="pl-PL"/>
        </w:rPr>
        <w:t>Dla pewnego uproszczenie i zarazem uszczegółowienia przyjmę, ze ,,spółka atrakcyjna fundamentalnie” w roku T to spółka charakteryzująca się takim wskaźnikami fundamentalnych w roku T, których poziom sprzyja wysokiej stopie zwrotu z akcji tej spółki w  roku T+1.</w:t>
      </w:r>
      <w:r>
        <w:rPr>
          <w:noProof/>
          <w:color w:val="000000" w:themeColor="text1"/>
          <w:sz w:val="26"/>
          <w:szCs w:val="26"/>
          <w:lang w:eastAsia="pl-PL"/>
        </w:rPr>
        <w:t xml:space="preserve"> </w:t>
      </w:r>
      <w:r w:rsidRPr="00177D75">
        <w:rPr>
          <w:noProof/>
          <w:color w:val="000000" w:themeColor="text1"/>
          <w:sz w:val="26"/>
          <w:szCs w:val="26"/>
          <w:lang w:eastAsia="pl-PL"/>
        </w:rPr>
        <w:t>Warto zauważyć, że 22 lutego 2016 roku opublikowałem listę 6 spółek ,,atrakcyjnych fundamentalnie”.</w:t>
      </w:r>
    </w:p>
    <w:p w:rsidR="004D348C" w:rsidRPr="00177D75" w:rsidRDefault="004D348C" w:rsidP="004D348C">
      <w:pPr>
        <w:pStyle w:val="Bezodstpw"/>
        <w:jc w:val="both"/>
        <w:rPr>
          <w:noProof/>
          <w:color w:val="000000" w:themeColor="text1"/>
          <w:sz w:val="26"/>
          <w:szCs w:val="26"/>
          <w:lang w:eastAsia="pl-PL"/>
        </w:rPr>
      </w:pPr>
    </w:p>
    <w:p w:rsidR="004D348C" w:rsidRDefault="00262A55" w:rsidP="004D348C">
      <w:pPr>
        <w:pStyle w:val="Bezodstpw"/>
        <w:jc w:val="both"/>
        <w:rPr>
          <w:noProof/>
          <w:color w:val="000000" w:themeColor="text1"/>
          <w:sz w:val="26"/>
          <w:szCs w:val="26"/>
          <w:lang w:eastAsia="pl-PL"/>
        </w:rPr>
      </w:pPr>
      <w:hyperlink r:id="rId17" w:history="1">
        <w:r w:rsidR="004D348C" w:rsidRPr="00795318">
          <w:rPr>
            <w:rStyle w:val="Hipercze"/>
            <w:noProof/>
            <w:sz w:val="26"/>
            <w:szCs w:val="26"/>
            <w:lang w:eastAsia="pl-PL"/>
          </w:rPr>
          <w:t>http://analizy-rynkowe.pl/lista-6-spolek-atrakcyjnych-fundamentalnie/</w:t>
        </w:r>
      </w:hyperlink>
    </w:p>
    <w:p w:rsidR="004D348C" w:rsidRPr="00177D75" w:rsidRDefault="004D348C" w:rsidP="004D348C">
      <w:pPr>
        <w:pStyle w:val="Bezodstpw"/>
        <w:jc w:val="both"/>
        <w:rPr>
          <w:noProof/>
          <w:color w:val="000000" w:themeColor="text1"/>
          <w:sz w:val="26"/>
          <w:szCs w:val="26"/>
          <w:lang w:eastAsia="pl-PL"/>
        </w:rPr>
      </w:pPr>
      <w:r w:rsidRPr="00177D75">
        <w:rPr>
          <w:noProof/>
          <w:color w:val="000000" w:themeColor="text1"/>
          <w:sz w:val="26"/>
          <w:szCs w:val="26"/>
          <w:lang w:eastAsia="pl-PL"/>
        </w:rPr>
        <w:lastRenderedPageBreak/>
        <w:t>Przypomnę, że spółka ,,atrakcyjna fundamentalnie” powinna być umieszczona (na przestrzeni ostatnich 12 miesięcy) w rubryce ,,Wykres do przemyślenia” a poza tym powinna spełniać 3 kryteria fundamentalne”</w:t>
      </w:r>
    </w:p>
    <w:p w:rsidR="004D348C" w:rsidRPr="00177D75" w:rsidRDefault="004D348C" w:rsidP="004D348C">
      <w:pPr>
        <w:pStyle w:val="Bezodstpw"/>
        <w:jc w:val="both"/>
        <w:rPr>
          <w:noProof/>
          <w:color w:val="000000" w:themeColor="text1"/>
          <w:sz w:val="26"/>
          <w:szCs w:val="26"/>
          <w:lang w:eastAsia="pl-PL"/>
        </w:rPr>
      </w:pPr>
    </w:p>
    <w:p w:rsidR="004D348C" w:rsidRPr="004D156B" w:rsidRDefault="004D348C" w:rsidP="004D348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b/>
          <w:noProof/>
          <w:color w:val="FF0000"/>
          <w:sz w:val="26"/>
          <w:szCs w:val="26"/>
          <w:lang w:eastAsia="pl-PL"/>
        </w:rPr>
      </w:pPr>
      <w:r w:rsidRPr="004D156B">
        <w:rPr>
          <w:b/>
          <w:noProof/>
          <w:color w:val="FF0000"/>
          <w:sz w:val="26"/>
          <w:szCs w:val="26"/>
          <w:lang w:eastAsia="pl-PL"/>
        </w:rPr>
        <w:t>Kryterium 1</w:t>
      </w:r>
    </w:p>
    <w:p w:rsidR="004D348C" w:rsidRPr="004D156B" w:rsidRDefault="004D348C" w:rsidP="004D348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noProof/>
          <w:color w:val="FF0000"/>
          <w:sz w:val="50"/>
          <w:szCs w:val="50"/>
          <w:lang w:eastAsia="pl-PL"/>
        </w:rPr>
      </w:pPr>
      <w:r w:rsidRPr="004D156B">
        <w:rPr>
          <w:noProof/>
          <w:color w:val="FF0000"/>
          <w:sz w:val="50"/>
          <w:szCs w:val="50"/>
          <w:lang w:eastAsia="pl-PL"/>
        </w:rPr>
        <w:t>C/WK niższy od 1,0</w:t>
      </w:r>
    </w:p>
    <w:p w:rsidR="004D348C" w:rsidRPr="004D156B" w:rsidRDefault="004D348C" w:rsidP="004D348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noProof/>
          <w:color w:val="FF0000"/>
          <w:sz w:val="26"/>
          <w:szCs w:val="26"/>
          <w:lang w:eastAsia="pl-PL"/>
        </w:rPr>
      </w:pPr>
    </w:p>
    <w:p w:rsidR="004D348C" w:rsidRPr="004D156B" w:rsidRDefault="004D348C" w:rsidP="004D348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b/>
          <w:noProof/>
          <w:color w:val="FF0000"/>
          <w:sz w:val="26"/>
          <w:szCs w:val="26"/>
          <w:lang w:eastAsia="pl-PL"/>
        </w:rPr>
      </w:pPr>
      <w:r w:rsidRPr="004D156B">
        <w:rPr>
          <w:b/>
          <w:noProof/>
          <w:color w:val="FF0000"/>
          <w:sz w:val="26"/>
          <w:szCs w:val="26"/>
          <w:lang w:eastAsia="pl-PL"/>
        </w:rPr>
        <w:t>Kryterium 2</w:t>
      </w:r>
    </w:p>
    <w:p w:rsidR="004D348C" w:rsidRPr="004D156B" w:rsidRDefault="004D348C" w:rsidP="004D348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noProof/>
          <w:color w:val="FF0000"/>
          <w:sz w:val="50"/>
          <w:szCs w:val="50"/>
          <w:lang w:eastAsia="pl-PL"/>
        </w:rPr>
      </w:pPr>
      <w:r w:rsidRPr="004D156B">
        <w:rPr>
          <w:noProof/>
          <w:color w:val="FF0000"/>
          <w:sz w:val="50"/>
          <w:szCs w:val="50"/>
          <w:lang w:eastAsia="pl-PL"/>
        </w:rPr>
        <w:t>Płynność bieżąca wyższa od 1,5</w:t>
      </w:r>
    </w:p>
    <w:p w:rsidR="004D348C" w:rsidRPr="004D156B" w:rsidRDefault="004D348C" w:rsidP="004D348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noProof/>
          <w:color w:val="FF0000"/>
          <w:sz w:val="26"/>
          <w:szCs w:val="26"/>
          <w:lang w:eastAsia="pl-PL"/>
        </w:rPr>
      </w:pPr>
    </w:p>
    <w:p w:rsidR="004D348C" w:rsidRPr="004D156B" w:rsidRDefault="004D348C" w:rsidP="004D348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b/>
          <w:noProof/>
          <w:color w:val="FF0000"/>
          <w:sz w:val="26"/>
          <w:szCs w:val="26"/>
          <w:lang w:eastAsia="pl-PL"/>
        </w:rPr>
      </w:pPr>
      <w:r w:rsidRPr="004D156B">
        <w:rPr>
          <w:b/>
          <w:noProof/>
          <w:color w:val="FF0000"/>
          <w:sz w:val="26"/>
          <w:szCs w:val="26"/>
          <w:lang w:eastAsia="pl-PL"/>
        </w:rPr>
        <w:t>Kryterium 3</w:t>
      </w:r>
    </w:p>
    <w:p w:rsidR="004D348C" w:rsidRPr="004D156B" w:rsidRDefault="004D348C" w:rsidP="004D348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noProof/>
          <w:color w:val="FF0000"/>
          <w:sz w:val="50"/>
          <w:szCs w:val="50"/>
          <w:lang w:eastAsia="pl-PL"/>
        </w:rPr>
      </w:pPr>
      <w:r w:rsidRPr="004D156B">
        <w:rPr>
          <w:noProof/>
          <w:color w:val="FF0000"/>
          <w:sz w:val="50"/>
          <w:szCs w:val="50"/>
          <w:lang w:eastAsia="pl-PL"/>
        </w:rPr>
        <w:t>Rentowność/Płynność (czyli rentowność sprzedaży w %/płynność bieżąca w krotnościach) niższa od 3,0</w:t>
      </w:r>
    </w:p>
    <w:p w:rsidR="004D348C" w:rsidRPr="00177D75" w:rsidRDefault="004D348C" w:rsidP="004D348C">
      <w:pPr>
        <w:pStyle w:val="Bezodstpw"/>
        <w:jc w:val="both"/>
        <w:rPr>
          <w:noProof/>
          <w:color w:val="000000" w:themeColor="text1"/>
          <w:sz w:val="26"/>
          <w:szCs w:val="26"/>
          <w:lang w:eastAsia="pl-PL"/>
        </w:rPr>
      </w:pPr>
    </w:p>
    <w:p w:rsidR="004D348C" w:rsidRPr="00177D75" w:rsidRDefault="004D348C" w:rsidP="004D348C">
      <w:pPr>
        <w:pStyle w:val="Bezodstpw"/>
        <w:jc w:val="both"/>
        <w:rPr>
          <w:noProof/>
          <w:color w:val="000000" w:themeColor="text1"/>
          <w:sz w:val="26"/>
          <w:szCs w:val="26"/>
          <w:lang w:eastAsia="pl-PL"/>
        </w:rPr>
      </w:pPr>
      <w:r w:rsidRPr="00177D75">
        <w:rPr>
          <w:noProof/>
          <w:color w:val="000000" w:themeColor="text1"/>
          <w:sz w:val="26"/>
          <w:szCs w:val="26"/>
          <w:lang w:eastAsia="pl-PL"/>
        </w:rPr>
        <w:t xml:space="preserve">,,Spółką atrakcyjną fundamentalną” jest ta, której akcje są </w:t>
      </w:r>
      <w:r w:rsidRPr="00BB5019">
        <w:rPr>
          <w:b/>
          <w:noProof/>
          <w:color w:val="000000" w:themeColor="text1"/>
          <w:sz w:val="26"/>
          <w:szCs w:val="26"/>
          <w:lang w:eastAsia="pl-PL"/>
        </w:rPr>
        <w:t>tanio wycenione w stosunku do wartości księgowej</w:t>
      </w:r>
      <w:r w:rsidRPr="00177D75">
        <w:rPr>
          <w:noProof/>
          <w:color w:val="000000" w:themeColor="text1"/>
          <w:sz w:val="26"/>
          <w:szCs w:val="26"/>
          <w:lang w:eastAsia="pl-PL"/>
        </w:rPr>
        <w:t xml:space="preserve">, która charakteryzuje się </w:t>
      </w:r>
      <w:r w:rsidRPr="00BB5019">
        <w:rPr>
          <w:b/>
          <w:noProof/>
          <w:color w:val="000000" w:themeColor="text1"/>
          <w:sz w:val="26"/>
          <w:szCs w:val="26"/>
          <w:lang w:eastAsia="pl-PL"/>
        </w:rPr>
        <w:t>relatywnie wysoką zdolnością do regulowania swych zobowiązań</w:t>
      </w:r>
      <w:r w:rsidRPr="00177D75">
        <w:rPr>
          <w:noProof/>
          <w:color w:val="000000" w:themeColor="text1"/>
          <w:sz w:val="26"/>
          <w:szCs w:val="26"/>
          <w:lang w:eastAsia="pl-PL"/>
        </w:rPr>
        <w:t xml:space="preserve"> wobec dostawców oraz banków (o czym świadczy wysoki wskaźnik płynności bieżącej a poza tym charakteryzuje się </w:t>
      </w:r>
      <w:r w:rsidRPr="00BB5019">
        <w:rPr>
          <w:b/>
          <w:noProof/>
          <w:color w:val="000000" w:themeColor="text1"/>
          <w:sz w:val="26"/>
          <w:szCs w:val="26"/>
          <w:lang w:eastAsia="pl-PL"/>
        </w:rPr>
        <w:t>stosunkowo niską rentownością</w:t>
      </w:r>
      <w:r w:rsidRPr="00177D75">
        <w:rPr>
          <w:noProof/>
          <w:color w:val="000000" w:themeColor="text1"/>
          <w:sz w:val="26"/>
          <w:szCs w:val="26"/>
          <w:lang w:eastAsia="pl-PL"/>
        </w:rPr>
        <w:t xml:space="preserve"> (można bowiem założyć, że skoro rentowność jest obecnie relatywnie niska to w przyszłości wzrośnie, a kurs akcji będzie rósł dyskontując ów przyszły wzrost rentowności; kursy akcji dyskontują bowiem przyszłość)</w:t>
      </w:r>
      <w:r>
        <w:rPr>
          <w:noProof/>
          <w:color w:val="000000" w:themeColor="text1"/>
          <w:sz w:val="26"/>
          <w:szCs w:val="26"/>
          <w:lang w:eastAsia="pl-PL"/>
        </w:rPr>
        <w:t>.</w:t>
      </w:r>
    </w:p>
    <w:p w:rsidR="004D348C" w:rsidRPr="00177D75" w:rsidRDefault="004D348C" w:rsidP="004D348C">
      <w:pPr>
        <w:pStyle w:val="Bezodstpw"/>
        <w:jc w:val="both"/>
        <w:rPr>
          <w:noProof/>
          <w:color w:val="000000" w:themeColor="text1"/>
          <w:sz w:val="26"/>
          <w:szCs w:val="26"/>
          <w:lang w:eastAsia="pl-PL"/>
        </w:rPr>
      </w:pPr>
    </w:p>
    <w:p w:rsidR="004D348C" w:rsidRPr="00177D75" w:rsidRDefault="004D348C" w:rsidP="004D348C">
      <w:pPr>
        <w:pStyle w:val="Bezodstpw"/>
        <w:jc w:val="both"/>
        <w:rPr>
          <w:noProof/>
          <w:color w:val="000000" w:themeColor="text1"/>
          <w:sz w:val="26"/>
          <w:szCs w:val="26"/>
          <w:lang w:eastAsia="pl-PL"/>
        </w:rPr>
      </w:pPr>
      <w:r w:rsidRPr="00177D75">
        <w:rPr>
          <w:noProof/>
          <w:color w:val="000000" w:themeColor="text1"/>
          <w:sz w:val="26"/>
          <w:szCs w:val="26"/>
          <w:lang w:eastAsia="pl-PL"/>
        </w:rPr>
        <w:t>Oto aktualny skład nowego ,,portfela fundamentalnego” i zachowanie kursów akcji poszczególnych spółek w okresie od 19 lutego do 2</w:t>
      </w:r>
      <w:r>
        <w:rPr>
          <w:noProof/>
          <w:color w:val="000000" w:themeColor="text1"/>
          <w:sz w:val="26"/>
          <w:szCs w:val="26"/>
          <w:lang w:eastAsia="pl-PL"/>
        </w:rPr>
        <w:t xml:space="preserve">8 października </w:t>
      </w:r>
      <w:r w:rsidRPr="00177D75">
        <w:rPr>
          <w:noProof/>
          <w:color w:val="000000" w:themeColor="text1"/>
          <w:sz w:val="26"/>
          <w:szCs w:val="26"/>
          <w:lang w:eastAsia="pl-PL"/>
        </w:rPr>
        <w:t>2016 roku.</w:t>
      </w:r>
    </w:p>
    <w:p w:rsidR="004D348C" w:rsidRDefault="004D348C" w:rsidP="004D348C">
      <w:pPr>
        <w:pStyle w:val="Bezodstpw"/>
        <w:jc w:val="both"/>
        <w:rPr>
          <w:noProof/>
          <w:color w:val="000000" w:themeColor="text1"/>
          <w:sz w:val="26"/>
          <w:szCs w:val="2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4D348C" w:rsidTr="00E4326C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Default="004D348C" w:rsidP="00DA07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Instrument </w:t>
            </w:r>
          </w:p>
          <w:p w:rsidR="004D348C" w:rsidRDefault="004D348C" w:rsidP="00DA0758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finansowy</w:t>
            </w:r>
            <w:proofErr w:type="gram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Default="00E4326C" w:rsidP="00E4326C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Kurs 1 akcji</w:t>
            </w:r>
            <w:r w:rsidR="004D348C">
              <w:rPr>
                <w:sz w:val="36"/>
                <w:szCs w:val="36"/>
              </w:rPr>
              <w:t xml:space="preserve">  19.02.2016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Default="00E4326C" w:rsidP="00E4326C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Kurs 1 akcji </w:t>
            </w:r>
            <w:r w:rsidR="004D348C">
              <w:rPr>
                <w:sz w:val="36"/>
                <w:szCs w:val="36"/>
              </w:rPr>
              <w:t xml:space="preserve"> 28.10.2016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Default="004D348C" w:rsidP="00DA075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4D348C" w:rsidTr="00E4326C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4D348C" w:rsidRPr="00E4326C" w:rsidRDefault="004D348C" w:rsidP="00DA075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E4326C">
              <w:rPr>
                <w:sz w:val="28"/>
                <w:szCs w:val="28"/>
              </w:rPr>
              <w:t>Akcja spółki Agora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Default="004D348C" w:rsidP="00DA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Default="004D348C" w:rsidP="00DA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Default="004D348C" w:rsidP="00DA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-6,0</w:t>
            </w:r>
          </w:p>
        </w:tc>
      </w:tr>
      <w:tr w:rsidR="004D348C" w:rsidTr="00E4326C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4D348C" w:rsidRPr="00E4326C" w:rsidRDefault="004D348C" w:rsidP="00DA075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E4326C">
              <w:rPr>
                <w:sz w:val="28"/>
                <w:szCs w:val="28"/>
              </w:rPr>
              <w:t>Akcja spółki Nowa Gala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Default="004D348C" w:rsidP="00DA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Default="004D348C" w:rsidP="00DA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Default="004D348C" w:rsidP="00DA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-3,3</w:t>
            </w:r>
          </w:p>
        </w:tc>
      </w:tr>
      <w:tr w:rsidR="004D348C" w:rsidTr="00E4326C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4D348C" w:rsidRPr="00E4326C" w:rsidRDefault="004D348C" w:rsidP="00DA075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E4326C">
              <w:rPr>
                <w:sz w:val="28"/>
                <w:szCs w:val="28"/>
              </w:rPr>
              <w:t xml:space="preserve">Akcja </w:t>
            </w:r>
            <w:proofErr w:type="gramStart"/>
            <w:r w:rsidRPr="00E4326C">
              <w:rPr>
                <w:sz w:val="28"/>
                <w:szCs w:val="28"/>
              </w:rPr>
              <w:t xml:space="preserve">spółki  </w:t>
            </w:r>
            <w:proofErr w:type="spellStart"/>
            <w:r w:rsidRPr="00E4326C">
              <w:rPr>
                <w:sz w:val="28"/>
                <w:szCs w:val="28"/>
              </w:rPr>
              <w:t>Netmedia</w:t>
            </w:r>
            <w:proofErr w:type="spellEnd"/>
            <w:proofErr w:type="gram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Default="004D348C" w:rsidP="00DA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5,03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Default="004D348C" w:rsidP="00DA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Default="004D348C" w:rsidP="00DA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+38,2</w:t>
            </w:r>
          </w:p>
        </w:tc>
      </w:tr>
      <w:tr w:rsidR="004D348C" w:rsidTr="00E4326C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4D348C" w:rsidRPr="00E4326C" w:rsidRDefault="004D348C" w:rsidP="00DA075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E4326C">
              <w:rPr>
                <w:sz w:val="28"/>
                <w:szCs w:val="28"/>
              </w:rPr>
              <w:t>Akcja spółki Stalprodukt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Default="004D348C" w:rsidP="00DA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237,10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Default="004D348C" w:rsidP="00DA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451,95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Default="004D348C" w:rsidP="00DA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+90,6</w:t>
            </w:r>
          </w:p>
        </w:tc>
      </w:tr>
      <w:tr w:rsidR="004D348C" w:rsidTr="00E4326C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4D348C" w:rsidRPr="00E4326C" w:rsidRDefault="004D348C" w:rsidP="00DA0758">
            <w:pPr>
              <w:jc w:val="center"/>
              <w:rPr>
                <w:sz w:val="28"/>
                <w:szCs w:val="28"/>
              </w:rPr>
            </w:pPr>
            <w:r w:rsidRPr="00E4326C">
              <w:rPr>
                <w:sz w:val="28"/>
                <w:szCs w:val="28"/>
              </w:rPr>
              <w:t xml:space="preserve">Akcja spółki </w:t>
            </w:r>
            <w:proofErr w:type="spellStart"/>
            <w:r w:rsidRPr="00E4326C">
              <w:rPr>
                <w:sz w:val="28"/>
                <w:szCs w:val="28"/>
              </w:rPr>
              <w:t>Tesgas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Default="004D348C" w:rsidP="00DA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Default="004D348C" w:rsidP="00DA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3,41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Default="004D348C" w:rsidP="00DA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+6,9</w:t>
            </w:r>
          </w:p>
        </w:tc>
      </w:tr>
      <w:tr w:rsidR="004D348C" w:rsidTr="00E4326C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4D348C" w:rsidRPr="00E4326C" w:rsidRDefault="004D348C" w:rsidP="00DA0758">
            <w:pPr>
              <w:jc w:val="center"/>
              <w:rPr>
                <w:sz w:val="28"/>
                <w:szCs w:val="28"/>
              </w:rPr>
            </w:pPr>
            <w:r w:rsidRPr="00E4326C">
              <w:rPr>
                <w:sz w:val="28"/>
                <w:szCs w:val="28"/>
              </w:rPr>
              <w:t xml:space="preserve">Akcja spółki </w:t>
            </w:r>
            <w:proofErr w:type="spellStart"/>
            <w:r w:rsidRPr="00E4326C">
              <w:rPr>
                <w:sz w:val="28"/>
                <w:szCs w:val="28"/>
              </w:rPr>
              <w:t>Unima</w:t>
            </w:r>
            <w:proofErr w:type="spellEnd"/>
            <w:r w:rsidRPr="00E4326C">
              <w:rPr>
                <w:sz w:val="28"/>
                <w:szCs w:val="28"/>
              </w:rPr>
              <w:t xml:space="preserve"> 2000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Default="004D348C" w:rsidP="00DA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Default="004D348C" w:rsidP="00DA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Default="004D348C" w:rsidP="00DA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+23,0</w:t>
            </w:r>
          </w:p>
        </w:tc>
      </w:tr>
      <w:tr w:rsidR="004D348C" w:rsidTr="00DA075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F76A71" w:rsidRDefault="004D348C" w:rsidP="00DA0758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F76A71">
              <w:rPr>
                <w:b/>
                <w:color w:val="FF0000"/>
                <w:sz w:val="28"/>
                <w:szCs w:val="28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48C" w:rsidRPr="00F76A71" w:rsidRDefault="004D348C" w:rsidP="00DA0758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48C" w:rsidRPr="00F76A71" w:rsidRDefault="004D348C" w:rsidP="00DA0758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F76A71" w:rsidRDefault="004D348C" w:rsidP="00DA0758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F76A71">
              <w:rPr>
                <w:b/>
                <w:color w:val="FF0000"/>
                <w:sz w:val="28"/>
                <w:szCs w:val="28"/>
              </w:rPr>
              <w:t>+</w:t>
            </w:r>
            <w:r>
              <w:rPr>
                <w:b/>
                <w:color w:val="FF0000"/>
                <w:sz w:val="28"/>
                <w:szCs w:val="28"/>
              </w:rPr>
              <w:t>24,9</w:t>
            </w:r>
          </w:p>
        </w:tc>
      </w:tr>
      <w:tr w:rsidR="004D348C" w:rsidTr="00DA075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F76A71" w:rsidRDefault="004D348C" w:rsidP="00DA075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76A71">
              <w:rPr>
                <w:sz w:val="28"/>
                <w:szCs w:val="28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F76A71" w:rsidRDefault="004D348C" w:rsidP="00DA075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76A71">
              <w:rPr>
                <w:sz w:val="28"/>
                <w:szCs w:val="28"/>
              </w:rPr>
              <w:t>1 841,06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F76A71" w:rsidRDefault="004D348C" w:rsidP="00DA075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76A71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817</w:t>
            </w:r>
            <w:r w:rsidRPr="00F76A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79</w:t>
            </w:r>
            <w:r w:rsidRPr="00F76A71">
              <w:rPr>
                <w:sz w:val="28"/>
                <w:szCs w:val="28"/>
              </w:rPr>
              <w:t xml:space="preserve"> pkt.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F76A71" w:rsidRDefault="004D348C" w:rsidP="00DA075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-1,3</w:t>
            </w:r>
          </w:p>
        </w:tc>
      </w:tr>
    </w:tbl>
    <w:p w:rsidR="004D348C" w:rsidRPr="007004E1" w:rsidRDefault="004D348C" w:rsidP="004D348C">
      <w:pPr>
        <w:shd w:val="clear" w:color="auto" w:fill="FFFF00"/>
      </w:pPr>
      <w:r w:rsidRPr="007004E1">
        <w:rPr>
          <w:noProof/>
          <w:lang w:eastAsia="pl-PL"/>
        </w:rPr>
        <w:lastRenderedPageBreak/>
        <w:drawing>
          <wp:inline distT="0" distB="0" distL="0" distR="0" wp14:anchorId="4060A697" wp14:editId="56E3B73C">
            <wp:extent cx="923925" cy="1318133"/>
            <wp:effectExtent l="0" t="0" r="0" b="0"/>
            <wp:docPr id="4" name="Obraz 4" descr="http://mistrzowierynkow.pl/wp-content/uploads/2015/07/slawomir-klusek-e143697518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trzowierynkow.pl/wp-content/uploads/2015/07/slawomir-klusek-e143697518875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5" cy="13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8C" w:rsidRPr="007004E1" w:rsidRDefault="004D348C" w:rsidP="004D348C">
      <w:pPr>
        <w:shd w:val="clear" w:color="auto" w:fill="FFFF00"/>
      </w:pPr>
    </w:p>
    <w:p w:rsidR="004D348C" w:rsidRPr="007004E1" w:rsidRDefault="004D348C" w:rsidP="004D348C">
      <w:pPr>
        <w:shd w:val="clear" w:color="auto" w:fill="FFFF00"/>
        <w:jc w:val="center"/>
        <w:rPr>
          <w:sz w:val="140"/>
          <w:szCs w:val="140"/>
        </w:rPr>
      </w:pPr>
      <w:r w:rsidRPr="007004E1">
        <w:rPr>
          <w:sz w:val="140"/>
          <w:szCs w:val="140"/>
        </w:rPr>
        <w:t>Rubryka</w:t>
      </w:r>
    </w:p>
    <w:p w:rsidR="004D348C" w:rsidRPr="007004E1" w:rsidRDefault="004D348C" w:rsidP="004D348C">
      <w:pPr>
        <w:shd w:val="clear" w:color="auto" w:fill="FFFF00"/>
        <w:jc w:val="center"/>
        <w:rPr>
          <w:sz w:val="90"/>
          <w:szCs w:val="90"/>
        </w:rPr>
      </w:pPr>
      <w:proofErr w:type="gramStart"/>
      <w:r w:rsidRPr="007004E1">
        <w:rPr>
          <w:sz w:val="140"/>
          <w:szCs w:val="140"/>
        </w:rPr>
        <w:t>,,</w:t>
      </w:r>
      <w:proofErr w:type="gramEnd"/>
      <w:r w:rsidRPr="007004E1">
        <w:rPr>
          <w:sz w:val="140"/>
          <w:szCs w:val="140"/>
        </w:rPr>
        <w:t>Wykres do przemyślenia”</w:t>
      </w:r>
    </w:p>
    <w:p w:rsidR="004D348C" w:rsidRPr="007004E1" w:rsidRDefault="004D348C" w:rsidP="004D348C">
      <w:pPr>
        <w:shd w:val="clear" w:color="auto" w:fill="FFFF00"/>
        <w:jc w:val="center"/>
        <w:rPr>
          <w:sz w:val="50"/>
          <w:szCs w:val="50"/>
        </w:rPr>
      </w:pPr>
      <w:r w:rsidRPr="007004E1">
        <w:rPr>
          <w:sz w:val="50"/>
          <w:szCs w:val="50"/>
        </w:rPr>
        <w:t>Sławomir Kłusek</w:t>
      </w:r>
    </w:p>
    <w:p w:rsidR="004D348C" w:rsidRPr="007004E1" w:rsidRDefault="004D348C" w:rsidP="004D348C">
      <w:pPr>
        <w:shd w:val="clear" w:color="auto" w:fill="548DD4" w:themeFill="text2" w:themeFillTint="99"/>
        <w:jc w:val="center"/>
        <w:rPr>
          <w:smallCaps/>
          <w:color w:val="FFFFFF" w:themeColor="background1"/>
          <w:sz w:val="90"/>
          <w:szCs w:val="90"/>
        </w:rPr>
      </w:pPr>
      <w:proofErr w:type="gramStart"/>
      <w:r w:rsidRPr="007004E1">
        <w:rPr>
          <w:smallCaps/>
          <w:color w:val="FFFFFF" w:themeColor="background1"/>
          <w:sz w:val="90"/>
          <w:szCs w:val="90"/>
        </w:rPr>
        <w:t>analizy-rynkowe</w:t>
      </w:r>
      <w:proofErr w:type="gramEnd"/>
      <w:r w:rsidRPr="007004E1">
        <w:rPr>
          <w:smallCaps/>
          <w:color w:val="FFFFFF" w:themeColor="background1"/>
          <w:sz w:val="90"/>
          <w:szCs w:val="90"/>
        </w:rPr>
        <w:t>.</w:t>
      </w:r>
      <w:proofErr w:type="gramStart"/>
      <w:r w:rsidRPr="007004E1">
        <w:rPr>
          <w:smallCaps/>
          <w:color w:val="FFFFFF" w:themeColor="background1"/>
          <w:sz w:val="90"/>
          <w:szCs w:val="90"/>
        </w:rPr>
        <w:t>pl</w:t>
      </w:r>
      <w:proofErr w:type="gramEnd"/>
    </w:p>
    <w:p w:rsidR="004D348C" w:rsidRPr="007004E1" w:rsidRDefault="004D348C" w:rsidP="004D348C">
      <w:pPr>
        <w:shd w:val="clear" w:color="auto" w:fill="FFFF00"/>
        <w:jc w:val="center"/>
        <w:rPr>
          <w:sz w:val="50"/>
          <w:szCs w:val="50"/>
        </w:rPr>
      </w:pPr>
    </w:p>
    <w:p w:rsidR="004D348C" w:rsidRPr="007004E1" w:rsidRDefault="004D348C" w:rsidP="004D348C">
      <w:pPr>
        <w:shd w:val="clear" w:color="auto" w:fill="FFFF00"/>
        <w:jc w:val="center"/>
        <w:rPr>
          <w:sz w:val="50"/>
          <w:szCs w:val="50"/>
        </w:rPr>
      </w:pPr>
    </w:p>
    <w:p w:rsidR="004D348C" w:rsidRPr="007004E1" w:rsidRDefault="004D348C" w:rsidP="004D348C">
      <w:pPr>
        <w:shd w:val="clear" w:color="auto" w:fill="FFFF00"/>
        <w:jc w:val="center"/>
        <w:rPr>
          <w:sz w:val="50"/>
          <w:szCs w:val="50"/>
        </w:rPr>
      </w:pP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b/>
          <w:color w:val="000000" w:themeColor="text1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Średnia procentowa zmiana kursu akcji spółki po wprowadzeniu jej do rubryki </w:t>
      </w:r>
      <w:proofErr w:type="gramStart"/>
      <w:r w:rsidRPr="007004E1">
        <w:rPr>
          <w:rFonts w:eastAsiaTheme="minorEastAsia"/>
          <w:b/>
          <w:color w:val="000000" w:themeColor="text1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7004E1">
        <w:rPr>
          <w:rFonts w:eastAsiaTheme="minorEastAsia"/>
          <w:b/>
          <w:color w:val="000000" w:themeColor="text1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12 pierwszych miesięcy po jej wprowadzeniu do tej rubryki była dotychczas </w:t>
      </w:r>
      <w:r w:rsidRPr="007004E1">
        <w:rPr>
          <w:rFonts w:eastAsiaTheme="minorEastAsia"/>
          <w:b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lepsza o 21,6 punku procentowego od WIG-u</w:t>
      </w:r>
    </w:p>
    <w:p w:rsidR="004D348C" w:rsidRPr="007004E1" w:rsidRDefault="004D348C" w:rsidP="004D348C">
      <w:pPr>
        <w:spacing w:after="0" w:line="240" w:lineRule="auto"/>
        <w:jc w:val="center"/>
        <w:rPr>
          <w:rFonts w:eastAsiaTheme="minorEastAsia"/>
          <w:color w:val="FF0000"/>
          <w:sz w:val="60"/>
          <w:szCs w:val="6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48C" w:rsidRPr="007004E1" w:rsidRDefault="004D348C" w:rsidP="004D348C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Podsumowanie</w:t>
      </w:r>
    </w:p>
    <w:p w:rsidR="004D348C" w:rsidRPr="007004E1" w:rsidRDefault="004D348C" w:rsidP="004D348C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004E1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</w:t>
      </w:r>
      <w:proofErr w:type="gramEnd"/>
      <w:r w:rsidRPr="007004E1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D348C" w:rsidRPr="007004E1" w:rsidRDefault="004D348C" w:rsidP="004D348C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004E1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stanu</w:t>
      </w:r>
      <w:proofErr w:type="gramEnd"/>
      <w:r w:rsidRPr="007004E1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D348C" w:rsidRPr="007004E1" w:rsidRDefault="004D348C" w:rsidP="004D348C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004E1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gramEnd"/>
      <w:r w:rsidRPr="007004E1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28 października </w:t>
      </w:r>
      <w:r w:rsidRPr="007004E1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roku  </w:t>
      </w:r>
    </w:p>
    <w:p w:rsidR="004D348C" w:rsidRPr="007004E1" w:rsidRDefault="004D348C" w:rsidP="004D348C">
      <w:pPr>
        <w:spacing w:after="0" w:line="240" w:lineRule="auto"/>
        <w:jc w:val="center"/>
        <w:rPr>
          <w:rFonts w:eastAsiaTheme="minorEastAsia"/>
          <w:sz w:val="46"/>
          <w:szCs w:val="46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48C" w:rsidRPr="007004E1" w:rsidRDefault="004D348C" w:rsidP="004D348C">
      <w:pPr>
        <w:spacing w:after="0" w:line="240" w:lineRule="auto"/>
        <w:jc w:val="center"/>
        <w:rPr>
          <w:rFonts w:eastAsiaTheme="minorEastAsia"/>
          <w:sz w:val="46"/>
          <w:szCs w:val="46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48C" w:rsidRPr="002432A7" w:rsidRDefault="004D348C" w:rsidP="004D348C">
      <w:pPr>
        <w:spacing w:after="0" w:line="240" w:lineRule="auto"/>
        <w:jc w:val="both"/>
        <w:rPr>
          <w:rFonts w:eastAsiaTheme="minorEastAsia"/>
          <w:color w:val="000000" w:themeColor="text1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2A7">
        <w:rPr>
          <w:rFonts w:eastAsiaTheme="minorEastAsia"/>
          <w:color w:val="000000" w:themeColor="text1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Dla 36 przypadków wprowadzenia spółki do rubryki </w:t>
      </w:r>
      <w:proofErr w:type="gramStart"/>
      <w:r w:rsidRPr="002432A7">
        <w:rPr>
          <w:rFonts w:eastAsiaTheme="minorEastAsia"/>
          <w:color w:val="000000" w:themeColor="text1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2432A7">
        <w:rPr>
          <w:rFonts w:eastAsiaTheme="minorEastAsia"/>
          <w:color w:val="000000" w:themeColor="text1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można już obliczyć poziom 12-miesięcznej procentowej zmiany kursu akcji po wprowadzeniu danej spółki do rubryki ,,Wykres do przemyślenia” </w:t>
      </w:r>
    </w:p>
    <w:p w:rsidR="004D348C" w:rsidRPr="002432A7" w:rsidRDefault="004D348C" w:rsidP="004D348C">
      <w:pPr>
        <w:spacing w:after="0" w:line="240" w:lineRule="auto"/>
        <w:jc w:val="both"/>
        <w:rPr>
          <w:rFonts w:eastAsiaTheme="minorEastAsia"/>
          <w:color w:val="000000" w:themeColor="text1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48C" w:rsidRPr="002432A7" w:rsidRDefault="004D348C" w:rsidP="004D348C">
      <w:pPr>
        <w:spacing w:after="0" w:line="240" w:lineRule="auto"/>
        <w:jc w:val="both"/>
        <w:rPr>
          <w:rFonts w:eastAsiaTheme="minorEastAsia"/>
          <w:color w:val="000000" w:themeColor="text1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2A7">
        <w:rPr>
          <w:rFonts w:eastAsiaTheme="minorEastAsia"/>
          <w:color w:val="000000" w:themeColor="text1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Oto lista tych 36 przypadków: 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IMMOBILE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LENA</w:t>
      </w:r>
    </w:p>
    <w:p w:rsidR="004D348C" w:rsidRPr="002D0918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918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NETMEDIA</w:t>
      </w:r>
    </w:p>
    <w:p w:rsidR="004D348C" w:rsidRPr="002D0918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918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RAFAKO</w:t>
      </w:r>
    </w:p>
    <w:p w:rsidR="004D348C" w:rsidRPr="002D0918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918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BORYSZEW</w:t>
      </w:r>
    </w:p>
    <w:p w:rsidR="004D348C" w:rsidRPr="002D0918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918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ERBUD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CAPITAL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CAPITAL PARTNERS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ASSECO POLAND</w:t>
      </w:r>
    </w:p>
    <w:p w:rsidR="004D348C" w:rsidRPr="002D0918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918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CD PROJEKT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SYGNITY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STALPRODUKT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ELEKTROTIM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RELPOL</w:t>
      </w:r>
    </w:p>
    <w:p w:rsidR="004D348C" w:rsidRPr="002D0918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918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TAURON POLSKA ENERGIA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TESGAS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ENEA 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PROCAD 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PKO BP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MERCOR</w:t>
      </w:r>
    </w:p>
    <w:p w:rsidR="004D348C" w:rsidRPr="002D0918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918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COMARCH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MUZA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LUBAWA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ATREM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MOSTOSTAL WARSZAWA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CERAMIKA NOWA GALA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POLNORD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UNIMA 2000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ROPCZYCE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EUROCASH </w:t>
      </w:r>
    </w:p>
    <w:p w:rsidR="004D348C" w:rsidRPr="000C2D18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AGORA</w:t>
      </w:r>
    </w:p>
    <w:p w:rsidR="004D348C" w:rsidRPr="000C2D18" w:rsidRDefault="004D348C" w:rsidP="004D348C">
      <w:pPr>
        <w:spacing w:after="0" w:line="240" w:lineRule="auto"/>
        <w:jc w:val="both"/>
        <w:rPr>
          <w:rFonts w:eastAsiaTheme="minorEastAsia"/>
          <w:color w:val="000000" w:themeColor="text1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2D18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NETMEDIA </w:t>
      </w:r>
      <w:r w:rsidRPr="000C2D18">
        <w:rPr>
          <w:rFonts w:eastAsiaTheme="minorEastAsia"/>
          <w:color w:val="000000" w:themeColor="text1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(po raz drugi) </w:t>
      </w:r>
    </w:p>
    <w:p w:rsidR="004D348C" w:rsidRDefault="004D348C" w:rsidP="004D348C">
      <w:pPr>
        <w:spacing w:after="0" w:line="240" w:lineRule="auto"/>
        <w:jc w:val="both"/>
        <w:rPr>
          <w:rFonts w:eastAsiaTheme="minorEastAsia"/>
          <w:color w:val="000000" w:themeColor="text1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2D18"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STALPRODUKT </w:t>
      </w:r>
      <w:r w:rsidRPr="000C2D18">
        <w:rPr>
          <w:rFonts w:eastAsiaTheme="minorEastAsia"/>
          <w:color w:val="000000" w:themeColor="text1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(po raz drugi) </w:t>
      </w:r>
    </w:p>
    <w:p w:rsidR="004D348C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CYFROWY POLSAT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color w:val="FF66CC"/>
          <w:sz w:val="46"/>
          <w:szCs w:val="4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DĘBICA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Zmiana kursu akcji spółki w okresie 12 pierwszych miesięcy po wprowadzeniu spółki do rubryki </w:t>
      </w:r>
      <w:proofErr w:type="gramStart"/>
      <w:r w:rsidRPr="007004E1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7004E1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oraz zmiana </w:t>
      </w:r>
      <w:r w:rsidRPr="007004E1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indeksów: </w:t>
      </w:r>
      <w:r w:rsidRPr="007004E1">
        <w:rPr>
          <w:rFonts w:eastAsiaTheme="minorEastAsia"/>
          <w:b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20, WIG, mWIG40 oraz sWIG80</w:t>
      </w:r>
      <w:r w:rsidRPr="007004E1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04E1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tym okresie 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000000" w:themeColor="text1"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i/>
          <w:color w:val="000000" w:themeColor="text1"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4E1">
        <w:rPr>
          <w:rFonts w:eastAsiaTheme="minorEastAsia"/>
          <w:i/>
          <w:color w:val="000000" w:themeColor="text1"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(kolejność według kolejności wprowadzania do rubryki od najwcześniej wprowadzonych do najpóźniej wprowadzonych)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lang w:eastAsia="pl-PL"/>
        </w:rPr>
      </w:pP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3070"/>
        <w:gridCol w:w="1230"/>
        <w:gridCol w:w="1230"/>
        <w:gridCol w:w="1230"/>
        <w:gridCol w:w="1230"/>
        <w:gridCol w:w="1230"/>
      </w:tblGrid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>Nazwa</w:t>
            </w:r>
          </w:p>
          <w:p w:rsidR="004D348C" w:rsidRPr="007004E1" w:rsidRDefault="004D348C" w:rsidP="00DA0758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7004E1">
              <w:rPr>
                <w:rFonts w:eastAsiaTheme="minorEastAsia"/>
                <w:sz w:val="26"/>
                <w:szCs w:val="26"/>
              </w:rPr>
              <w:t>spółki</w:t>
            </w:r>
            <w:proofErr w:type="gramEnd"/>
            <w:r w:rsidRPr="007004E1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4D348C" w:rsidRPr="007004E1" w:rsidRDefault="004D348C" w:rsidP="00DA0758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7004E1">
              <w:rPr>
                <w:rFonts w:eastAsiaTheme="minorEastAsia"/>
                <w:sz w:val="26"/>
                <w:szCs w:val="26"/>
              </w:rPr>
              <w:t>giełdowej</w:t>
            </w:r>
            <w:proofErr w:type="gramEnd"/>
            <w:r w:rsidRPr="007004E1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Zmiana </w:t>
            </w:r>
          </w:p>
          <w:p w:rsidR="004D348C" w:rsidRPr="007004E1" w:rsidRDefault="004D348C" w:rsidP="00DA0758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7004E1">
              <w:rPr>
                <w:rFonts w:eastAsiaTheme="minorEastAsia"/>
                <w:sz w:val="26"/>
                <w:szCs w:val="26"/>
              </w:rPr>
              <w:t>kursu</w:t>
            </w:r>
            <w:proofErr w:type="gramEnd"/>
            <w:r w:rsidRPr="007004E1">
              <w:rPr>
                <w:rFonts w:eastAsiaTheme="minorEastAsia"/>
                <w:sz w:val="26"/>
                <w:szCs w:val="26"/>
              </w:rPr>
              <w:t xml:space="preserve"> akcji w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gramStart"/>
            <w:r w:rsidRPr="007004E1">
              <w:rPr>
                <w:rFonts w:eastAsiaTheme="minorEastAsia"/>
                <w:sz w:val="26"/>
                <w:szCs w:val="26"/>
              </w:rPr>
              <w:t>WIG-u 20  w</w:t>
            </w:r>
            <w:proofErr w:type="gramEnd"/>
            <w:r w:rsidRPr="007004E1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348C" w:rsidRPr="007004E1" w:rsidRDefault="004D348C" w:rsidP="00DA0758">
            <w:pPr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Zmiana WIG-u </w:t>
            </w:r>
          </w:p>
          <w:p w:rsidR="004D348C" w:rsidRPr="007004E1" w:rsidRDefault="004D348C" w:rsidP="00DA0758">
            <w:pPr>
              <w:rPr>
                <w:rFonts w:eastAsiaTheme="minorEastAsia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 </w:t>
            </w:r>
            <w:proofErr w:type="gramStart"/>
            <w:r w:rsidRPr="007004E1">
              <w:rPr>
                <w:rFonts w:eastAsiaTheme="minorEastAsia"/>
                <w:sz w:val="26"/>
                <w:szCs w:val="26"/>
              </w:rPr>
              <w:t>w</w:t>
            </w:r>
            <w:proofErr w:type="gramEnd"/>
            <w:r w:rsidRPr="007004E1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348C" w:rsidRPr="007004E1" w:rsidRDefault="004D348C" w:rsidP="00DA0758">
            <w:pPr>
              <w:rPr>
                <w:rFonts w:eastAsiaTheme="minorEastAsia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spellStart"/>
            <w:proofErr w:type="gramStart"/>
            <w:r w:rsidRPr="007004E1">
              <w:rPr>
                <w:rFonts w:eastAsiaTheme="minorEastAsia"/>
                <w:sz w:val="26"/>
                <w:szCs w:val="26"/>
              </w:rPr>
              <w:t>mWIG</w:t>
            </w:r>
            <w:proofErr w:type="spellEnd"/>
            <w:r w:rsidRPr="007004E1">
              <w:rPr>
                <w:rFonts w:eastAsiaTheme="minorEastAsia"/>
                <w:sz w:val="26"/>
                <w:szCs w:val="26"/>
              </w:rPr>
              <w:t>-u 40  w</w:t>
            </w:r>
            <w:proofErr w:type="gramEnd"/>
            <w:r w:rsidRPr="007004E1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348C" w:rsidRPr="007004E1" w:rsidRDefault="004D348C" w:rsidP="00DA0758">
            <w:pPr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spellStart"/>
            <w:r w:rsidRPr="007004E1">
              <w:rPr>
                <w:rFonts w:eastAsiaTheme="minorEastAsia"/>
                <w:sz w:val="26"/>
                <w:szCs w:val="26"/>
              </w:rPr>
              <w:t>sWIG</w:t>
            </w:r>
            <w:proofErr w:type="spellEnd"/>
            <w:r w:rsidRPr="007004E1">
              <w:rPr>
                <w:rFonts w:eastAsiaTheme="minorEastAsia"/>
                <w:sz w:val="26"/>
                <w:szCs w:val="26"/>
              </w:rPr>
              <w:t xml:space="preserve">-u </w:t>
            </w:r>
          </w:p>
          <w:p w:rsidR="004D348C" w:rsidRPr="007004E1" w:rsidRDefault="004D348C" w:rsidP="00DA0758">
            <w:pPr>
              <w:rPr>
                <w:rFonts w:eastAsiaTheme="minorEastAsia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 80 w % 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IMMOBILE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 15,2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LENA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 11,3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NETMEDIA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 55,4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RAFAKO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 58,1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BORYSZEW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-20,8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2,8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6,2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ERBUD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 24,2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-12,2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-5,3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5,9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IF CAPITAL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   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-13,2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5,5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CAPITAL PARTNERS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 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-8,7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3,6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ASSECO POLAND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 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CD PROJEKT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 61,5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SYGNITY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-49,9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STALPRODUKT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 13,9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-8,3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5,0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TAURON PE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-38,0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-11,6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9,7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ELEKTROTIM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114,5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9,7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RELPOL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 -3,3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-3,8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6,5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9,2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TESGAS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-4,1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8,4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ENEA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-16,4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-6,8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 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9,1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PROCAD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 73,6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8,2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PKO BP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9,8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MERCOR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 5,7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4,5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COMARCH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9,1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MUZA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-28,6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-15,9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4,1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LUBAWA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-26,3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-0,1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ATREM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-11,1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-15,6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-1,8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MOSTOSTAL WARSZAWA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100,1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-22,6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-5,0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lastRenderedPageBreak/>
              <w:t>Nazwa</w:t>
            </w:r>
          </w:p>
          <w:p w:rsidR="004D348C" w:rsidRPr="007004E1" w:rsidRDefault="004D348C" w:rsidP="00DA0758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7004E1">
              <w:rPr>
                <w:rFonts w:eastAsiaTheme="minorEastAsia"/>
                <w:sz w:val="26"/>
                <w:szCs w:val="26"/>
              </w:rPr>
              <w:t>spółki</w:t>
            </w:r>
            <w:proofErr w:type="gramEnd"/>
            <w:r w:rsidRPr="007004E1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4D348C" w:rsidRPr="007004E1" w:rsidRDefault="004D348C" w:rsidP="00DA0758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7004E1">
              <w:rPr>
                <w:rFonts w:eastAsiaTheme="minorEastAsia"/>
                <w:sz w:val="26"/>
                <w:szCs w:val="26"/>
              </w:rPr>
              <w:t>giełdowej</w:t>
            </w:r>
            <w:proofErr w:type="gramEnd"/>
            <w:r w:rsidRPr="007004E1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Zmiana </w:t>
            </w:r>
          </w:p>
          <w:p w:rsidR="004D348C" w:rsidRPr="007004E1" w:rsidRDefault="004D348C" w:rsidP="00DA0758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7004E1">
              <w:rPr>
                <w:rFonts w:eastAsiaTheme="minorEastAsia"/>
                <w:sz w:val="26"/>
                <w:szCs w:val="26"/>
              </w:rPr>
              <w:t>kursu</w:t>
            </w:r>
            <w:proofErr w:type="gramEnd"/>
            <w:r w:rsidRPr="007004E1">
              <w:rPr>
                <w:rFonts w:eastAsiaTheme="minorEastAsia"/>
                <w:sz w:val="26"/>
                <w:szCs w:val="26"/>
              </w:rPr>
              <w:t xml:space="preserve"> akcji w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gramStart"/>
            <w:r w:rsidRPr="007004E1">
              <w:rPr>
                <w:rFonts w:eastAsiaTheme="minorEastAsia"/>
                <w:sz w:val="26"/>
                <w:szCs w:val="26"/>
              </w:rPr>
              <w:t>WIG-u 20  w</w:t>
            </w:r>
            <w:proofErr w:type="gramEnd"/>
            <w:r w:rsidRPr="007004E1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348C" w:rsidRPr="007004E1" w:rsidRDefault="004D348C" w:rsidP="00DA0758">
            <w:pPr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Zmiana WIG-u </w:t>
            </w:r>
          </w:p>
          <w:p w:rsidR="004D348C" w:rsidRPr="007004E1" w:rsidRDefault="004D348C" w:rsidP="00DA0758">
            <w:pPr>
              <w:rPr>
                <w:rFonts w:eastAsiaTheme="minorEastAsia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 </w:t>
            </w:r>
            <w:proofErr w:type="gramStart"/>
            <w:r w:rsidRPr="007004E1">
              <w:rPr>
                <w:rFonts w:eastAsiaTheme="minorEastAsia"/>
                <w:sz w:val="26"/>
                <w:szCs w:val="26"/>
              </w:rPr>
              <w:t>w</w:t>
            </w:r>
            <w:proofErr w:type="gramEnd"/>
            <w:r w:rsidRPr="007004E1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348C" w:rsidRPr="007004E1" w:rsidRDefault="004D348C" w:rsidP="00DA0758">
            <w:pPr>
              <w:rPr>
                <w:rFonts w:eastAsiaTheme="minorEastAsia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spellStart"/>
            <w:proofErr w:type="gramStart"/>
            <w:r w:rsidRPr="007004E1">
              <w:rPr>
                <w:rFonts w:eastAsiaTheme="minorEastAsia"/>
                <w:sz w:val="26"/>
                <w:szCs w:val="26"/>
              </w:rPr>
              <w:t>mWIG</w:t>
            </w:r>
            <w:proofErr w:type="spellEnd"/>
            <w:r w:rsidRPr="007004E1">
              <w:rPr>
                <w:rFonts w:eastAsiaTheme="minorEastAsia"/>
                <w:sz w:val="26"/>
                <w:szCs w:val="26"/>
              </w:rPr>
              <w:t>-u 40  w</w:t>
            </w:r>
            <w:proofErr w:type="gramEnd"/>
            <w:r w:rsidRPr="007004E1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348C" w:rsidRPr="007004E1" w:rsidRDefault="004D348C" w:rsidP="00DA0758">
            <w:pPr>
              <w:rPr>
                <w:rFonts w:eastAsiaTheme="minorEastAsia"/>
                <w:sz w:val="26"/>
                <w:szCs w:val="26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spellStart"/>
            <w:r w:rsidRPr="007004E1">
              <w:rPr>
                <w:rFonts w:eastAsiaTheme="minorEastAsia"/>
                <w:sz w:val="26"/>
                <w:szCs w:val="26"/>
              </w:rPr>
              <w:t>sWIG</w:t>
            </w:r>
            <w:proofErr w:type="spellEnd"/>
            <w:r w:rsidRPr="007004E1">
              <w:rPr>
                <w:rFonts w:eastAsiaTheme="minorEastAsia"/>
                <w:sz w:val="26"/>
                <w:szCs w:val="26"/>
              </w:rPr>
              <w:t xml:space="preserve">-u </w:t>
            </w:r>
          </w:p>
          <w:p w:rsidR="004D348C" w:rsidRPr="007004E1" w:rsidRDefault="004D348C" w:rsidP="00DA0758">
            <w:pPr>
              <w:rPr>
                <w:rFonts w:eastAsiaTheme="minorEastAsia"/>
              </w:rPr>
            </w:pPr>
            <w:r w:rsidRPr="007004E1">
              <w:rPr>
                <w:rFonts w:eastAsiaTheme="minorEastAsia"/>
                <w:sz w:val="26"/>
                <w:szCs w:val="26"/>
              </w:rPr>
              <w:t xml:space="preserve"> 80 w % 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CERAMIKA NOWA GALA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15,2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0,2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POLNORD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16,8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-17,1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-0,9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19,6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2,1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UNIMA 2000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-3,9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2,1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ROPCZYCE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-5,1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2,1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 xml:space="preserve">EUROCASH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-11,8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>-6,4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1,4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AGORA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 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sz w:val="24"/>
                <w:szCs w:val="24"/>
              </w:rPr>
            </w:pPr>
            <w:r w:rsidRPr="007004E1">
              <w:rPr>
                <w:sz w:val="24"/>
                <w:szCs w:val="24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sz w:val="24"/>
                <w:szCs w:val="24"/>
              </w:rPr>
            </w:pPr>
            <w:r w:rsidRPr="007004E1">
              <w:rPr>
                <w:sz w:val="24"/>
                <w:szCs w:val="24"/>
              </w:rPr>
              <w:t xml:space="preserve">  -5,4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sz w:val="24"/>
                <w:szCs w:val="24"/>
              </w:rPr>
            </w:pPr>
            <w:r w:rsidRPr="007004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004E1">
              <w:rPr>
                <w:sz w:val="24"/>
                <w:szCs w:val="24"/>
              </w:rPr>
              <w:t>8,7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sz w:val="24"/>
                <w:szCs w:val="24"/>
              </w:rPr>
            </w:pPr>
            <w:r w:rsidRPr="007004E1">
              <w:rPr>
                <w:sz w:val="24"/>
                <w:szCs w:val="24"/>
              </w:rPr>
              <w:t xml:space="preserve"> 8,1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004E1">
              <w:rPr>
                <w:rFonts w:eastAsiaTheme="minorEastAsia"/>
                <w:sz w:val="24"/>
                <w:szCs w:val="24"/>
              </w:rPr>
              <w:t>BZWBK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7004E1">
              <w:rPr>
                <w:rFonts w:eastAsiaTheme="minorEastAsia"/>
                <w:sz w:val="24"/>
                <w:szCs w:val="24"/>
                <w:lang w:eastAsia="pl-PL"/>
              </w:rPr>
              <w:t xml:space="preserve">  3,6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sz w:val="24"/>
                <w:szCs w:val="24"/>
              </w:rPr>
            </w:pPr>
            <w:r w:rsidRPr="007004E1">
              <w:rPr>
                <w:sz w:val="24"/>
                <w:szCs w:val="24"/>
              </w:rPr>
              <w:t>-18,0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sz w:val="24"/>
                <w:szCs w:val="24"/>
              </w:rPr>
            </w:pPr>
            <w:r w:rsidRPr="007004E1">
              <w:rPr>
                <w:sz w:val="24"/>
                <w:szCs w:val="24"/>
              </w:rPr>
              <w:t xml:space="preserve">  -7,0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sz w:val="24"/>
                <w:szCs w:val="24"/>
              </w:rPr>
            </w:pPr>
            <w:r w:rsidRPr="007004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004E1">
              <w:rPr>
                <w:sz w:val="24"/>
                <w:szCs w:val="24"/>
              </w:rPr>
              <w:t>8,2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7004E1" w:rsidRDefault="004D348C" w:rsidP="00DA0758">
            <w:pPr>
              <w:jc w:val="center"/>
              <w:rPr>
                <w:sz w:val="24"/>
                <w:szCs w:val="24"/>
              </w:rPr>
            </w:pPr>
            <w:r w:rsidRPr="007004E1">
              <w:rPr>
                <w:sz w:val="24"/>
                <w:szCs w:val="24"/>
              </w:rPr>
              <w:t xml:space="preserve"> 6,8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0C2D18" w:rsidRDefault="004D348C" w:rsidP="00DA0758">
            <w:pPr>
              <w:jc w:val="center"/>
              <w:rPr>
                <w:sz w:val="24"/>
                <w:szCs w:val="24"/>
              </w:rPr>
            </w:pPr>
            <w:r w:rsidRPr="000C2D18">
              <w:rPr>
                <w:sz w:val="24"/>
                <w:szCs w:val="24"/>
              </w:rPr>
              <w:t>NETMEDIA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0C2D18" w:rsidRDefault="004D348C" w:rsidP="00DA0758">
            <w:pPr>
              <w:jc w:val="center"/>
              <w:rPr>
                <w:sz w:val="24"/>
                <w:szCs w:val="24"/>
              </w:rPr>
            </w:pPr>
            <w:r w:rsidRPr="000C2D18">
              <w:rPr>
                <w:sz w:val="24"/>
                <w:szCs w:val="24"/>
              </w:rPr>
              <w:t>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0C2D18" w:rsidRDefault="004D348C" w:rsidP="00DA0758">
            <w:pPr>
              <w:jc w:val="center"/>
              <w:rPr>
                <w:sz w:val="24"/>
                <w:szCs w:val="24"/>
              </w:rPr>
            </w:pPr>
            <w:r w:rsidRPr="000C2D18">
              <w:rPr>
                <w:sz w:val="24"/>
                <w:szCs w:val="24"/>
              </w:rPr>
              <w:t>-17,6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0C2D18" w:rsidRDefault="004D348C" w:rsidP="00D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C2D18">
              <w:rPr>
                <w:sz w:val="24"/>
                <w:szCs w:val="24"/>
              </w:rPr>
              <w:t>-6,8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0C2D18" w:rsidRDefault="004D348C" w:rsidP="00D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C2D18">
              <w:rPr>
                <w:sz w:val="24"/>
                <w:szCs w:val="24"/>
              </w:rPr>
              <w:t>8,8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0C2D18" w:rsidRDefault="004D348C" w:rsidP="00D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C2D18">
              <w:rPr>
                <w:sz w:val="24"/>
                <w:szCs w:val="24"/>
              </w:rPr>
              <w:t>0,1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0C2D18" w:rsidRDefault="004D348C" w:rsidP="00DA0758">
            <w:pPr>
              <w:jc w:val="center"/>
              <w:rPr>
                <w:sz w:val="24"/>
                <w:szCs w:val="24"/>
              </w:rPr>
            </w:pPr>
            <w:r w:rsidRPr="000C2D18">
              <w:rPr>
                <w:sz w:val="24"/>
                <w:szCs w:val="24"/>
              </w:rPr>
              <w:t>STALPRODUKT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D63A59" w:rsidRDefault="004D348C" w:rsidP="00DA0758">
            <w:pPr>
              <w:jc w:val="center"/>
              <w:rPr>
                <w:sz w:val="24"/>
                <w:szCs w:val="24"/>
              </w:rPr>
            </w:pPr>
            <w:r w:rsidRPr="00D63A59">
              <w:rPr>
                <w:sz w:val="24"/>
                <w:szCs w:val="24"/>
              </w:rPr>
              <w:t>30,8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D63A59" w:rsidRDefault="004D348C" w:rsidP="00DA0758">
            <w:pPr>
              <w:jc w:val="center"/>
              <w:rPr>
                <w:sz w:val="24"/>
                <w:szCs w:val="24"/>
              </w:rPr>
            </w:pPr>
            <w:r w:rsidRPr="00D63A59">
              <w:rPr>
                <w:sz w:val="24"/>
                <w:szCs w:val="24"/>
              </w:rPr>
              <w:t>-17,6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D63A59" w:rsidRDefault="004D348C" w:rsidP="00D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63A59">
              <w:rPr>
                <w:sz w:val="24"/>
                <w:szCs w:val="24"/>
              </w:rPr>
              <w:t>-6,8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D63A59" w:rsidRDefault="004D348C" w:rsidP="00D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63A59">
              <w:rPr>
                <w:sz w:val="24"/>
                <w:szCs w:val="24"/>
              </w:rPr>
              <w:t>8,8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D63A59" w:rsidRDefault="004D348C" w:rsidP="00D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63A59">
              <w:rPr>
                <w:sz w:val="24"/>
                <w:szCs w:val="24"/>
              </w:rPr>
              <w:t>0,1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0C2D18" w:rsidRDefault="004D348C" w:rsidP="00D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CYFROWY POLSAT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D63A59" w:rsidRDefault="004D348C" w:rsidP="00DA0758">
            <w:pPr>
              <w:jc w:val="center"/>
              <w:rPr>
                <w:sz w:val="24"/>
                <w:szCs w:val="24"/>
              </w:rPr>
            </w:pPr>
            <w:r w:rsidRPr="00D63A59">
              <w:rPr>
                <w:sz w:val="24"/>
                <w:szCs w:val="24"/>
              </w:rPr>
              <w:t>-4,5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D63A59" w:rsidRDefault="004D348C" w:rsidP="00DA0758">
            <w:pPr>
              <w:jc w:val="center"/>
              <w:rPr>
                <w:sz w:val="24"/>
                <w:szCs w:val="24"/>
              </w:rPr>
            </w:pPr>
            <w:r w:rsidRPr="00D63A59">
              <w:rPr>
                <w:sz w:val="24"/>
                <w:szCs w:val="24"/>
              </w:rPr>
              <w:t>-18,6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D63A59" w:rsidRDefault="004D348C" w:rsidP="00D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63A59">
              <w:rPr>
                <w:sz w:val="24"/>
                <w:szCs w:val="24"/>
              </w:rPr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D63A59" w:rsidRDefault="004D348C" w:rsidP="00D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63A59">
              <w:rPr>
                <w:sz w:val="24"/>
                <w:szCs w:val="24"/>
              </w:rPr>
              <w:t>7,3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D63A59" w:rsidRDefault="004D348C" w:rsidP="00D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63A59">
              <w:rPr>
                <w:sz w:val="24"/>
                <w:szCs w:val="24"/>
              </w:rPr>
              <w:t>6,8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0C2D18" w:rsidRDefault="004D348C" w:rsidP="00D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DĘBICA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D63A59" w:rsidRDefault="004D348C" w:rsidP="00DA0758">
            <w:pPr>
              <w:jc w:val="center"/>
              <w:rPr>
                <w:sz w:val="24"/>
                <w:szCs w:val="24"/>
              </w:rPr>
            </w:pPr>
            <w:r w:rsidRPr="00D63A59">
              <w:rPr>
                <w:sz w:val="24"/>
                <w:szCs w:val="24"/>
              </w:rPr>
              <w:t>18,1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D63A59" w:rsidRDefault="004D348C" w:rsidP="00DA0758">
            <w:pPr>
              <w:jc w:val="center"/>
              <w:rPr>
                <w:sz w:val="24"/>
                <w:szCs w:val="24"/>
              </w:rPr>
            </w:pPr>
            <w:r w:rsidRPr="00D63A59">
              <w:rPr>
                <w:sz w:val="24"/>
                <w:szCs w:val="24"/>
              </w:rPr>
              <w:t>-19,0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D63A59" w:rsidRDefault="004D348C" w:rsidP="00D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63A59">
              <w:rPr>
                <w:sz w:val="24"/>
                <w:szCs w:val="24"/>
              </w:rPr>
              <w:t>-8,0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D63A59" w:rsidRDefault="004D348C" w:rsidP="00D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63A59">
              <w:rPr>
                <w:sz w:val="24"/>
                <w:szCs w:val="24"/>
              </w:rPr>
              <w:t>7,7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C" w:rsidRPr="00D63A59" w:rsidRDefault="004D348C" w:rsidP="00DA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63A59">
              <w:rPr>
                <w:sz w:val="24"/>
                <w:szCs w:val="24"/>
              </w:rPr>
              <w:t>6,1</w:t>
            </w:r>
          </w:p>
        </w:tc>
      </w:tr>
      <w:tr w:rsidR="004D348C" w:rsidRPr="007004E1" w:rsidTr="00DA07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color w:val="FF66CC"/>
                <w:sz w:val="40"/>
                <w:szCs w:val="40"/>
              </w:rPr>
            </w:pPr>
            <w:r w:rsidRPr="007004E1">
              <w:rPr>
                <w:rFonts w:ascii="Calibri" w:eastAsia="Times New Roman" w:hAnsi="Calibri" w:cs="Times New Roman"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ŚREDNIO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7004E1">
              <w:rPr>
                <w:rFonts w:eastAsiaTheme="minorEastAsia"/>
                <w:b/>
                <w:sz w:val="40"/>
                <w:szCs w:val="40"/>
                <w:lang w:eastAsia="pl-PL"/>
              </w:rPr>
              <w:t>12,</w:t>
            </w:r>
            <w:r>
              <w:rPr>
                <w:rFonts w:eastAsiaTheme="minorEastAsia"/>
                <w:b/>
                <w:sz w:val="40"/>
                <w:szCs w:val="40"/>
                <w:lang w:eastAsia="pl-PL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7004E1">
              <w:rPr>
                <w:rFonts w:eastAsiaTheme="minorEastAsia"/>
                <w:b/>
                <w:sz w:val="40"/>
                <w:szCs w:val="40"/>
                <w:lang w:eastAsia="pl-PL"/>
              </w:rPr>
              <w:t>-18,4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7004E1">
              <w:rPr>
                <w:rFonts w:eastAsiaTheme="minorEastAsia"/>
                <w:b/>
                <w:sz w:val="40"/>
                <w:szCs w:val="40"/>
                <w:lang w:eastAsia="pl-PL"/>
              </w:rPr>
              <w:t>-9,</w:t>
            </w:r>
            <w:r>
              <w:rPr>
                <w:rFonts w:eastAsiaTheme="minorEastAsia"/>
                <w:b/>
                <w:sz w:val="40"/>
                <w:szCs w:val="40"/>
                <w:lang w:eastAsia="pl-PL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7004E1">
              <w:rPr>
                <w:rFonts w:eastAsiaTheme="minorEastAsia"/>
                <w:b/>
                <w:sz w:val="40"/>
                <w:szCs w:val="40"/>
                <w:lang w:eastAsia="pl-PL"/>
              </w:rPr>
              <w:t>0,</w:t>
            </w:r>
            <w:r>
              <w:rPr>
                <w:rFonts w:eastAsiaTheme="minorEastAsia"/>
                <w:b/>
                <w:sz w:val="40"/>
                <w:szCs w:val="40"/>
                <w:lang w:eastAsia="pl-PL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8C" w:rsidRPr="007004E1" w:rsidRDefault="004D348C" w:rsidP="00DA0758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>
              <w:rPr>
                <w:rFonts w:eastAsiaTheme="minorEastAsia"/>
                <w:b/>
                <w:sz w:val="40"/>
                <w:szCs w:val="40"/>
                <w:lang w:eastAsia="pl-PL"/>
              </w:rPr>
              <w:t>4</w:t>
            </w:r>
            <w:r w:rsidRPr="007004E1">
              <w:rPr>
                <w:rFonts w:eastAsiaTheme="minorEastAsia"/>
                <w:b/>
                <w:sz w:val="40"/>
                <w:szCs w:val="40"/>
                <w:lang w:eastAsia="pl-PL"/>
              </w:rPr>
              <w:t>,</w:t>
            </w:r>
            <w:r>
              <w:rPr>
                <w:rFonts w:eastAsiaTheme="minorEastAsia"/>
                <w:b/>
                <w:sz w:val="40"/>
                <w:szCs w:val="40"/>
                <w:lang w:eastAsia="pl-PL"/>
              </w:rPr>
              <w:t>8</w:t>
            </w:r>
          </w:p>
        </w:tc>
      </w:tr>
    </w:tbl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sz w:val="80"/>
          <w:szCs w:val="80"/>
          <w:u w:val="single"/>
          <w:lang w:eastAsia="pl-PL"/>
        </w:rPr>
      </w:pPr>
    </w:p>
    <w:p w:rsidR="004D348C" w:rsidRPr="002432A7" w:rsidRDefault="004D348C" w:rsidP="004D348C">
      <w:pPr>
        <w:spacing w:after="0" w:line="240" w:lineRule="auto"/>
        <w:jc w:val="both"/>
        <w:rPr>
          <w:rFonts w:eastAsiaTheme="minorEastAsia"/>
          <w:sz w:val="60"/>
          <w:szCs w:val="60"/>
          <w:u w:val="single"/>
          <w:lang w:eastAsia="pl-PL"/>
        </w:rPr>
      </w:pPr>
      <w:r w:rsidRPr="002432A7">
        <w:rPr>
          <w:rFonts w:eastAsiaTheme="minorEastAsia"/>
          <w:sz w:val="60"/>
          <w:szCs w:val="60"/>
          <w:u w:val="single"/>
          <w:lang w:eastAsia="pl-PL"/>
        </w:rPr>
        <w:t>Wniosek końcowy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FF0000"/>
          <w:sz w:val="80"/>
          <w:szCs w:val="80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D348C" w:rsidRPr="002432A7" w:rsidRDefault="004D348C" w:rsidP="004D348C">
      <w:pPr>
        <w:spacing w:after="0" w:line="240" w:lineRule="auto"/>
        <w:jc w:val="both"/>
        <w:rPr>
          <w:rFonts w:eastAsiaTheme="minorEastAsia"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2A7">
        <w:rPr>
          <w:rFonts w:eastAsiaTheme="minorEastAsia"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</w:t>
      </w:r>
      <w:proofErr w:type="gramStart"/>
      <w:r w:rsidRPr="002432A7">
        <w:rPr>
          <w:rFonts w:eastAsiaTheme="minorEastAsia"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2432A7">
        <w:rPr>
          <w:rFonts w:eastAsiaTheme="minorEastAsia"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12 pierwszych miesięcy po jej wprowadzeniu do tej rubryki wynosiła średnio </w:t>
      </w:r>
      <w:r w:rsidRPr="002432A7">
        <w:rPr>
          <w:rFonts w:eastAsiaTheme="minorEastAsia"/>
          <w:b/>
          <w:color w:val="FF0000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plus 12,</w:t>
      </w:r>
      <w:r>
        <w:rPr>
          <w:rFonts w:eastAsiaTheme="minorEastAsia"/>
          <w:b/>
          <w:color w:val="FF0000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2432A7">
        <w:rPr>
          <w:rFonts w:eastAsiaTheme="minorEastAsia"/>
          <w:b/>
          <w:color w:val="FF0000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%.</w:t>
      </w:r>
      <w:r w:rsidRPr="002432A7">
        <w:rPr>
          <w:rFonts w:eastAsiaTheme="minorEastAsia"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Procentowa zmiana indeksu </w:t>
      </w:r>
      <w:r w:rsidRPr="002432A7">
        <w:rPr>
          <w:rFonts w:eastAsiaTheme="minorEastAsia"/>
          <w:b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</w:t>
      </w:r>
      <w:r w:rsidRPr="002432A7">
        <w:rPr>
          <w:rFonts w:eastAsiaTheme="minorEastAsia"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tym okresie wynosiła </w:t>
      </w:r>
      <w:r w:rsidRPr="002432A7">
        <w:rPr>
          <w:rFonts w:eastAsiaTheme="minorEastAsia"/>
          <w:b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minus 18,4 %</w:t>
      </w:r>
      <w:r w:rsidRPr="002432A7">
        <w:rPr>
          <w:rFonts w:eastAsiaTheme="minorEastAsia"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indeksu </w:t>
      </w:r>
      <w:r w:rsidRPr="002432A7">
        <w:rPr>
          <w:rFonts w:eastAsiaTheme="minorEastAsia"/>
          <w:b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WIG </w:t>
      </w:r>
      <w:proofErr w:type="gramStart"/>
      <w:r w:rsidRPr="002432A7">
        <w:rPr>
          <w:rFonts w:eastAsiaTheme="minorEastAsia"/>
          <w:b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minus 9,</w:t>
      </w:r>
      <w:r>
        <w:rPr>
          <w:rFonts w:eastAsiaTheme="minorEastAsia"/>
          <w:b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2432A7">
        <w:rPr>
          <w:rFonts w:eastAsiaTheme="minorEastAsia"/>
          <w:b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%,  </w:t>
      </w:r>
      <w:r w:rsidRPr="002432A7">
        <w:rPr>
          <w:rFonts w:eastAsiaTheme="minorEastAsia"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indeksu</w:t>
      </w:r>
      <w:proofErr w:type="gramEnd"/>
      <w:r w:rsidRPr="002432A7">
        <w:rPr>
          <w:rFonts w:eastAsiaTheme="minorEastAsia"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432A7">
        <w:rPr>
          <w:rFonts w:eastAsiaTheme="minorEastAsia"/>
          <w:b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mWIG</w:t>
      </w:r>
      <w:proofErr w:type="spellEnd"/>
      <w:r w:rsidRPr="002432A7">
        <w:rPr>
          <w:rFonts w:eastAsiaTheme="minorEastAsia"/>
          <w:b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 plus 0,</w:t>
      </w:r>
      <w:r>
        <w:rPr>
          <w:rFonts w:eastAsiaTheme="minorEastAsia"/>
          <w:b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2432A7">
        <w:rPr>
          <w:rFonts w:eastAsiaTheme="minorEastAsia"/>
          <w:b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 a  </w:t>
      </w:r>
      <w:r w:rsidRPr="002432A7">
        <w:rPr>
          <w:rFonts w:eastAsiaTheme="minorEastAsia"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indeksu </w:t>
      </w:r>
      <w:r w:rsidRPr="002432A7">
        <w:rPr>
          <w:rFonts w:eastAsiaTheme="minorEastAsia"/>
          <w:b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sWIG80 plus 4,</w:t>
      </w:r>
      <w:r>
        <w:rPr>
          <w:rFonts w:eastAsiaTheme="minorEastAsia"/>
          <w:b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2432A7">
        <w:rPr>
          <w:rFonts w:eastAsiaTheme="minorEastAsia"/>
          <w:b/>
          <w:color w:val="000000" w:themeColor="text1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</w:pPr>
      <w:r w:rsidRPr="007004E1"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  <w:lastRenderedPageBreak/>
        <w:t xml:space="preserve">Dodatek graficzny: Średnia procentowa zmiana kursu akcji spółki po wprowadzeniu jej do rubryki </w:t>
      </w:r>
      <w:proofErr w:type="gramStart"/>
      <w:r w:rsidRPr="007004E1"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  <w:t>,,</w:t>
      </w:r>
      <w:proofErr w:type="gramEnd"/>
      <w:r w:rsidRPr="007004E1"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  <w:t xml:space="preserve">Wykres do przemyślenia” w okresie 12 pierwszych miesięcy po jej wprowadzeniu do tej rubryki oraz średnia procentowa zmiana 4 kluczowych indeksów polskiego rynku akcji w tym okresie </w:t>
      </w: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</w:pPr>
    </w:p>
    <w:p w:rsidR="004D348C" w:rsidRPr="007004E1" w:rsidRDefault="004D348C" w:rsidP="004D348C">
      <w:p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</w:pPr>
      <w:r w:rsidRPr="007004E1">
        <w:rPr>
          <w:rFonts w:eastAsiaTheme="minorEastAsia"/>
          <w:noProof/>
          <w:lang w:eastAsia="pl-PL"/>
        </w:rPr>
        <w:drawing>
          <wp:inline distT="0" distB="0" distL="0" distR="0" wp14:anchorId="78F96477" wp14:editId="12902A1C">
            <wp:extent cx="5572125" cy="7648575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D348C" w:rsidRPr="007004E1" w:rsidRDefault="004D348C" w:rsidP="004D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</w:pPr>
      <w:r w:rsidRPr="007004E1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lastRenderedPageBreak/>
        <w:t>Generalny wniosek:</w:t>
      </w:r>
    </w:p>
    <w:p w:rsidR="004D348C" w:rsidRPr="007004E1" w:rsidRDefault="004D348C" w:rsidP="004D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</w:pPr>
      <w:r w:rsidRPr="007004E1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t xml:space="preserve">kursy akcji spółki po wprowadzeniu jej do rubryki ,,Wykres do przemyślenia” zasadniczo rzecz biorąc wykazują relatywną przewagę nad </w:t>
      </w:r>
      <w:proofErr w:type="gramStart"/>
      <w:r w:rsidRPr="007004E1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t>indeksami:  WIG</w:t>
      </w:r>
      <w:proofErr w:type="gramEnd"/>
      <w:r w:rsidRPr="007004E1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t>20, WIG, WIG40 oraz sWIG80</w:t>
      </w:r>
    </w:p>
    <w:p w:rsidR="004D348C" w:rsidRPr="007004E1" w:rsidRDefault="004D348C" w:rsidP="004D348C">
      <w:pPr>
        <w:rPr>
          <w:rFonts w:eastAsiaTheme="minorEastAsia"/>
          <w:lang w:eastAsia="pl-PL"/>
        </w:rPr>
      </w:pPr>
    </w:p>
    <w:p w:rsidR="004D348C" w:rsidRPr="007004E1" w:rsidRDefault="004D348C" w:rsidP="004D348C">
      <w:pPr>
        <w:rPr>
          <w:rFonts w:eastAsiaTheme="minorEastAsia"/>
          <w:lang w:eastAsia="pl-PL"/>
        </w:rPr>
      </w:pPr>
    </w:p>
    <w:p w:rsidR="004D348C" w:rsidRPr="007004E1" w:rsidRDefault="004D348C" w:rsidP="004D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color w:val="FF0000"/>
          <w:sz w:val="110"/>
          <w:szCs w:val="110"/>
          <w:lang w:eastAsia="pl-PL"/>
        </w:rPr>
      </w:pPr>
      <w:r w:rsidRPr="007004E1">
        <w:rPr>
          <w:rFonts w:eastAsiaTheme="minorEastAsia"/>
          <w:sz w:val="110"/>
          <w:szCs w:val="110"/>
          <w:lang w:eastAsia="pl-PL"/>
        </w:rPr>
        <w:lastRenderedPageBreak/>
        <w:t xml:space="preserve">Aby dowiedzieć się które spółki będą umieszczane w rubryce </w:t>
      </w:r>
      <w:proofErr w:type="gramStart"/>
      <w:r w:rsidRPr="007004E1">
        <w:rPr>
          <w:rFonts w:eastAsiaTheme="minorEastAsia"/>
          <w:sz w:val="110"/>
          <w:szCs w:val="110"/>
          <w:lang w:eastAsia="pl-PL"/>
        </w:rPr>
        <w:t>,,</w:t>
      </w:r>
      <w:proofErr w:type="gramEnd"/>
      <w:r w:rsidRPr="007004E1">
        <w:rPr>
          <w:rFonts w:eastAsiaTheme="minorEastAsia"/>
          <w:sz w:val="110"/>
          <w:szCs w:val="110"/>
          <w:lang w:eastAsia="pl-PL"/>
        </w:rPr>
        <w:t xml:space="preserve">Wykres do przemyślenia” warto często odwiedzać stronę internetową </w:t>
      </w:r>
      <w:r w:rsidRPr="007004E1">
        <w:rPr>
          <w:rFonts w:eastAsiaTheme="minorEastAsia"/>
          <w:color w:val="FF0000"/>
          <w:sz w:val="110"/>
          <w:szCs w:val="110"/>
          <w:lang w:eastAsia="pl-PL"/>
        </w:rPr>
        <w:t>analizy-rynkowe.</w:t>
      </w:r>
      <w:proofErr w:type="gramStart"/>
      <w:r w:rsidRPr="007004E1">
        <w:rPr>
          <w:rFonts w:eastAsiaTheme="minorEastAsia"/>
          <w:color w:val="FF0000"/>
          <w:sz w:val="110"/>
          <w:szCs w:val="110"/>
          <w:lang w:eastAsia="pl-PL"/>
        </w:rPr>
        <w:t>pl</w:t>
      </w:r>
      <w:proofErr w:type="gramEnd"/>
    </w:p>
    <w:p w:rsidR="004D348C" w:rsidRPr="007004E1" w:rsidRDefault="004D348C" w:rsidP="004D348C">
      <w:pPr>
        <w:rPr>
          <w:rFonts w:eastAsiaTheme="minorEastAsia"/>
          <w:lang w:eastAsia="pl-PL"/>
        </w:rPr>
      </w:pPr>
    </w:p>
    <w:p w:rsidR="004D348C" w:rsidRPr="007004E1" w:rsidRDefault="004D348C" w:rsidP="004D348C">
      <w:pPr>
        <w:rPr>
          <w:rFonts w:eastAsiaTheme="minorEastAsia"/>
          <w:lang w:eastAsia="pl-PL"/>
        </w:rPr>
      </w:pPr>
    </w:p>
    <w:p w:rsidR="004D348C" w:rsidRPr="007004E1" w:rsidRDefault="004D348C" w:rsidP="004D348C">
      <w:pPr>
        <w:spacing w:after="0" w:line="240" w:lineRule="auto"/>
        <w:jc w:val="both"/>
      </w:pPr>
    </w:p>
    <w:p w:rsidR="004D348C" w:rsidRPr="007004E1" w:rsidRDefault="004D348C" w:rsidP="004D348C">
      <w:pPr>
        <w:spacing w:after="0" w:line="240" w:lineRule="auto"/>
        <w:jc w:val="both"/>
      </w:pPr>
    </w:p>
    <w:p w:rsidR="004D348C" w:rsidRPr="007004E1" w:rsidRDefault="004D348C" w:rsidP="004D348C">
      <w:pPr>
        <w:spacing w:after="0" w:line="240" w:lineRule="auto"/>
        <w:jc w:val="both"/>
      </w:pPr>
    </w:p>
    <w:p w:rsidR="004D348C" w:rsidRPr="007004E1" w:rsidRDefault="004D348C" w:rsidP="004D348C">
      <w:pPr>
        <w:spacing w:after="0" w:line="240" w:lineRule="auto"/>
        <w:jc w:val="both"/>
        <w:rPr>
          <w:rFonts w:eastAsia="Times New Roman" w:cs="Times New Roman"/>
          <w:b/>
        </w:rPr>
      </w:pPr>
      <w:r w:rsidRPr="007004E1">
        <w:rPr>
          <w:rFonts w:eastAsia="Times New Roman" w:cs="Times New Roman"/>
          <w:b/>
        </w:rPr>
        <w:lastRenderedPageBreak/>
        <w:t>Wnioski końcowe</w:t>
      </w:r>
    </w:p>
    <w:p w:rsidR="004D348C" w:rsidRPr="007004E1" w:rsidRDefault="004D348C" w:rsidP="004D348C">
      <w:pPr>
        <w:spacing w:after="0" w:line="240" w:lineRule="auto"/>
        <w:jc w:val="both"/>
        <w:rPr>
          <w:rFonts w:eastAsia="Times New Roman" w:cs="Times New Roman"/>
        </w:rPr>
      </w:pPr>
    </w:p>
    <w:p w:rsidR="004D348C" w:rsidRPr="007004E1" w:rsidRDefault="004D348C" w:rsidP="004D348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</w:rPr>
      </w:pPr>
      <w:r w:rsidRPr="007004E1">
        <w:rPr>
          <w:rFonts w:eastAsia="Times New Roman" w:cs="Times New Roman"/>
          <w:color w:val="000000" w:themeColor="text1"/>
        </w:rPr>
        <w:t>Kurs dolara amerykańskiego (w złotych) przebił zaznaczony na wykresie trend wzrostowy poprowadzony przez dołki z 9 lipca 2014 roku oraz 14 października 2015 roku. Pojawiła się szansa na wybicie z na razie tylko hipotetycznej formacji podwójnego szczytu. Dojdzie do tego wybicia, gdy kurs USD/PLN osiągnie (na zamknięciu notowań) poziom dołka z 4 kwietnia 2016 roku (</w:t>
      </w:r>
      <w:r w:rsidRPr="007004E1">
        <w:rPr>
          <w:rFonts w:eastAsia="Times New Roman" w:cs="Times New Roman"/>
          <w:b/>
          <w:color w:val="FF0000"/>
        </w:rPr>
        <w:t>3,7230 zł</w:t>
      </w:r>
      <w:r w:rsidRPr="007004E1">
        <w:rPr>
          <w:rFonts w:eastAsia="Times New Roman" w:cs="Times New Roman"/>
          <w:color w:val="000000" w:themeColor="text1"/>
        </w:rPr>
        <w:t>.). Realna perspektywa zmiany trendu ze wzrostowego na spadkowy może być związana z perspektywą napływu kapitału zagranicznego na polski rynek akcji. Średnia ruchoma z 200 sesji próbuje zmienić trend na spadkowy.</w:t>
      </w:r>
    </w:p>
    <w:p w:rsidR="004D348C" w:rsidRPr="007004E1" w:rsidRDefault="004D348C" w:rsidP="004D348C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</w:rPr>
      </w:pPr>
    </w:p>
    <w:p w:rsidR="004D348C" w:rsidRPr="007004E1" w:rsidRDefault="004D348C" w:rsidP="004D348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</w:rPr>
      </w:pPr>
      <w:r w:rsidRPr="007004E1">
        <w:rPr>
          <w:rFonts w:eastAsia="Times New Roman" w:cs="Times New Roman"/>
        </w:rPr>
        <w:t>Kurs euro amerykańskiego (w złotych) przebił zaznaczony na wykresie trend wzrostowy poprowadzony przez dołki z 27 kwietnia oraz 29 grudnia 2015 roku. Pojawiła się szansa na wybicie z na razie tylko hipotetycznej formacji podwójnego szczytu. Dojdzie do tego wybicia, gdy kurs USD/PLN osiągnie (na zamknięciu notowań) poziom dołka z 4 kwietnia 2016 roku (</w:t>
      </w:r>
      <w:r w:rsidRPr="007004E1">
        <w:rPr>
          <w:rFonts w:eastAsia="Times New Roman" w:cs="Times New Roman"/>
          <w:b/>
          <w:color w:val="FF0000"/>
        </w:rPr>
        <w:t>4,2409 zł</w:t>
      </w:r>
      <w:r w:rsidRPr="007004E1">
        <w:rPr>
          <w:rFonts w:eastAsia="Times New Roman" w:cs="Times New Roman"/>
        </w:rPr>
        <w:t>.). Realna perspektywa zmiany trendu ze wzrostowego na spadkowy może być związana z perspektywą napływu kapitału zagranicznego na polski rynek akcji. Średnia ruchoma z 200 sesji próbuje zmienić trend na spadkowy.</w:t>
      </w:r>
    </w:p>
    <w:p w:rsidR="004D348C" w:rsidRPr="007004E1" w:rsidRDefault="004D348C" w:rsidP="004D348C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</w:rPr>
      </w:pPr>
    </w:p>
    <w:p w:rsidR="004D348C" w:rsidRPr="007004E1" w:rsidRDefault="004D348C" w:rsidP="004D348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000000" w:themeColor="text1"/>
        </w:rPr>
      </w:pPr>
      <w:r w:rsidRPr="007004E1">
        <w:rPr>
          <w:rFonts w:eastAsia="Times New Roman" w:cs="Times New Roman"/>
          <w:color w:val="000000" w:themeColor="text1"/>
        </w:rPr>
        <w:t xml:space="preserve">Początkowo </w:t>
      </w:r>
      <w:r w:rsidRPr="007004E1">
        <w:rPr>
          <w:rFonts w:eastAsia="Times New Roman" w:cs="Times New Roman"/>
          <w:b/>
          <w:color w:val="000000" w:themeColor="text1"/>
        </w:rPr>
        <w:t>indeks amerykańskiego rynku akcji S&amp;P500</w:t>
      </w:r>
      <w:r w:rsidRPr="007004E1">
        <w:rPr>
          <w:rFonts w:eastAsia="Times New Roman" w:cs="Times New Roman"/>
          <w:color w:val="000000" w:themeColor="text1"/>
        </w:rPr>
        <w:t xml:space="preserve"> wybił się z formacji podwójnego szczytu, co zapowiadało spadki. Wkrótce jednak indeks zaczął dynamicznie rosnąć. Przebił poziom wyższego szczytu. W rezultacie </w:t>
      </w:r>
      <w:r w:rsidRPr="007004E1">
        <w:rPr>
          <w:rFonts w:eastAsia="Times New Roman" w:cs="Times New Roman"/>
          <w:b/>
          <w:color w:val="000000" w:themeColor="text1"/>
        </w:rPr>
        <w:t xml:space="preserve">doszło do </w:t>
      </w:r>
      <w:proofErr w:type="gramStart"/>
      <w:r w:rsidRPr="007004E1">
        <w:rPr>
          <w:rFonts w:eastAsia="Times New Roman" w:cs="Times New Roman"/>
          <w:b/>
          <w:color w:val="000000" w:themeColor="text1"/>
        </w:rPr>
        <w:t>,,</w:t>
      </w:r>
      <w:proofErr w:type="gramEnd"/>
      <w:r w:rsidRPr="007004E1">
        <w:rPr>
          <w:rFonts w:eastAsia="Times New Roman" w:cs="Times New Roman"/>
          <w:b/>
          <w:color w:val="000000" w:themeColor="text1"/>
        </w:rPr>
        <w:t>spalenia” formacji podwójnego szczytu.</w:t>
      </w:r>
      <w:r w:rsidRPr="007004E1">
        <w:rPr>
          <w:rFonts w:eastAsia="Times New Roman" w:cs="Times New Roman"/>
          <w:color w:val="000000" w:themeColor="text1"/>
        </w:rPr>
        <w:t xml:space="preserve"> Pojawił się wiec bardzo </w:t>
      </w:r>
      <w:r w:rsidRPr="007004E1">
        <w:rPr>
          <w:rFonts w:eastAsia="Times New Roman" w:cs="Times New Roman"/>
          <w:b/>
          <w:color w:val="000000" w:themeColor="text1"/>
        </w:rPr>
        <w:t xml:space="preserve">silny sygnał kupna. </w:t>
      </w:r>
    </w:p>
    <w:p w:rsidR="004D348C" w:rsidRPr="007004E1" w:rsidRDefault="004D348C" w:rsidP="004D348C">
      <w:pPr>
        <w:spacing w:after="0" w:line="240" w:lineRule="auto"/>
        <w:ind w:left="720"/>
        <w:contextualSpacing/>
        <w:jc w:val="both"/>
        <w:rPr>
          <w:rFonts w:eastAsia="Times New Roman" w:cs="Times New Roman"/>
          <w:color w:val="000000" w:themeColor="text1"/>
        </w:rPr>
      </w:pPr>
    </w:p>
    <w:p w:rsidR="004D348C" w:rsidRPr="00C17AEC" w:rsidRDefault="004D348C" w:rsidP="004D348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C17AEC">
        <w:rPr>
          <w:rFonts w:eastAsia="Times New Roman" w:cs="Times New Roman"/>
          <w:color w:val="000000" w:themeColor="text1"/>
        </w:rPr>
        <w:t xml:space="preserve">Na wykresie siły względnej WIG20/USD-PLN stworzonej w oparciu o dane kwartalne w pobliżu ważnej linii wsparcia pojawiła się formacja harami, co stwarza szansę na wzrosty indeksu WIG20 związane z realną napływu kapitału zagranicznego. </w:t>
      </w:r>
      <w:r w:rsidRPr="00C17AEC">
        <w:rPr>
          <w:rFonts w:eastAsia="Times New Roman" w:cs="Times New Roman"/>
          <w:b/>
          <w:color w:val="000000" w:themeColor="text1"/>
        </w:rPr>
        <w:t>Wskaźnik C/WK dla indeksu WIG20 jest bardzo niski i wynosi 1,1</w:t>
      </w:r>
      <w:r w:rsidRPr="00C17AEC">
        <w:rPr>
          <w:rFonts w:eastAsia="Times New Roman" w:cs="Times New Roman"/>
          <w:color w:val="000000" w:themeColor="text1"/>
        </w:rPr>
        <w:t xml:space="preserve">. </w:t>
      </w:r>
      <w:r>
        <w:rPr>
          <w:rFonts w:eastAsia="Times New Roman" w:cs="Times New Roman"/>
          <w:color w:val="000000" w:themeColor="text1"/>
        </w:rPr>
        <w:t xml:space="preserve">Co ciekawe na sile względnej WIG20/S&amp;P500 </w:t>
      </w:r>
      <w:r w:rsidRPr="00C17AEC">
        <w:rPr>
          <w:rFonts w:eastAsia="Times New Roman" w:cs="Times New Roman"/>
          <w:color w:val="000000" w:themeColor="text1"/>
        </w:rPr>
        <w:t xml:space="preserve">doszło do wybicia z formacji podwójnego dna z dołkami ukształtowanymi w dniach: 8 lipca oraz 30 września 2016 </w:t>
      </w:r>
      <w:proofErr w:type="gramStart"/>
      <w:r w:rsidRPr="00C17AEC">
        <w:rPr>
          <w:rFonts w:eastAsia="Times New Roman" w:cs="Times New Roman"/>
          <w:color w:val="000000" w:themeColor="text1"/>
        </w:rPr>
        <w:t xml:space="preserve">roku. </w:t>
      </w:r>
      <w:proofErr w:type="gramEnd"/>
      <w:r w:rsidRPr="00C17AEC">
        <w:rPr>
          <w:rFonts w:eastAsia="Times New Roman" w:cs="Times New Roman"/>
          <w:color w:val="000000" w:themeColor="text1"/>
        </w:rPr>
        <w:t xml:space="preserve">Wybicie z tej formacji stwarza szansę na dalsze wzrosty, czyli lepsze zachowanie indeksu WIG20 niż indeksu S&amp;P500. Dzięki temu można powiedzieć, że </w:t>
      </w:r>
      <w:r w:rsidRPr="00C17AEC">
        <w:rPr>
          <w:rFonts w:eastAsia="Times New Roman" w:cs="Times New Roman"/>
          <w:b/>
          <w:color w:val="000000" w:themeColor="text1"/>
        </w:rPr>
        <w:t xml:space="preserve">prawdopodobnie mogą pojawić się jakieś czynniki fundamentalne, które stwarzają szasnę na relatywne umocnienie indeksu WIG20 </w:t>
      </w:r>
      <w:r w:rsidRPr="00C17AEC">
        <w:rPr>
          <w:rFonts w:eastAsia="Times New Roman" w:cs="Times New Roman"/>
          <w:color w:val="000000" w:themeColor="text1"/>
        </w:rPr>
        <w:t xml:space="preserve">w stosunku do nie tylko indeksu S&amp;P500, lecz </w:t>
      </w:r>
      <w:proofErr w:type="gramStart"/>
      <w:r w:rsidRPr="00C17AEC">
        <w:rPr>
          <w:rFonts w:eastAsia="Times New Roman" w:cs="Times New Roman"/>
          <w:color w:val="000000" w:themeColor="text1"/>
        </w:rPr>
        <w:t>także  w</w:t>
      </w:r>
      <w:proofErr w:type="gramEnd"/>
      <w:r w:rsidRPr="00C17AEC">
        <w:rPr>
          <w:rFonts w:eastAsia="Times New Roman" w:cs="Times New Roman"/>
          <w:color w:val="000000" w:themeColor="text1"/>
        </w:rPr>
        <w:t xml:space="preserve"> stosunku do innych indeksów zagranicznych.</w:t>
      </w:r>
    </w:p>
    <w:p w:rsidR="004D348C" w:rsidRPr="00C17AEC" w:rsidRDefault="004D348C" w:rsidP="004D348C">
      <w:pPr>
        <w:spacing w:after="0" w:line="240" w:lineRule="auto"/>
        <w:ind w:left="720"/>
        <w:contextualSpacing/>
        <w:jc w:val="both"/>
        <w:rPr>
          <w:rFonts w:eastAsia="Times New Roman" w:cs="Times New Roman"/>
        </w:rPr>
      </w:pPr>
    </w:p>
    <w:p w:rsidR="004D348C" w:rsidRPr="007004E1" w:rsidRDefault="004D348C" w:rsidP="004D348C">
      <w:pPr>
        <w:spacing w:after="0" w:line="240" w:lineRule="auto"/>
        <w:jc w:val="both"/>
        <w:rPr>
          <w:rFonts w:eastAsia="Times New Roman" w:cs="Times New Roman"/>
        </w:rPr>
      </w:pPr>
      <w:r w:rsidRPr="007004E1">
        <w:rPr>
          <w:rFonts w:eastAsia="Times New Roman" w:cs="Times New Roman"/>
        </w:rPr>
        <w:t xml:space="preserve">Opracował: Sławomir Kłusek, </w:t>
      </w:r>
      <w:r>
        <w:rPr>
          <w:rFonts w:eastAsia="Times New Roman" w:cs="Times New Roman"/>
        </w:rPr>
        <w:t>31 p</w:t>
      </w:r>
      <w:r w:rsidRPr="007004E1">
        <w:rPr>
          <w:rFonts w:eastAsia="Times New Roman" w:cs="Times New Roman"/>
        </w:rPr>
        <w:t>aździernika 2016 roku</w:t>
      </w:r>
    </w:p>
    <w:p w:rsidR="004D348C" w:rsidRPr="007004E1" w:rsidRDefault="004D348C" w:rsidP="004D348C">
      <w:pPr>
        <w:spacing w:after="0" w:line="240" w:lineRule="auto"/>
        <w:jc w:val="both"/>
        <w:rPr>
          <w:rFonts w:eastAsia="Times New Roman" w:cs="Times New Roman"/>
        </w:rPr>
      </w:pPr>
    </w:p>
    <w:p w:rsidR="004D348C" w:rsidRPr="007004E1" w:rsidRDefault="004D348C" w:rsidP="004D348C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</w:rPr>
      </w:pPr>
      <w:r w:rsidRPr="007004E1">
        <w:rPr>
          <w:rFonts w:eastAsia="Times New Roman" w:cs="Times New Roman"/>
          <w:i/>
        </w:rPr>
        <w:t xml:space="preserve">Powyższy raport stanowi wyłącznie wyraz osobistych opinii autora. Treści zawarte na stronie internetowej </w:t>
      </w:r>
      <w:r w:rsidRPr="007004E1">
        <w:rPr>
          <w:rFonts w:eastAsia="Times New Roman" w:cs="Times New Roman"/>
          <w:b/>
          <w:i/>
        </w:rPr>
        <w:t>analizy-rynkowe.</w:t>
      </w:r>
      <w:proofErr w:type="gramStart"/>
      <w:r w:rsidRPr="007004E1">
        <w:rPr>
          <w:rFonts w:eastAsia="Times New Roman" w:cs="Times New Roman"/>
          <w:b/>
          <w:i/>
        </w:rPr>
        <w:t>pl</w:t>
      </w:r>
      <w:r w:rsidRPr="007004E1">
        <w:rPr>
          <w:rFonts w:eastAsia="Times New Roman" w:cs="Times New Roman"/>
          <w:i/>
        </w:rPr>
        <w:t xml:space="preserve">  stanowią</w:t>
      </w:r>
      <w:proofErr w:type="gramEnd"/>
      <w:r w:rsidRPr="007004E1">
        <w:rPr>
          <w:rFonts w:eastAsia="Times New Roman" w:cs="Times New Roman"/>
          <w:i/>
        </w:rPr>
        <w:t xml:space="preserve"> „rekomendacji”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7004E1">
        <w:rPr>
          <w:rFonts w:eastAsia="Times New Roman" w:cs="Times New Roman"/>
          <w:i/>
        </w:rPr>
        <w:t>Dz.U</w:t>
      </w:r>
      <w:proofErr w:type="spellEnd"/>
      <w:r w:rsidRPr="007004E1">
        <w:rPr>
          <w:rFonts w:eastAsia="Times New Roman" w:cs="Times New Roman"/>
          <w:i/>
        </w:rPr>
        <w:t>. z 2005 r. Nr 206, poz</w:t>
      </w:r>
      <w:proofErr w:type="gramStart"/>
      <w:r w:rsidRPr="007004E1">
        <w:rPr>
          <w:rFonts w:eastAsia="Times New Roman" w:cs="Times New Roman"/>
          <w:i/>
        </w:rPr>
        <w:t>. 1715). Autor</w:t>
      </w:r>
      <w:proofErr w:type="gramEnd"/>
      <w:r w:rsidRPr="007004E1">
        <w:rPr>
          <w:rFonts w:eastAsia="Times New Roman" w:cs="Times New Roman"/>
          <w:i/>
        </w:rPr>
        <w:t xml:space="preserve"> nie ponosi odpowiedzialności za jakiekolwiek decyzje inwestycyjne podjęte na podstawie treści zawartych na stronie internetowej </w:t>
      </w:r>
      <w:r w:rsidRPr="007004E1">
        <w:rPr>
          <w:rFonts w:eastAsia="Times New Roman" w:cs="Times New Roman"/>
          <w:b/>
          <w:i/>
          <w:color w:val="000000" w:themeColor="text1"/>
        </w:rPr>
        <w:t>analizy-rynkowe.</w:t>
      </w:r>
      <w:proofErr w:type="gramStart"/>
      <w:r w:rsidRPr="007004E1">
        <w:rPr>
          <w:rFonts w:eastAsia="Times New Roman" w:cs="Times New Roman"/>
          <w:b/>
          <w:i/>
          <w:color w:val="000000" w:themeColor="text1"/>
        </w:rPr>
        <w:t>pl</w:t>
      </w:r>
      <w:proofErr w:type="gramEnd"/>
      <w:r w:rsidRPr="007004E1">
        <w:rPr>
          <w:rFonts w:eastAsia="Times New Roman" w:cs="Times New Roman"/>
          <w:i/>
          <w:color w:val="000000" w:themeColor="text1"/>
        </w:rPr>
        <w:t>.</w:t>
      </w:r>
    </w:p>
    <w:p w:rsidR="004D348C" w:rsidRDefault="004D348C" w:rsidP="004D348C">
      <w:pPr>
        <w:spacing w:after="0" w:line="240" w:lineRule="auto"/>
        <w:jc w:val="both"/>
      </w:pPr>
    </w:p>
    <w:p w:rsidR="00E4326C" w:rsidRDefault="00E4326C" w:rsidP="004D348C">
      <w:pPr>
        <w:spacing w:after="0" w:line="240" w:lineRule="auto"/>
        <w:jc w:val="both"/>
      </w:pPr>
    </w:p>
    <w:p w:rsidR="00E4326C" w:rsidRDefault="00E4326C" w:rsidP="004D348C">
      <w:pPr>
        <w:spacing w:after="0" w:line="240" w:lineRule="auto"/>
        <w:jc w:val="both"/>
      </w:pPr>
    </w:p>
    <w:p w:rsidR="00E4326C" w:rsidRDefault="00E4326C" w:rsidP="004D348C">
      <w:pPr>
        <w:spacing w:after="0" w:line="240" w:lineRule="auto"/>
        <w:jc w:val="both"/>
      </w:pPr>
    </w:p>
    <w:p w:rsidR="00E4326C" w:rsidRDefault="00E4326C" w:rsidP="004D348C">
      <w:pPr>
        <w:spacing w:after="0" w:line="240" w:lineRule="auto"/>
        <w:jc w:val="both"/>
      </w:pPr>
    </w:p>
    <w:p w:rsidR="00E4326C" w:rsidRPr="004D348C" w:rsidRDefault="00E4326C" w:rsidP="004D348C">
      <w:pPr>
        <w:spacing w:after="0" w:line="240" w:lineRule="auto"/>
        <w:jc w:val="both"/>
      </w:pPr>
      <w:bookmarkStart w:id="0" w:name="_GoBack"/>
      <w:bookmarkEnd w:id="0"/>
    </w:p>
    <w:sectPr w:rsidR="00E4326C" w:rsidRPr="004D348C" w:rsidSect="00FF5F52">
      <w:footerReference w:type="default" r:id="rId2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55" w:rsidRDefault="00262A55">
      <w:pPr>
        <w:spacing w:after="0" w:line="240" w:lineRule="auto"/>
      </w:pPr>
      <w:r>
        <w:separator/>
      </w:r>
    </w:p>
  </w:endnote>
  <w:endnote w:type="continuationSeparator" w:id="0">
    <w:p w:rsidR="00262A55" w:rsidRDefault="0026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094"/>
      <w:docPartObj>
        <w:docPartGallery w:val="Page Numbers (Bottom of Page)"/>
        <w:docPartUnique/>
      </w:docPartObj>
    </w:sdtPr>
    <w:sdtEndPr/>
    <w:sdtContent>
      <w:p w:rsidR="00FF5F52" w:rsidRDefault="001D46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26C">
          <w:rPr>
            <w:noProof/>
          </w:rPr>
          <w:t>16</w:t>
        </w:r>
        <w:r>
          <w:fldChar w:fldCharType="end"/>
        </w:r>
      </w:p>
    </w:sdtContent>
  </w:sdt>
  <w:p w:rsidR="00FF5F52" w:rsidRDefault="00262A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55" w:rsidRDefault="00262A55">
      <w:pPr>
        <w:spacing w:after="0" w:line="240" w:lineRule="auto"/>
      </w:pPr>
      <w:r>
        <w:separator/>
      </w:r>
    </w:p>
  </w:footnote>
  <w:footnote w:type="continuationSeparator" w:id="0">
    <w:p w:rsidR="00262A55" w:rsidRDefault="0026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8C"/>
    <w:rsid w:val="001D46E2"/>
    <w:rsid w:val="00262A55"/>
    <w:rsid w:val="004D348C"/>
    <w:rsid w:val="007D4721"/>
    <w:rsid w:val="00E4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48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348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4D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48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D348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D348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4326C"/>
  </w:style>
  <w:style w:type="character" w:styleId="Pogrubienie">
    <w:name w:val="Strong"/>
    <w:basedOn w:val="Domylnaczcionkaakapitu"/>
    <w:uiPriority w:val="22"/>
    <w:qFormat/>
    <w:rsid w:val="00E432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48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348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4D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48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D348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D348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4326C"/>
  </w:style>
  <w:style w:type="character" w:styleId="Pogrubienie">
    <w:name w:val="Strong"/>
    <w:basedOn w:val="Domylnaczcionkaakapitu"/>
    <w:uiPriority w:val="22"/>
    <w:qFormat/>
    <w:rsid w:val="00E43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ooq.pl/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http://analizy-rynkowe.pl/lista-6-spolek-atrakcyjnych-fundamental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alizy-rynkowe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image" Target="media/image2.gif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stooq.pl/stooq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Arkusz1!$A$1:$A$5</c:f>
              <c:strCache>
                <c:ptCount val="5"/>
                <c:pt idx="0">
                  <c:v>Wykres do przemyślenia</c:v>
                </c:pt>
                <c:pt idx="1">
                  <c:v>sWIG80</c:v>
                </c:pt>
                <c:pt idx="2">
                  <c:v>mWIG40</c:v>
                </c:pt>
                <c:pt idx="3">
                  <c:v>WIG</c:v>
                </c:pt>
                <c:pt idx="4">
                  <c:v>WIG20</c:v>
                </c:pt>
              </c:strCache>
            </c:strRef>
          </c:cat>
          <c:val>
            <c:numRef>
              <c:f>Arkusz1!$B$1:$B$5</c:f>
              <c:numCache>
                <c:formatCode>0.0</c:formatCode>
                <c:ptCount val="5"/>
                <c:pt idx="0">
                  <c:v>12.3</c:v>
                </c:pt>
                <c:pt idx="1">
                  <c:v>4.8</c:v>
                </c:pt>
                <c:pt idx="2">
                  <c:v>0.7</c:v>
                </c:pt>
                <c:pt idx="3">
                  <c:v>-9.3000000000000007</c:v>
                </c:pt>
                <c:pt idx="4">
                  <c:v>-18.399999999999999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248448"/>
        <c:axId val="136086656"/>
      </c:barChart>
      <c:catAx>
        <c:axId val="17224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086656"/>
        <c:crosses val="autoZero"/>
        <c:auto val="1"/>
        <c:lblAlgn val="ctr"/>
        <c:lblOffset val="100"/>
        <c:noMultiLvlLbl val="0"/>
      </c:catAx>
      <c:valAx>
        <c:axId val="13608665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722484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6C33-AC29-4543-AD6D-2FAB5B36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1991</Words>
  <Characters>11950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3</cp:revision>
  <dcterms:created xsi:type="dcterms:W3CDTF">2016-10-30T07:08:00Z</dcterms:created>
  <dcterms:modified xsi:type="dcterms:W3CDTF">2016-10-30T07:18:00Z</dcterms:modified>
</cp:coreProperties>
</file>