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EC" w:rsidRPr="007004E1" w:rsidRDefault="00270BEC" w:rsidP="00270BEC">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sidRPr="007004E1">
        <w:rPr>
          <w:color w:val="FF0000"/>
          <w:sz w:val="180"/>
          <w:szCs w:val="180"/>
          <w14:shadow w14:blurRad="50800" w14:dist="38100" w14:dir="2700000" w14:sx="100000" w14:sy="100000" w14:kx="0" w14:ky="0" w14:algn="tl">
            <w14:srgbClr w14:val="000000">
              <w14:alpha w14:val="60000"/>
            </w14:srgbClr>
          </w14:shadow>
        </w:rPr>
        <w:t>Raport</w:t>
      </w:r>
    </w:p>
    <w:p w:rsidR="00270BEC" w:rsidRPr="007004E1" w:rsidRDefault="00270BEC" w:rsidP="00270BEC">
      <w:pPr>
        <w:spacing w:after="0" w:line="240" w:lineRule="auto"/>
        <w:jc w:val="center"/>
        <w:rPr>
          <w:color w:val="FF0000"/>
          <w:sz w:val="180"/>
          <w:szCs w:val="180"/>
          <w14:shadow w14:blurRad="50800" w14:dist="38100" w14:dir="2700000" w14:sx="100000" w14:sy="100000" w14:kx="0" w14:ky="0" w14:algn="tl">
            <w14:srgbClr w14:val="000000">
              <w14:alpha w14:val="60000"/>
            </w14:srgbClr>
          </w14:shadow>
        </w:rPr>
      </w:pPr>
      <w:r w:rsidRPr="007004E1">
        <w:rPr>
          <w:color w:val="FF0000"/>
          <w:sz w:val="180"/>
          <w:szCs w:val="180"/>
          <w14:shadow w14:blurRad="50800" w14:dist="38100" w14:dir="2700000" w14:sx="100000" w14:sy="100000" w14:kx="0" w14:ky="0" w14:algn="tl">
            <w14:srgbClr w14:val="000000">
              <w14:alpha w14:val="60000"/>
            </w14:srgbClr>
          </w14:shadow>
        </w:rPr>
        <w:t>Tygodniowy</w:t>
      </w:r>
    </w:p>
    <w:p w:rsidR="00270BEC" w:rsidRPr="007004E1" w:rsidRDefault="00270BEC" w:rsidP="00270BEC">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r w:rsidRPr="007004E1">
        <w:rPr>
          <w:color w:val="FF0000"/>
          <w:sz w:val="100"/>
          <w:szCs w:val="100"/>
          <w14:shadow w14:blurRad="50800" w14:dist="38100" w14:dir="2700000" w14:sx="100000" w14:sy="100000" w14:kx="0" w14:ky="0" w14:algn="tl">
            <w14:srgbClr w14:val="000000">
              <w14:alpha w14:val="60000"/>
            </w14:srgbClr>
          </w14:shadow>
        </w:rPr>
        <w:t>o sytuacji na</w:t>
      </w:r>
    </w:p>
    <w:p w:rsidR="00270BEC" w:rsidRPr="007004E1" w:rsidRDefault="00270BEC" w:rsidP="00270BEC">
      <w:pPr>
        <w:spacing w:after="0" w:line="240" w:lineRule="auto"/>
        <w:jc w:val="center"/>
        <w:rPr>
          <w:color w:val="FF0000"/>
          <w:sz w:val="100"/>
          <w:szCs w:val="100"/>
          <w14:shadow w14:blurRad="50800" w14:dist="38100" w14:dir="2700000" w14:sx="100000" w14:sy="100000" w14:kx="0" w14:ky="0" w14:algn="tl">
            <w14:srgbClr w14:val="000000">
              <w14:alpha w14:val="60000"/>
            </w14:srgbClr>
          </w14:shadow>
        </w:rPr>
      </w:pPr>
      <w:r w:rsidRPr="007004E1">
        <w:rPr>
          <w:color w:val="FF0000"/>
          <w:sz w:val="100"/>
          <w:szCs w:val="100"/>
          <w14:shadow w14:blurRad="50800" w14:dist="38100" w14:dir="2700000" w14:sx="100000" w14:sy="100000" w14:kx="0" w14:ky="0" w14:algn="tl">
            <w14:srgbClr w14:val="000000">
              <w14:alpha w14:val="60000"/>
            </w14:srgbClr>
          </w14:shadow>
        </w:rPr>
        <w:t>rynkach finansowych</w:t>
      </w:r>
    </w:p>
    <w:p w:rsidR="00270BEC" w:rsidRPr="007004E1" w:rsidRDefault="00270BEC" w:rsidP="00270BEC">
      <w:pPr>
        <w:spacing w:after="0" w:line="240" w:lineRule="auto"/>
        <w:jc w:val="center"/>
        <w:rPr>
          <w:sz w:val="48"/>
          <w:szCs w:val="48"/>
        </w:rPr>
      </w:pPr>
    </w:p>
    <w:p w:rsidR="00270BEC" w:rsidRPr="007004E1" w:rsidRDefault="00270BEC" w:rsidP="00270BEC">
      <w:pPr>
        <w:spacing w:after="0" w:line="240" w:lineRule="auto"/>
        <w:jc w:val="center"/>
        <w:rPr>
          <w:sz w:val="48"/>
          <w:szCs w:val="48"/>
        </w:rPr>
      </w:pPr>
    </w:p>
    <w:p w:rsidR="00270BEC" w:rsidRPr="007004E1" w:rsidRDefault="00270BEC" w:rsidP="00270BEC">
      <w:pPr>
        <w:spacing w:after="0" w:line="240" w:lineRule="auto"/>
        <w:jc w:val="center"/>
        <w:rPr>
          <w:sz w:val="100"/>
          <w:szCs w:val="100"/>
          <w:u w:val="single"/>
          <w14:shadow w14:blurRad="50800" w14:dist="38100" w14:dir="2700000" w14:sx="100000" w14:sy="100000" w14:kx="0" w14:ky="0" w14:algn="tl">
            <w14:srgbClr w14:val="000000">
              <w14:alpha w14:val="60000"/>
            </w14:srgbClr>
          </w14:shadow>
        </w:rPr>
      </w:pPr>
      <w:r w:rsidRPr="007004E1">
        <w:rPr>
          <w:sz w:val="100"/>
          <w:szCs w:val="100"/>
          <w:u w:val="single"/>
          <w14:shadow w14:blurRad="50800" w14:dist="38100" w14:dir="2700000" w14:sx="100000" w14:sy="100000" w14:kx="0" w14:ky="0" w14:algn="tl">
            <w14:srgbClr w14:val="000000">
              <w14:alpha w14:val="60000"/>
            </w14:srgbClr>
          </w14:shadow>
        </w:rPr>
        <w:t>Rynek walutowy</w:t>
      </w:r>
    </w:p>
    <w:p w:rsidR="00270BEC" w:rsidRPr="007004E1" w:rsidRDefault="00270BEC" w:rsidP="00270BEC">
      <w:pPr>
        <w:spacing w:after="0" w:line="240" w:lineRule="auto"/>
        <w:jc w:val="center"/>
        <w:rPr>
          <w:sz w:val="100"/>
          <w:szCs w:val="100"/>
          <w14:shadow w14:blurRad="50800" w14:dist="38100" w14:dir="2700000" w14:sx="100000" w14:sy="100000" w14:kx="0" w14:ky="0" w14:algn="tl">
            <w14:srgbClr w14:val="000000">
              <w14:alpha w14:val="60000"/>
            </w14:srgbClr>
          </w14:shadow>
        </w:rPr>
      </w:pPr>
    </w:p>
    <w:p w:rsidR="00270BEC" w:rsidRPr="007004E1" w:rsidRDefault="00270BEC" w:rsidP="00270BEC">
      <w:pPr>
        <w:jc w:val="center"/>
        <w:rPr>
          <w:sz w:val="100"/>
          <w:szCs w:val="100"/>
          <w:u w:val="single"/>
          <w14:shadow w14:blurRad="50800" w14:dist="38100" w14:dir="2700000" w14:sx="100000" w14:sy="100000" w14:kx="0" w14:ky="0" w14:algn="tl">
            <w14:srgbClr w14:val="000000">
              <w14:alpha w14:val="60000"/>
            </w14:srgbClr>
          </w14:shadow>
        </w:rPr>
      </w:pPr>
      <w:r w:rsidRPr="007004E1">
        <w:rPr>
          <w:sz w:val="100"/>
          <w:szCs w:val="100"/>
          <w:u w:val="single"/>
          <w14:shadow w14:blurRad="50800" w14:dist="38100" w14:dir="2700000" w14:sx="100000" w14:sy="100000" w14:kx="0" w14:ky="0" w14:algn="tl">
            <w14:srgbClr w14:val="000000">
              <w14:alpha w14:val="60000"/>
            </w14:srgbClr>
          </w14:shadow>
        </w:rPr>
        <w:t>Rynek akcji</w:t>
      </w:r>
    </w:p>
    <w:p w:rsidR="00270BEC" w:rsidRPr="007004E1" w:rsidRDefault="00270BEC" w:rsidP="00270BEC">
      <w:pPr>
        <w:spacing w:after="0" w:line="240" w:lineRule="auto"/>
        <w:jc w:val="both"/>
        <w:rPr>
          <w:sz w:val="26"/>
          <w:szCs w:val="26"/>
        </w:rPr>
      </w:pPr>
    </w:p>
    <w:p w:rsidR="00270BEC" w:rsidRPr="007004E1" w:rsidRDefault="00270BEC" w:rsidP="00270BEC">
      <w:pPr>
        <w:spacing w:after="0" w:line="240" w:lineRule="auto"/>
        <w:jc w:val="both"/>
        <w:rPr>
          <w:sz w:val="26"/>
          <w:szCs w:val="26"/>
        </w:rPr>
      </w:pPr>
    </w:p>
    <w:p w:rsidR="00270BEC" w:rsidRPr="007004E1" w:rsidRDefault="00270BEC" w:rsidP="00270BEC">
      <w:pPr>
        <w:spacing w:after="0" w:line="240" w:lineRule="auto"/>
        <w:jc w:val="both"/>
        <w:rPr>
          <w:sz w:val="24"/>
          <w:szCs w:val="24"/>
          <w14:shadow w14:blurRad="50800" w14:dist="38100" w14:dir="2700000" w14:sx="100000" w14:sy="100000" w14:kx="0" w14:ky="0" w14:algn="tl">
            <w14:srgbClr w14:val="000000">
              <w14:alpha w14:val="60000"/>
            </w14:srgbClr>
          </w14:shadow>
        </w:rPr>
      </w:pPr>
      <w:r w:rsidRPr="007004E1">
        <w:rPr>
          <w:sz w:val="24"/>
          <w:szCs w:val="24"/>
          <w14:shadow w14:blurRad="50800" w14:dist="38100" w14:dir="2700000" w14:sx="100000" w14:sy="100000" w14:kx="0" w14:ky="0" w14:algn="tl">
            <w14:srgbClr w14:val="000000">
              <w14:alpha w14:val="60000"/>
            </w14:srgbClr>
          </w14:shadow>
        </w:rPr>
        <w:lastRenderedPageBreak/>
        <w:t xml:space="preserve">Poniedziałek, </w:t>
      </w:r>
      <w:r>
        <w:rPr>
          <w:sz w:val="24"/>
          <w:szCs w:val="24"/>
          <w14:shadow w14:blurRad="50800" w14:dist="38100" w14:dir="2700000" w14:sx="100000" w14:sy="100000" w14:kx="0" w14:ky="0" w14:algn="tl">
            <w14:srgbClr w14:val="000000">
              <w14:alpha w14:val="60000"/>
            </w14:srgbClr>
          </w14:shadow>
        </w:rPr>
        <w:t>1</w:t>
      </w:r>
      <w:r w:rsidR="00EC05A2">
        <w:rPr>
          <w:sz w:val="24"/>
          <w:szCs w:val="24"/>
          <w14:shadow w14:blurRad="50800" w14:dist="38100" w14:dir="2700000" w14:sx="100000" w14:sy="100000" w14:kx="0" w14:ky="0" w14:algn="tl">
            <w14:srgbClr w14:val="000000">
              <w14:alpha w14:val="60000"/>
            </w14:srgbClr>
          </w14:shadow>
        </w:rPr>
        <w:t>7</w:t>
      </w:r>
      <w:r w:rsidRPr="007004E1">
        <w:rPr>
          <w:sz w:val="24"/>
          <w:szCs w:val="24"/>
          <w14:shadow w14:blurRad="50800" w14:dist="38100" w14:dir="2700000" w14:sx="100000" w14:sy="100000" w14:kx="0" w14:ky="0" w14:algn="tl">
            <w14:srgbClr w14:val="000000">
              <w14:alpha w14:val="60000"/>
            </w14:srgbClr>
          </w14:shadow>
        </w:rPr>
        <w:t xml:space="preserve"> października 2016 roku</w:t>
      </w:r>
    </w:p>
    <w:p w:rsidR="00270BEC" w:rsidRPr="007004E1" w:rsidRDefault="00270BEC" w:rsidP="00270BEC">
      <w:pPr>
        <w:pBdr>
          <w:top w:val="single" w:sz="4" w:space="1" w:color="auto"/>
          <w:left w:val="single" w:sz="4" w:space="4" w:color="auto"/>
          <w:bottom w:val="single" w:sz="4" w:space="1" w:color="auto"/>
          <w:right w:val="single" w:sz="4" w:space="4" w:color="auto"/>
        </w:pBdr>
        <w:spacing w:after="0" w:line="240" w:lineRule="auto"/>
        <w:jc w:val="center"/>
      </w:pPr>
      <w:r w:rsidRPr="007004E1">
        <w:t xml:space="preserve">Kurs USD/PLN – perspektywa długoterminowa, kurs </w:t>
      </w:r>
      <w:r>
        <w:t xml:space="preserve">z </w:t>
      </w:r>
      <w:r w:rsidR="00EC05A2">
        <w:t>14 października 2016 roku = 3,9271</w:t>
      </w:r>
    </w:p>
    <w:p w:rsidR="00270BEC" w:rsidRPr="007004E1" w:rsidRDefault="00DD02B4" w:rsidP="00270BEC">
      <w:pPr>
        <w:spacing w:after="0" w:line="240" w:lineRule="auto"/>
        <w:jc w:val="both"/>
      </w:pPr>
      <w:r>
        <w:rPr>
          <w:noProof/>
          <w:lang w:eastAsia="pl-PL"/>
        </w:rPr>
        <w:drawing>
          <wp:inline distT="0" distB="0" distL="0" distR="0" wp14:anchorId="367C6585">
            <wp:extent cx="4829175" cy="29051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270BEC" w:rsidRPr="007004E1" w:rsidRDefault="00270BEC" w:rsidP="00270BEC">
      <w:pPr>
        <w:spacing w:after="0" w:line="240" w:lineRule="auto"/>
        <w:jc w:val="both"/>
        <w:rPr>
          <w:b/>
          <w:color w:val="FF0000"/>
        </w:rPr>
      </w:pPr>
      <w:r w:rsidRPr="007004E1">
        <w:t xml:space="preserve">Kurs dolara amerykańskiego (w złotych) przebił zaznaczony na wykresie trend wzrostowy poprowadzony przez dołki z 9 lipca 2014 roku oraz 14 października 2015 roku. </w:t>
      </w:r>
      <w:r w:rsidRPr="007004E1">
        <w:rPr>
          <w:b/>
        </w:rPr>
        <w:t>Pojawiła się szansa na wybicie z na razie tylko hipotetycznej formacji podwójnego szczytu</w:t>
      </w:r>
      <w:r w:rsidRPr="007004E1">
        <w:t xml:space="preserve">. Dojdzie do tego wybicia, gdy kurs USD/PLN osiągnie (na zamknięciu notowań) poziom dołka z 4 kwietnia 2016 roku (3,7230 zł.). Realna perspektywa zmiany trendu ze wzrostowego na spadkowy może być związana z perspektywą napływu kapitału zagranicznego na polski rynek akcji. Średnia ruchoma z 200 sesji próbuje zmienić trend na spadkowy. </w:t>
      </w:r>
    </w:p>
    <w:p w:rsidR="00270BEC" w:rsidRPr="007004E1" w:rsidRDefault="00270BEC" w:rsidP="00270BEC">
      <w:pPr>
        <w:pBdr>
          <w:top w:val="single" w:sz="4" w:space="1" w:color="auto"/>
          <w:left w:val="single" w:sz="4" w:space="4" w:color="auto"/>
          <w:bottom w:val="single" w:sz="4" w:space="1" w:color="auto"/>
          <w:right w:val="single" w:sz="4" w:space="4" w:color="auto"/>
        </w:pBdr>
        <w:spacing w:after="0" w:line="240" w:lineRule="auto"/>
        <w:jc w:val="center"/>
      </w:pPr>
      <w:r w:rsidRPr="007004E1">
        <w:t xml:space="preserve">Kurs EUR/PLN – perspektywa średniookresowa, kurs </w:t>
      </w:r>
      <w:r w:rsidR="00EC05A2">
        <w:t>z 30 września 2016 roku = 4,3089</w:t>
      </w:r>
    </w:p>
    <w:p w:rsidR="00270BEC" w:rsidRPr="007004E1" w:rsidRDefault="00DD02B4" w:rsidP="00270BEC">
      <w:pPr>
        <w:spacing w:after="0" w:line="240" w:lineRule="auto"/>
        <w:jc w:val="both"/>
      </w:pPr>
      <w:r>
        <w:rPr>
          <w:noProof/>
          <w:lang w:eastAsia="pl-PL"/>
        </w:rPr>
        <w:drawing>
          <wp:inline distT="0" distB="0" distL="0" distR="0" wp14:anchorId="7308F371">
            <wp:extent cx="4829175" cy="29051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270BEC" w:rsidRDefault="00270BEC" w:rsidP="00270BEC">
      <w:pPr>
        <w:spacing w:after="0" w:line="240" w:lineRule="auto"/>
        <w:jc w:val="both"/>
      </w:pPr>
      <w:r w:rsidRPr="007004E1">
        <w:t xml:space="preserve">Kurs euro amerykańskiego (w złotych) przebił zaznaczony na wykresie trend wzrostowy poprowadzony przez dołki z 27 kwietnia oraz 29 grudnia 2015 roku. </w:t>
      </w:r>
      <w:r w:rsidRPr="007004E1">
        <w:rPr>
          <w:b/>
        </w:rPr>
        <w:t>Pojawiła się szansa na wybicie z na razie tylko hipotetycznej formacji podwójnego szczytu</w:t>
      </w:r>
      <w:r w:rsidRPr="007004E1">
        <w:t xml:space="preserve">. Dojdzie do tego wybicia, gdy kurs USD/PLN osiągnie (na zamknięciu notowań) poziom dołka z 4 kwietnia 2016 roku (4,2409 zł.). Realna perspektywa zmiany trendu ze wzrostowego na spadkowy może być związana z perspektywą napływu kapitału zagranicznego na polski rynek akcji. Średnia ruchoma z 200 sesji próbuje zmienić trend na spadkowy. </w:t>
      </w:r>
    </w:p>
    <w:p w:rsidR="00270BEC" w:rsidRDefault="00270BEC" w:rsidP="0094683A">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Pr>
          <w:sz w:val="26"/>
          <w:szCs w:val="26"/>
        </w:rPr>
        <w:lastRenderedPageBreak/>
        <w:t>Jak indeks WIG20 może zareagować na ewentualny spadek cen ropy naftowej ?</w:t>
      </w:r>
    </w:p>
    <w:p w:rsidR="00270BEC" w:rsidRDefault="00270BEC" w:rsidP="00270BEC">
      <w:pPr>
        <w:pStyle w:val="Bezodstpw"/>
        <w:jc w:val="center"/>
        <w:rPr>
          <w:sz w:val="26"/>
          <w:szCs w:val="26"/>
        </w:rPr>
      </w:pPr>
    </w:p>
    <w:p w:rsidR="00270BEC" w:rsidRDefault="00270BEC" w:rsidP="00270BEC">
      <w:pPr>
        <w:pStyle w:val="Bezodstpw"/>
        <w:jc w:val="both"/>
        <w:rPr>
          <w:sz w:val="26"/>
          <w:szCs w:val="26"/>
        </w:rPr>
      </w:pPr>
      <w:r>
        <w:rPr>
          <w:sz w:val="26"/>
          <w:szCs w:val="26"/>
        </w:rPr>
        <w:t xml:space="preserve">W poprzednim tygodniu indeks WIG20 stracił na wartości 1,8 %. Skala spadku była na tle indeksów innych krajowych rynków akcji dość znaczna. U źródeł owej zniżki mógł leżeć spadek cen niektórych cen surowców, w tym miedzi. </w:t>
      </w:r>
    </w:p>
    <w:p w:rsidR="00270BEC" w:rsidRDefault="00270BEC" w:rsidP="00270BEC">
      <w:pPr>
        <w:pStyle w:val="Bezodstpw"/>
        <w:jc w:val="both"/>
        <w:rPr>
          <w:sz w:val="26"/>
          <w:szCs w:val="26"/>
        </w:rPr>
      </w:pPr>
    </w:p>
    <w:p w:rsidR="00270BEC" w:rsidRDefault="0031087D" w:rsidP="00270BEC">
      <w:pPr>
        <w:pStyle w:val="Bezodstpw"/>
        <w:jc w:val="both"/>
        <w:rPr>
          <w:sz w:val="26"/>
          <w:szCs w:val="26"/>
        </w:rPr>
      </w:pPr>
      <w:r>
        <w:rPr>
          <w:sz w:val="26"/>
          <w:szCs w:val="26"/>
        </w:rPr>
        <w:t>C</w:t>
      </w:r>
      <w:r w:rsidR="00270BEC">
        <w:rPr>
          <w:sz w:val="26"/>
          <w:szCs w:val="26"/>
        </w:rPr>
        <w:t xml:space="preserve">ena ropy naftowej w poniedziałek 10 października silnie rosła, ale potem sytuacja uległa zmianie. Rozpoczęły się spadki. W rezultacie może okazać, że opór z czerwca tego roku może ,,zadziałać”, co może doprowadzić do dalszych zniżek cen ropy naftowej. </w:t>
      </w:r>
    </w:p>
    <w:p w:rsidR="00270BEC" w:rsidRDefault="00270BEC" w:rsidP="00270BEC">
      <w:pPr>
        <w:pStyle w:val="Bezodstpw"/>
        <w:jc w:val="both"/>
        <w:rPr>
          <w:sz w:val="26"/>
          <w:szCs w:val="26"/>
        </w:rPr>
      </w:pPr>
    </w:p>
    <w:p w:rsidR="00270BEC" w:rsidRDefault="00270BEC" w:rsidP="00270BEC">
      <w:pPr>
        <w:pStyle w:val="Bezodstpw"/>
        <w:jc w:val="both"/>
        <w:rPr>
          <w:b/>
          <w:sz w:val="26"/>
          <w:szCs w:val="26"/>
          <w:u w:val="single"/>
        </w:rPr>
      </w:pPr>
      <w:r w:rsidRPr="00161AB9">
        <w:rPr>
          <w:b/>
          <w:sz w:val="26"/>
          <w:szCs w:val="26"/>
          <w:u w:val="single"/>
        </w:rPr>
        <w:t>ROPA NAFTOWA</w:t>
      </w:r>
    </w:p>
    <w:p w:rsidR="00270BEC" w:rsidRDefault="00270BEC" w:rsidP="00270BEC">
      <w:pPr>
        <w:pStyle w:val="Bezodstpw"/>
        <w:jc w:val="both"/>
        <w:rPr>
          <w:b/>
          <w:sz w:val="26"/>
          <w:szCs w:val="26"/>
          <w:u w:val="single"/>
        </w:rPr>
      </w:pPr>
      <w:r>
        <w:rPr>
          <w:b/>
          <w:noProof/>
          <w:sz w:val="26"/>
          <w:szCs w:val="26"/>
          <w:u w:val="single"/>
          <w:lang w:eastAsia="pl-PL"/>
        </w:rPr>
        <w:drawing>
          <wp:inline distT="0" distB="0" distL="0" distR="0" wp14:anchorId="25F531FC" wp14:editId="4A8B5CF9">
            <wp:extent cx="5429250" cy="3257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270BEC" w:rsidRDefault="00270BEC" w:rsidP="00270BEC">
      <w:pPr>
        <w:pStyle w:val="Bezodstpw"/>
        <w:jc w:val="both"/>
        <w:rPr>
          <w:b/>
          <w:sz w:val="26"/>
          <w:szCs w:val="26"/>
          <w:u w:val="single"/>
        </w:rPr>
      </w:pPr>
    </w:p>
    <w:p w:rsidR="00270BEC" w:rsidRPr="00F66A85" w:rsidRDefault="00270BEC" w:rsidP="00270BEC">
      <w:pPr>
        <w:pStyle w:val="Bezodstpw"/>
        <w:jc w:val="both"/>
        <w:rPr>
          <w:b/>
          <w:sz w:val="26"/>
          <w:szCs w:val="26"/>
        </w:rPr>
      </w:pPr>
      <w:r w:rsidRPr="0057642F">
        <w:rPr>
          <w:sz w:val="26"/>
          <w:szCs w:val="26"/>
        </w:rPr>
        <w:t>Je</w:t>
      </w:r>
      <w:r>
        <w:rPr>
          <w:sz w:val="26"/>
          <w:szCs w:val="26"/>
        </w:rPr>
        <w:t xml:space="preserve">żeli cena instrumenty finansowego (w tym przypadku cena ropy naftowej) zbliża się do oporu to można się spodziewać, że zacznie spadać. O ile bowiem </w:t>
      </w:r>
      <w:r w:rsidRPr="00F66A85">
        <w:rPr>
          <w:b/>
          <w:sz w:val="26"/>
          <w:szCs w:val="26"/>
        </w:rPr>
        <w:t xml:space="preserve">,,zadaniem” wsparcia jest doprowadzenie do wzrostów, o tyle ,,zadaniem” oporu jest doprowadzenie do spadków. </w:t>
      </w:r>
    </w:p>
    <w:p w:rsidR="00270BEC" w:rsidRDefault="00270BEC" w:rsidP="00270BEC">
      <w:pPr>
        <w:pStyle w:val="Bezodstpw"/>
        <w:rPr>
          <w:sz w:val="26"/>
          <w:szCs w:val="26"/>
        </w:rPr>
      </w:pPr>
    </w:p>
    <w:p w:rsidR="00270BEC" w:rsidRDefault="00270BEC" w:rsidP="00270BEC">
      <w:pPr>
        <w:pStyle w:val="Bezodstpw"/>
        <w:jc w:val="both"/>
        <w:rPr>
          <w:sz w:val="26"/>
          <w:szCs w:val="26"/>
        </w:rPr>
      </w:pPr>
      <w:r>
        <w:rPr>
          <w:sz w:val="26"/>
          <w:szCs w:val="26"/>
        </w:rPr>
        <w:t xml:space="preserve">Teraz powstaje bardzo ważne pytanie: co by się stało na rynkach akcji, gdyby cena ropy naftowej faktycznie zaczęła spadać. W tym kontekście warto przede wszystkim zbadać powiązania na przykład pomiędzy zmianą ceny ropy naftowej w roku T a zmianą wybranych indeksów rynków akcji w tym samym roku. </w:t>
      </w:r>
    </w:p>
    <w:p w:rsidR="00270BEC" w:rsidRDefault="00270BEC" w:rsidP="00270BEC">
      <w:pPr>
        <w:pStyle w:val="Bezodstpw"/>
        <w:jc w:val="both"/>
        <w:rPr>
          <w:sz w:val="26"/>
          <w:szCs w:val="26"/>
        </w:rPr>
      </w:pPr>
    </w:p>
    <w:p w:rsidR="00270BEC" w:rsidRDefault="00270BEC" w:rsidP="00270BEC">
      <w:pPr>
        <w:pStyle w:val="Bezodstpw"/>
        <w:jc w:val="both"/>
        <w:rPr>
          <w:sz w:val="26"/>
          <w:szCs w:val="26"/>
        </w:rPr>
      </w:pPr>
      <w:r>
        <w:rPr>
          <w:sz w:val="26"/>
          <w:szCs w:val="26"/>
        </w:rPr>
        <w:t xml:space="preserve">W tym celu wykorzystałem współczynnik korelacji Pearsona. </w:t>
      </w:r>
      <w:r w:rsidRPr="001C7FBB">
        <w:rPr>
          <w:sz w:val="26"/>
          <w:szCs w:val="26"/>
        </w:rPr>
        <w:t>Współczynnik korelacji liniowej Pearsona pokazuje siłę i kierunek związku pomiędzy dwoma zmiennymi. Współczynnik ten może przyjmować wartości od minus 1,0 do plus 1,0.</w:t>
      </w:r>
      <w:r>
        <w:rPr>
          <w:sz w:val="26"/>
          <w:szCs w:val="26"/>
        </w:rPr>
        <w:t xml:space="preserve"> </w:t>
      </w:r>
    </w:p>
    <w:p w:rsidR="00270BEC" w:rsidRDefault="00270BEC" w:rsidP="00270BEC">
      <w:pPr>
        <w:pStyle w:val="Bezodstpw"/>
        <w:jc w:val="both"/>
        <w:rPr>
          <w:sz w:val="26"/>
          <w:szCs w:val="26"/>
        </w:rPr>
      </w:pPr>
    </w:p>
    <w:p w:rsidR="00270BEC" w:rsidRDefault="00270BEC" w:rsidP="00270BEC">
      <w:pPr>
        <w:pStyle w:val="Bezodstpw"/>
        <w:jc w:val="both"/>
        <w:rPr>
          <w:sz w:val="26"/>
          <w:szCs w:val="26"/>
        </w:rPr>
      </w:pPr>
      <w:r w:rsidRPr="001C7FBB">
        <w:rPr>
          <w:sz w:val="26"/>
          <w:szCs w:val="26"/>
        </w:rPr>
        <w:lastRenderedPageBreak/>
        <w:t>Jeżeli przyjmuje on wartości wyraźnie dodatnie (na przykład plus 0,93, plus 0,84, plus 0,65 itd.) to można powiedzieć, że powiązanie pomiędzy dwoma zmiennymi ma charakter dodatni. Im wyższy poziom pierwszej zmiennej X tym wyższy poziom zmiennej drugiej.</w:t>
      </w:r>
      <w:r>
        <w:rPr>
          <w:sz w:val="26"/>
          <w:szCs w:val="26"/>
        </w:rPr>
        <w:t xml:space="preserve"> </w:t>
      </w:r>
      <w:r w:rsidRPr="001C7FBB">
        <w:rPr>
          <w:sz w:val="26"/>
          <w:szCs w:val="26"/>
        </w:rPr>
        <w:t>Jeżeli współczynnik ten przyjmuje wartości wyraźnie ujemne (na przykład minus 0,91, minus 0,74, minus 0,51 itd.) to można powiedzieć, że powiązanie pomiędzy dwoma zmiennymi ma charakter ujemny. Im wyższy poziom pierwszej zmiennej tym niższy poziom zmiennej drugiej.</w:t>
      </w:r>
      <w:r>
        <w:rPr>
          <w:sz w:val="26"/>
          <w:szCs w:val="26"/>
        </w:rPr>
        <w:t xml:space="preserve"> </w:t>
      </w:r>
      <w:r w:rsidRPr="001C7FBB">
        <w:rPr>
          <w:sz w:val="26"/>
          <w:szCs w:val="26"/>
        </w:rPr>
        <w:t>Jeżeli współczynnik ten przyjmuje wartości bliskie zeru (na przykład minus 0,05, plus 0,12, plus 0,07) to można powiedzieć, że powiązania pomiędzy oboma zmiennymi praktycznie nie ma, bądź, że jest ono minimalne.</w:t>
      </w:r>
    </w:p>
    <w:p w:rsidR="00270BEC" w:rsidRDefault="00270BEC" w:rsidP="00270BEC">
      <w:pPr>
        <w:pStyle w:val="Bezodstpw"/>
        <w:jc w:val="both"/>
        <w:rPr>
          <w:sz w:val="26"/>
          <w:szCs w:val="26"/>
        </w:rPr>
      </w:pPr>
    </w:p>
    <w:p w:rsidR="00270BEC" w:rsidRDefault="00270BEC" w:rsidP="00270BEC">
      <w:pPr>
        <w:pStyle w:val="Bezodstpw"/>
        <w:jc w:val="both"/>
        <w:rPr>
          <w:sz w:val="26"/>
          <w:szCs w:val="26"/>
        </w:rPr>
      </w:pPr>
      <w:r>
        <w:rPr>
          <w:sz w:val="26"/>
          <w:szCs w:val="26"/>
        </w:rPr>
        <w:t>Tabela: poziom współczynnika korelacji Pearsona pomiędzy zmianą ceny ropy naftowej w roku T (w %) a zmianą wybranych indeksów rynków akcji w roku T (w %) w latach 1996-2015</w:t>
      </w:r>
    </w:p>
    <w:p w:rsidR="00270BEC" w:rsidRDefault="00270BEC" w:rsidP="00270BEC">
      <w:pPr>
        <w:pStyle w:val="Bezodstpw"/>
        <w:jc w:val="both"/>
        <w:rPr>
          <w:sz w:val="26"/>
          <w:szCs w:val="26"/>
        </w:rPr>
      </w:pPr>
    </w:p>
    <w:tbl>
      <w:tblPr>
        <w:tblStyle w:val="Tabela-Siatka"/>
        <w:tblW w:w="0" w:type="auto"/>
        <w:tblLook w:val="04A0" w:firstRow="1" w:lastRow="0" w:firstColumn="1" w:lastColumn="0" w:noHBand="0" w:noVBand="1"/>
      </w:tblPr>
      <w:tblGrid>
        <w:gridCol w:w="1842"/>
        <w:gridCol w:w="1842"/>
        <w:gridCol w:w="1842"/>
        <w:gridCol w:w="1843"/>
        <w:gridCol w:w="1843"/>
      </w:tblGrid>
      <w:tr w:rsidR="00270BEC" w:rsidTr="00023C90">
        <w:tc>
          <w:tcPr>
            <w:tcW w:w="1842" w:type="dxa"/>
          </w:tcPr>
          <w:p w:rsidR="00270BEC" w:rsidRDefault="00270BEC" w:rsidP="00023C90">
            <w:pPr>
              <w:pStyle w:val="Bezodstpw"/>
              <w:jc w:val="center"/>
              <w:rPr>
                <w:sz w:val="26"/>
                <w:szCs w:val="26"/>
              </w:rPr>
            </w:pPr>
            <w:r>
              <w:rPr>
                <w:sz w:val="26"/>
                <w:szCs w:val="26"/>
              </w:rPr>
              <w:t>S&amp;P 500</w:t>
            </w:r>
          </w:p>
        </w:tc>
        <w:tc>
          <w:tcPr>
            <w:tcW w:w="1842" w:type="dxa"/>
          </w:tcPr>
          <w:p w:rsidR="00270BEC" w:rsidRDefault="00270BEC" w:rsidP="00023C90">
            <w:pPr>
              <w:pStyle w:val="Bezodstpw"/>
              <w:jc w:val="center"/>
              <w:rPr>
                <w:sz w:val="26"/>
                <w:szCs w:val="26"/>
              </w:rPr>
            </w:pPr>
            <w:r>
              <w:rPr>
                <w:sz w:val="26"/>
                <w:szCs w:val="26"/>
              </w:rPr>
              <w:t>DAX 30</w:t>
            </w:r>
          </w:p>
        </w:tc>
        <w:tc>
          <w:tcPr>
            <w:tcW w:w="1842" w:type="dxa"/>
          </w:tcPr>
          <w:p w:rsidR="00270BEC" w:rsidRDefault="00270BEC" w:rsidP="00023C90">
            <w:pPr>
              <w:pStyle w:val="Bezodstpw"/>
              <w:jc w:val="center"/>
              <w:rPr>
                <w:sz w:val="26"/>
                <w:szCs w:val="26"/>
              </w:rPr>
            </w:pPr>
            <w:r>
              <w:rPr>
                <w:sz w:val="26"/>
                <w:szCs w:val="26"/>
              </w:rPr>
              <w:t>NIKKEI 225</w:t>
            </w:r>
          </w:p>
        </w:tc>
        <w:tc>
          <w:tcPr>
            <w:tcW w:w="1843" w:type="dxa"/>
          </w:tcPr>
          <w:p w:rsidR="00270BEC" w:rsidRDefault="00270BEC" w:rsidP="00023C90">
            <w:pPr>
              <w:pStyle w:val="Bezodstpw"/>
              <w:jc w:val="center"/>
              <w:rPr>
                <w:sz w:val="26"/>
                <w:szCs w:val="26"/>
              </w:rPr>
            </w:pPr>
            <w:r>
              <w:rPr>
                <w:sz w:val="26"/>
                <w:szCs w:val="26"/>
              </w:rPr>
              <w:t>BOVESPA</w:t>
            </w:r>
          </w:p>
        </w:tc>
        <w:tc>
          <w:tcPr>
            <w:tcW w:w="1843" w:type="dxa"/>
          </w:tcPr>
          <w:p w:rsidR="00270BEC" w:rsidRDefault="00270BEC" w:rsidP="00023C90">
            <w:pPr>
              <w:pStyle w:val="Bezodstpw"/>
              <w:jc w:val="center"/>
              <w:rPr>
                <w:sz w:val="26"/>
                <w:szCs w:val="26"/>
              </w:rPr>
            </w:pPr>
            <w:r>
              <w:rPr>
                <w:sz w:val="26"/>
                <w:szCs w:val="26"/>
              </w:rPr>
              <w:t>BUX</w:t>
            </w:r>
          </w:p>
        </w:tc>
      </w:tr>
      <w:tr w:rsidR="00270BEC" w:rsidTr="00023C90">
        <w:tc>
          <w:tcPr>
            <w:tcW w:w="1842" w:type="dxa"/>
          </w:tcPr>
          <w:p w:rsidR="00270BEC" w:rsidRDefault="00270BEC" w:rsidP="00023C90">
            <w:pPr>
              <w:pStyle w:val="Bezodstpw"/>
              <w:jc w:val="center"/>
              <w:rPr>
                <w:sz w:val="26"/>
                <w:szCs w:val="26"/>
              </w:rPr>
            </w:pPr>
            <w:r>
              <w:rPr>
                <w:sz w:val="26"/>
                <w:szCs w:val="26"/>
              </w:rPr>
              <w:t>0,18</w:t>
            </w:r>
          </w:p>
        </w:tc>
        <w:tc>
          <w:tcPr>
            <w:tcW w:w="1842" w:type="dxa"/>
          </w:tcPr>
          <w:p w:rsidR="00270BEC" w:rsidRDefault="00270BEC" w:rsidP="00023C90">
            <w:pPr>
              <w:pStyle w:val="Bezodstpw"/>
              <w:jc w:val="center"/>
              <w:rPr>
                <w:sz w:val="26"/>
                <w:szCs w:val="26"/>
              </w:rPr>
            </w:pPr>
            <w:r>
              <w:rPr>
                <w:sz w:val="26"/>
                <w:szCs w:val="26"/>
              </w:rPr>
              <w:t>0,25</w:t>
            </w:r>
          </w:p>
        </w:tc>
        <w:tc>
          <w:tcPr>
            <w:tcW w:w="1842" w:type="dxa"/>
          </w:tcPr>
          <w:p w:rsidR="00270BEC" w:rsidRDefault="00270BEC" w:rsidP="00023C90">
            <w:pPr>
              <w:pStyle w:val="Bezodstpw"/>
              <w:jc w:val="center"/>
              <w:rPr>
                <w:sz w:val="26"/>
                <w:szCs w:val="26"/>
              </w:rPr>
            </w:pPr>
            <w:r>
              <w:rPr>
                <w:sz w:val="26"/>
                <w:szCs w:val="26"/>
              </w:rPr>
              <w:t>0,40</w:t>
            </w:r>
          </w:p>
        </w:tc>
        <w:tc>
          <w:tcPr>
            <w:tcW w:w="1843" w:type="dxa"/>
          </w:tcPr>
          <w:p w:rsidR="00270BEC" w:rsidRDefault="00270BEC" w:rsidP="00023C90">
            <w:pPr>
              <w:pStyle w:val="Bezodstpw"/>
              <w:jc w:val="center"/>
              <w:rPr>
                <w:sz w:val="26"/>
                <w:szCs w:val="26"/>
              </w:rPr>
            </w:pPr>
            <w:r>
              <w:rPr>
                <w:sz w:val="26"/>
                <w:szCs w:val="26"/>
              </w:rPr>
              <w:t>0,67</w:t>
            </w:r>
          </w:p>
        </w:tc>
        <w:tc>
          <w:tcPr>
            <w:tcW w:w="1843" w:type="dxa"/>
          </w:tcPr>
          <w:p w:rsidR="00270BEC" w:rsidRDefault="00270BEC" w:rsidP="00023C90">
            <w:pPr>
              <w:pStyle w:val="Bezodstpw"/>
              <w:jc w:val="center"/>
              <w:rPr>
                <w:sz w:val="26"/>
                <w:szCs w:val="26"/>
              </w:rPr>
            </w:pPr>
            <w:r>
              <w:rPr>
                <w:sz w:val="26"/>
                <w:szCs w:val="26"/>
              </w:rPr>
              <w:t>0,36</w:t>
            </w:r>
          </w:p>
        </w:tc>
      </w:tr>
    </w:tbl>
    <w:p w:rsidR="00270BEC" w:rsidRDefault="00270BEC" w:rsidP="00270BEC">
      <w:pPr>
        <w:pStyle w:val="Bezodstpw"/>
        <w:jc w:val="both"/>
        <w:rPr>
          <w:sz w:val="26"/>
          <w:szCs w:val="26"/>
        </w:rPr>
      </w:pPr>
    </w:p>
    <w:p w:rsidR="00270BEC" w:rsidRDefault="00270BEC" w:rsidP="00270BEC">
      <w:pPr>
        <w:pStyle w:val="Bezodstpw"/>
        <w:jc w:val="both"/>
        <w:rPr>
          <w:sz w:val="26"/>
          <w:szCs w:val="26"/>
        </w:rPr>
      </w:pPr>
      <w:r w:rsidRPr="000144E4">
        <w:rPr>
          <w:sz w:val="26"/>
          <w:szCs w:val="26"/>
        </w:rPr>
        <w:t xml:space="preserve">Z powyższych danych wynika, że </w:t>
      </w:r>
      <w:r w:rsidRPr="0031087D">
        <w:rPr>
          <w:b/>
          <w:sz w:val="26"/>
          <w:szCs w:val="26"/>
        </w:rPr>
        <w:t>wzrost cen ropy naftowej w roku T sprzyja raczej</w:t>
      </w:r>
      <w:r>
        <w:rPr>
          <w:sz w:val="26"/>
          <w:szCs w:val="26"/>
        </w:rPr>
        <w:t xml:space="preserve"> </w:t>
      </w:r>
      <w:r w:rsidRPr="0031087D">
        <w:rPr>
          <w:b/>
          <w:sz w:val="26"/>
          <w:szCs w:val="26"/>
        </w:rPr>
        <w:t>stosunkowo korzystnemu</w:t>
      </w:r>
      <w:r>
        <w:rPr>
          <w:sz w:val="26"/>
          <w:szCs w:val="26"/>
        </w:rPr>
        <w:t xml:space="preserve"> dla posiadaczy akcji zachowaniu indeksu giełdowego w tym samym roku. </w:t>
      </w:r>
      <w:r w:rsidRPr="000144E4">
        <w:rPr>
          <w:sz w:val="26"/>
          <w:szCs w:val="26"/>
        </w:rPr>
        <w:t xml:space="preserve">Z kolei </w:t>
      </w:r>
      <w:r w:rsidRPr="0031087D">
        <w:rPr>
          <w:b/>
          <w:sz w:val="26"/>
          <w:szCs w:val="26"/>
        </w:rPr>
        <w:t>spadek cen ropy naftowej w roku T prowadzi</w:t>
      </w:r>
      <w:r w:rsidRPr="000144E4">
        <w:rPr>
          <w:sz w:val="26"/>
          <w:szCs w:val="26"/>
        </w:rPr>
        <w:t xml:space="preserve"> do </w:t>
      </w:r>
      <w:r w:rsidRPr="0031087D">
        <w:rPr>
          <w:b/>
          <w:sz w:val="26"/>
          <w:szCs w:val="26"/>
        </w:rPr>
        <w:t>stosunkowo niekorzystnego</w:t>
      </w:r>
      <w:r>
        <w:rPr>
          <w:sz w:val="26"/>
          <w:szCs w:val="26"/>
        </w:rPr>
        <w:t xml:space="preserve"> dla posiadaczy akcji zachowania indeksu giełdowego w tym samym roku. </w:t>
      </w:r>
      <w:r w:rsidRPr="000144E4">
        <w:rPr>
          <w:sz w:val="26"/>
          <w:szCs w:val="26"/>
        </w:rPr>
        <w:t xml:space="preserve">Warto będzie wiec obserwować zachowanie cen ropy naftowej. </w:t>
      </w:r>
      <w:r>
        <w:rPr>
          <w:sz w:val="26"/>
          <w:szCs w:val="26"/>
        </w:rPr>
        <w:t xml:space="preserve">Warto analogicznych obliczeń dokonać przede wszystkim dla indeksów polskiego rynku akcji </w:t>
      </w:r>
    </w:p>
    <w:p w:rsidR="00270BEC" w:rsidRDefault="00270BEC" w:rsidP="00270BEC">
      <w:pPr>
        <w:pStyle w:val="Bezodstpw"/>
        <w:jc w:val="both"/>
        <w:rPr>
          <w:sz w:val="26"/>
          <w:szCs w:val="26"/>
        </w:rPr>
      </w:pPr>
    </w:p>
    <w:p w:rsidR="00270BEC" w:rsidRDefault="00270BEC" w:rsidP="00270BEC">
      <w:pPr>
        <w:pStyle w:val="Bezodstpw"/>
        <w:jc w:val="both"/>
        <w:rPr>
          <w:sz w:val="26"/>
          <w:szCs w:val="26"/>
        </w:rPr>
      </w:pPr>
      <w:r>
        <w:rPr>
          <w:sz w:val="26"/>
          <w:szCs w:val="26"/>
        </w:rPr>
        <w:t>Tabela: poziom współczynnika korelacji Pearsona pomiędzy zmianą ceny ropy naftowej w roku T (w %) a zmianą wybranych indeksów rynków akcji w roku T (w %) w latach 1998-2015. Przyjęto tu nieco krótszy okres z uwago na to, że dla indeksu mWIG40 roczna stopa zwrotu może być obliczana dopiero od 1998 roku</w:t>
      </w:r>
    </w:p>
    <w:p w:rsidR="00270BEC" w:rsidRDefault="00270BEC" w:rsidP="00270BEC">
      <w:pPr>
        <w:pStyle w:val="Bezodstpw"/>
        <w:jc w:val="both"/>
        <w:rPr>
          <w:sz w:val="26"/>
          <w:szCs w:val="26"/>
        </w:rPr>
      </w:pPr>
    </w:p>
    <w:tbl>
      <w:tblPr>
        <w:tblStyle w:val="Tabela-Siatka"/>
        <w:tblW w:w="9183" w:type="dxa"/>
        <w:tblLook w:val="04A0" w:firstRow="1" w:lastRow="0" w:firstColumn="1" w:lastColumn="0" w:noHBand="0" w:noVBand="1"/>
      </w:tblPr>
      <w:tblGrid>
        <w:gridCol w:w="3061"/>
        <w:gridCol w:w="3061"/>
        <w:gridCol w:w="3061"/>
      </w:tblGrid>
      <w:tr w:rsidR="00270BEC" w:rsidTr="00023C90">
        <w:tc>
          <w:tcPr>
            <w:tcW w:w="3061" w:type="dxa"/>
          </w:tcPr>
          <w:p w:rsidR="00270BEC" w:rsidRDefault="00270BEC" w:rsidP="00023C90">
            <w:pPr>
              <w:pStyle w:val="Bezodstpw"/>
              <w:jc w:val="center"/>
              <w:rPr>
                <w:sz w:val="26"/>
                <w:szCs w:val="26"/>
              </w:rPr>
            </w:pPr>
            <w:r>
              <w:rPr>
                <w:sz w:val="26"/>
                <w:szCs w:val="26"/>
              </w:rPr>
              <w:t>WIG20</w:t>
            </w:r>
          </w:p>
        </w:tc>
        <w:tc>
          <w:tcPr>
            <w:tcW w:w="3061" w:type="dxa"/>
          </w:tcPr>
          <w:p w:rsidR="00270BEC" w:rsidRDefault="00270BEC" w:rsidP="00023C90">
            <w:pPr>
              <w:pStyle w:val="Bezodstpw"/>
              <w:jc w:val="center"/>
              <w:rPr>
                <w:sz w:val="26"/>
                <w:szCs w:val="26"/>
              </w:rPr>
            </w:pPr>
            <w:r>
              <w:rPr>
                <w:sz w:val="26"/>
                <w:szCs w:val="26"/>
              </w:rPr>
              <w:t>mWIG40</w:t>
            </w:r>
          </w:p>
        </w:tc>
        <w:tc>
          <w:tcPr>
            <w:tcW w:w="3061" w:type="dxa"/>
          </w:tcPr>
          <w:p w:rsidR="00270BEC" w:rsidRDefault="00270BEC" w:rsidP="00023C90">
            <w:pPr>
              <w:pStyle w:val="Bezodstpw"/>
              <w:jc w:val="center"/>
              <w:rPr>
                <w:sz w:val="26"/>
                <w:szCs w:val="26"/>
              </w:rPr>
            </w:pPr>
            <w:r>
              <w:rPr>
                <w:sz w:val="26"/>
                <w:szCs w:val="26"/>
              </w:rPr>
              <w:t>sWIG80</w:t>
            </w:r>
          </w:p>
        </w:tc>
      </w:tr>
      <w:tr w:rsidR="00270BEC" w:rsidTr="00023C90">
        <w:tc>
          <w:tcPr>
            <w:tcW w:w="3061" w:type="dxa"/>
          </w:tcPr>
          <w:p w:rsidR="00270BEC" w:rsidRDefault="00270BEC" w:rsidP="00023C90">
            <w:pPr>
              <w:pStyle w:val="Bezodstpw"/>
              <w:jc w:val="center"/>
              <w:rPr>
                <w:sz w:val="26"/>
                <w:szCs w:val="26"/>
              </w:rPr>
            </w:pPr>
            <w:r>
              <w:rPr>
                <w:sz w:val="26"/>
                <w:szCs w:val="26"/>
              </w:rPr>
              <w:t>0,69</w:t>
            </w:r>
          </w:p>
        </w:tc>
        <w:tc>
          <w:tcPr>
            <w:tcW w:w="3061" w:type="dxa"/>
          </w:tcPr>
          <w:p w:rsidR="00270BEC" w:rsidRDefault="00270BEC" w:rsidP="00023C90">
            <w:pPr>
              <w:pStyle w:val="Bezodstpw"/>
              <w:jc w:val="center"/>
              <w:rPr>
                <w:sz w:val="26"/>
                <w:szCs w:val="26"/>
              </w:rPr>
            </w:pPr>
            <w:r>
              <w:rPr>
                <w:sz w:val="26"/>
                <w:szCs w:val="26"/>
              </w:rPr>
              <w:t>0,53</w:t>
            </w:r>
          </w:p>
        </w:tc>
        <w:tc>
          <w:tcPr>
            <w:tcW w:w="3061" w:type="dxa"/>
          </w:tcPr>
          <w:p w:rsidR="00270BEC" w:rsidRDefault="00270BEC" w:rsidP="00023C90">
            <w:pPr>
              <w:pStyle w:val="Bezodstpw"/>
              <w:jc w:val="center"/>
              <w:rPr>
                <w:sz w:val="26"/>
                <w:szCs w:val="26"/>
              </w:rPr>
            </w:pPr>
            <w:r>
              <w:rPr>
                <w:sz w:val="26"/>
                <w:szCs w:val="26"/>
              </w:rPr>
              <w:t>0,35</w:t>
            </w:r>
          </w:p>
        </w:tc>
      </w:tr>
    </w:tbl>
    <w:p w:rsidR="00270BEC" w:rsidRDefault="00270BEC" w:rsidP="00270BEC">
      <w:pPr>
        <w:pStyle w:val="Bezodstpw"/>
        <w:jc w:val="both"/>
        <w:rPr>
          <w:sz w:val="26"/>
          <w:szCs w:val="26"/>
        </w:rPr>
      </w:pPr>
    </w:p>
    <w:p w:rsidR="00270BEC" w:rsidRDefault="00270BEC" w:rsidP="00270BEC">
      <w:pPr>
        <w:pStyle w:val="Bezodstpw"/>
        <w:jc w:val="both"/>
        <w:rPr>
          <w:sz w:val="26"/>
          <w:szCs w:val="26"/>
        </w:rPr>
      </w:pPr>
      <w:r>
        <w:rPr>
          <w:sz w:val="26"/>
          <w:szCs w:val="26"/>
        </w:rPr>
        <w:t xml:space="preserve">Także w przypadku wyżej wymienionych 3 polskich indeksów giełdowych powiązanie pomiędzy zachowaniem cen ropy naftowej a zachowaniem  konkretnego indeksu ma charakter dodatni. Co ciekawe najbardziej zależne od zachowanie cen ropy naftowej jest zachowanie indeksu WIG20 grupującego najbardziej płynne spółki będące przedmiotem zainteresowania inwestorów zagranicznych. </w:t>
      </w:r>
    </w:p>
    <w:p w:rsidR="00270BEC" w:rsidRDefault="00270BEC" w:rsidP="00270BEC">
      <w:pPr>
        <w:pStyle w:val="Bezodstpw"/>
        <w:jc w:val="both"/>
        <w:rPr>
          <w:sz w:val="26"/>
          <w:szCs w:val="26"/>
        </w:rPr>
      </w:pPr>
    </w:p>
    <w:p w:rsidR="00270BEC" w:rsidRDefault="00270BEC" w:rsidP="00270BEC">
      <w:pPr>
        <w:pStyle w:val="Bezodstpw"/>
        <w:jc w:val="both"/>
        <w:rPr>
          <w:sz w:val="26"/>
          <w:szCs w:val="26"/>
        </w:rPr>
      </w:pPr>
      <w:r>
        <w:rPr>
          <w:sz w:val="26"/>
          <w:szCs w:val="26"/>
        </w:rPr>
        <w:t xml:space="preserve">W toku dalszych rozważań warto dokonać jednak także jeszcze innych analiz, które mogą doprowadzić do pojawienia się innych ciekawych wniosków. W tym numerze ,,Raportu Tygodniowego” zaprezentuje pewien przykład. </w:t>
      </w:r>
    </w:p>
    <w:p w:rsidR="00270BEC" w:rsidRDefault="00270BEC" w:rsidP="00270BEC">
      <w:pPr>
        <w:pStyle w:val="Bezodstpw"/>
        <w:jc w:val="both"/>
        <w:rPr>
          <w:sz w:val="26"/>
          <w:szCs w:val="26"/>
        </w:rPr>
      </w:pPr>
      <w:r>
        <w:rPr>
          <w:sz w:val="26"/>
          <w:szCs w:val="26"/>
        </w:rPr>
        <w:lastRenderedPageBreak/>
        <w:t>Tabela: poziom współczynnika korelacji Pearsona pomiędzy zmianą ceny ropy naftowej w roku T (w %) a</w:t>
      </w:r>
      <w:r w:rsidRPr="00DF4D3C">
        <w:rPr>
          <w:b/>
          <w:sz w:val="26"/>
          <w:szCs w:val="26"/>
        </w:rPr>
        <w:t xml:space="preserve"> </w:t>
      </w:r>
      <w:r w:rsidRPr="00DF4D3C">
        <w:rPr>
          <w:sz w:val="26"/>
          <w:szCs w:val="26"/>
        </w:rPr>
        <w:t>różnicą</w:t>
      </w:r>
      <w:r>
        <w:rPr>
          <w:sz w:val="26"/>
          <w:szCs w:val="26"/>
        </w:rPr>
        <w:t xml:space="preserve"> pomiędzy roczną stopą zwrotu z akcji mBanku a roczną stopą zwrotu z akcji KGHM w roku T (w %) a w latach 1996-2015</w:t>
      </w:r>
    </w:p>
    <w:p w:rsidR="00270BEC" w:rsidRDefault="00270BEC" w:rsidP="00270BEC">
      <w:pPr>
        <w:pStyle w:val="Bezodstpw"/>
        <w:jc w:val="both"/>
        <w:rPr>
          <w:sz w:val="26"/>
          <w:szCs w:val="26"/>
        </w:rPr>
      </w:pPr>
    </w:p>
    <w:tbl>
      <w:tblPr>
        <w:tblStyle w:val="Tabela-Siatka"/>
        <w:tblW w:w="0" w:type="auto"/>
        <w:tblLook w:val="04A0" w:firstRow="1" w:lastRow="0" w:firstColumn="1" w:lastColumn="0" w:noHBand="0" w:noVBand="1"/>
      </w:tblPr>
      <w:tblGrid>
        <w:gridCol w:w="9212"/>
      </w:tblGrid>
      <w:tr w:rsidR="00270BEC" w:rsidTr="00023C90">
        <w:tc>
          <w:tcPr>
            <w:tcW w:w="9212" w:type="dxa"/>
          </w:tcPr>
          <w:p w:rsidR="00270BEC" w:rsidRDefault="00270BEC" w:rsidP="00023C90">
            <w:pPr>
              <w:pStyle w:val="Bezodstpw"/>
              <w:jc w:val="center"/>
              <w:rPr>
                <w:sz w:val="26"/>
                <w:szCs w:val="26"/>
              </w:rPr>
            </w:pPr>
            <w:r>
              <w:rPr>
                <w:sz w:val="26"/>
                <w:szCs w:val="26"/>
              </w:rPr>
              <w:t>MBANK - KGMH</w:t>
            </w:r>
          </w:p>
        </w:tc>
      </w:tr>
      <w:tr w:rsidR="00270BEC" w:rsidTr="00023C90">
        <w:tc>
          <w:tcPr>
            <w:tcW w:w="9212" w:type="dxa"/>
          </w:tcPr>
          <w:p w:rsidR="00270BEC" w:rsidRDefault="00270BEC" w:rsidP="00023C90">
            <w:pPr>
              <w:pStyle w:val="Bezodstpw"/>
              <w:jc w:val="center"/>
              <w:rPr>
                <w:sz w:val="26"/>
                <w:szCs w:val="26"/>
              </w:rPr>
            </w:pPr>
            <w:r>
              <w:rPr>
                <w:sz w:val="26"/>
                <w:szCs w:val="26"/>
              </w:rPr>
              <w:t>-0,48</w:t>
            </w:r>
          </w:p>
        </w:tc>
      </w:tr>
    </w:tbl>
    <w:p w:rsidR="00270BEC" w:rsidRDefault="00270BEC" w:rsidP="00270BEC">
      <w:pPr>
        <w:pStyle w:val="Bezodstpw"/>
        <w:jc w:val="both"/>
        <w:rPr>
          <w:sz w:val="26"/>
          <w:szCs w:val="26"/>
        </w:rPr>
      </w:pPr>
    </w:p>
    <w:p w:rsidR="00270BEC" w:rsidRDefault="00270BEC" w:rsidP="00270BEC">
      <w:pPr>
        <w:pStyle w:val="Bezodstpw"/>
        <w:jc w:val="both"/>
        <w:rPr>
          <w:sz w:val="26"/>
          <w:szCs w:val="26"/>
        </w:rPr>
      </w:pPr>
      <w:r>
        <w:rPr>
          <w:sz w:val="26"/>
          <w:szCs w:val="26"/>
        </w:rPr>
        <w:t xml:space="preserve">Z tabeli wynika, że </w:t>
      </w:r>
      <w:r w:rsidRPr="00F66A85">
        <w:rPr>
          <w:b/>
          <w:color w:val="000000" w:themeColor="text1"/>
          <w:sz w:val="26"/>
          <w:szCs w:val="26"/>
        </w:rPr>
        <w:t xml:space="preserve">spadek cen ropy naftowej sprzyja stosunkowo mocnemu zachowaniu akcji banków </w:t>
      </w:r>
      <w:r>
        <w:rPr>
          <w:sz w:val="26"/>
          <w:szCs w:val="26"/>
        </w:rPr>
        <w:t xml:space="preserve">(których reprezentantem jest mBank) a wzrost cen ropy naftowej prowadzi raczej do stosunkowo mocnego zachowania akcji spółek surowcowych, których reprezentantem jest KGHM. </w:t>
      </w:r>
      <w:r w:rsidR="00F66A85" w:rsidRPr="00F66A85">
        <w:rPr>
          <w:b/>
          <w:sz w:val="26"/>
          <w:szCs w:val="26"/>
        </w:rPr>
        <w:t>M</w:t>
      </w:r>
      <w:r w:rsidRPr="00F66A85">
        <w:rPr>
          <w:b/>
          <w:sz w:val="26"/>
          <w:szCs w:val="26"/>
        </w:rPr>
        <w:t>oże być tak, że jeżeli inwestorzy zagraniczni zauważą duże ryzyko spadków cen ropy naftowej będą bardziej skłonni kupować akcje banków</w:t>
      </w:r>
      <w:r>
        <w:rPr>
          <w:sz w:val="26"/>
          <w:szCs w:val="26"/>
        </w:rPr>
        <w:t xml:space="preserve"> (na przykład tych, które zostały wprowadzone do rubryki ,,Wykres do przemyślenia” – mam na myśli zarówno mBank jak i BZWBK, PKO BP oraz PeKaO) a jeżeli będą widzieli szansę na wzrost cen ropy naftowej będą chętniej nabywali akcje KGHM, czy też na przykład powiedzmy surowcowej JSW. </w:t>
      </w:r>
    </w:p>
    <w:p w:rsidR="00270BEC" w:rsidRDefault="00270BEC" w:rsidP="00270BEC">
      <w:pPr>
        <w:pStyle w:val="Bezodstpw"/>
        <w:jc w:val="both"/>
        <w:rPr>
          <w:sz w:val="26"/>
          <w:szCs w:val="26"/>
        </w:rPr>
      </w:pPr>
    </w:p>
    <w:p w:rsidR="00270BEC" w:rsidRPr="0019472D" w:rsidRDefault="00270BEC" w:rsidP="00270BEC">
      <w:pPr>
        <w:pStyle w:val="Bezodstpw"/>
        <w:jc w:val="both"/>
        <w:rPr>
          <w:b/>
          <w:sz w:val="26"/>
          <w:szCs w:val="26"/>
        </w:rPr>
      </w:pPr>
      <w:r>
        <w:rPr>
          <w:sz w:val="26"/>
          <w:szCs w:val="26"/>
        </w:rPr>
        <w:t xml:space="preserve">Przyznam, że z technicznego punktu widzenia ,,obstawiam” jako bardziej realny scenariusz silniejszego zachowania kursów akcji banków. Dlaczego ?. Otóż zakładam, że </w:t>
      </w:r>
      <w:r w:rsidRPr="00173148">
        <w:rPr>
          <w:sz w:val="26"/>
          <w:szCs w:val="26"/>
        </w:rPr>
        <w:t xml:space="preserve">kursy akcji tych spółek </w:t>
      </w:r>
      <w:r w:rsidRPr="008D2756">
        <w:rPr>
          <w:b/>
          <w:color w:val="FF0000"/>
          <w:sz w:val="26"/>
          <w:szCs w:val="26"/>
        </w:rPr>
        <w:t>o których się teraz mało mówi w mediach</w:t>
      </w:r>
      <w:r w:rsidRPr="00173148">
        <w:rPr>
          <w:sz w:val="26"/>
          <w:szCs w:val="26"/>
        </w:rPr>
        <w:t xml:space="preserve"> zachowają się w średnim terminie (czyli w okresie do 1 roku) lepiej niż kursy akcji tych spółek o których teraz mówi się w mediach dużo. Zakładam bowiem prawdziwość sentencji: </w:t>
      </w:r>
      <w:r w:rsidRPr="0019472D">
        <w:rPr>
          <w:b/>
          <w:sz w:val="26"/>
          <w:szCs w:val="26"/>
        </w:rPr>
        <w:t>,,kupuj ciszę, sprzedawaj rozgłos”</w:t>
      </w:r>
    </w:p>
    <w:p w:rsidR="00270BEC" w:rsidRPr="005110AC" w:rsidRDefault="00270BEC" w:rsidP="00270BEC">
      <w:pPr>
        <w:pStyle w:val="Bezodstpw"/>
        <w:jc w:val="both"/>
        <w:rPr>
          <w:sz w:val="26"/>
          <w:szCs w:val="26"/>
        </w:rPr>
      </w:pPr>
    </w:p>
    <w:p w:rsidR="00270BEC" w:rsidRDefault="00270BEC" w:rsidP="00270BEC">
      <w:pPr>
        <w:pStyle w:val="Bezodstpw"/>
        <w:jc w:val="both"/>
        <w:rPr>
          <w:sz w:val="26"/>
          <w:szCs w:val="26"/>
        </w:rPr>
      </w:pPr>
      <w:r w:rsidRPr="005110AC">
        <w:rPr>
          <w:sz w:val="26"/>
          <w:szCs w:val="26"/>
        </w:rPr>
        <w:t xml:space="preserve">Oczywiście popularność spółki w mediach może być mierzona w różny sposób. W dzisiejszym świecie ogromną rolę odgrywa Internet. W związku z tym założyłem, że miarą popularności spółki w mediach będzie liczba wpisów (czyli tak zwanych postów) na temat danej spółki na forum giełdowym znanego portalu internetowego </w:t>
      </w:r>
      <w:hyperlink r:id="rId12" w:history="1">
        <w:r w:rsidRPr="005110AC">
          <w:rPr>
            <w:rStyle w:val="Hipercze"/>
            <w:sz w:val="26"/>
            <w:szCs w:val="26"/>
          </w:rPr>
          <w:t>http://www.bankier.pl/</w:t>
        </w:r>
      </w:hyperlink>
      <w:r w:rsidRPr="005110AC">
        <w:rPr>
          <w:sz w:val="26"/>
          <w:szCs w:val="26"/>
        </w:rPr>
        <w:t xml:space="preserve"> na przestrzeni ostatnich 30 dni. </w:t>
      </w:r>
    </w:p>
    <w:p w:rsidR="00270BEC" w:rsidRDefault="00270BEC" w:rsidP="00270BEC">
      <w:pPr>
        <w:pStyle w:val="Bezodstpw"/>
        <w:jc w:val="both"/>
        <w:rPr>
          <w:sz w:val="26"/>
          <w:szCs w:val="26"/>
        </w:rPr>
      </w:pPr>
    </w:p>
    <w:p w:rsidR="00270BEC" w:rsidRPr="005110AC" w:rsidRDefault="00270BEC" w:rsidP="00270BEC">
      <w:pPr>
        <w:pStyle w:val="Bezodstpw"/>
        <w:jc w:val="both"/>
        <w:rPr>
          <w:sz w:val="26"/>
          <w:szCs w:val="26"/>
        </w:rPr>
      </w:pPr>
      <w:r w:rsidRPr="005110AC">
        <w:rPr>
          <w:sz w:val="26"/>
          <w:szCs w:val="26"/>
        </w:rPr>
        <w:t xml:space="preserve">W poniższej tabeli przedstawiam liczbę wpisów na forum </w:t>
      </w:r>
      <w:r>
        <w:rPr>
          <w:sz w:val="26"/>
          <w:szCs w:val="26"/>
        </w:rPr>
        <w:t xml:space="preserve">portalu </w:t>
      </w:r>
      <w:hyperlink r:id="rId13" w:history="1">
        <w:r w:rsidRPr="005110AC">
          <w:rPr>
            <w:rStyle w:val="Hipercze"/>
            <w:sz w:val="26"/>
            <w:szCs w:val="26"/>
          </w:rPr>
          <w:t>http://www.bankier.pl/</w:t>
        </w:r>
      </w:hyperlink>
      <w:r>
        <w:rPr>
          <w:rStyle w:val="Hipercze"/>
          <w:sz w:val="26"/>
          <w:szCs w:val="26"/>
        </w:rPr>
        <w:t xml:space="preserve"> </w:t>
      </w:r>
      <w:r w:rsidRPr="005110AC">
        <w:rPr>
          <w:sz w:val="26"/>
          <w:szCs w:val="26"/>
        </w:rPr>
        <w:t xml:space="preserve">obliczoną dla </w:t>
      </w:r>
      <w:r>
        <w:rPr>
          <w:sz w:val="26"/>
          <w:szCs w:val="26"/>
        </w:rPr>
        <w:t xml:space="preserve">wybranych </w:t>
      </w:r>
      <w:r w:rsidRPr="005110AC">
        <w:rPr>
          <w:sz w:val="26"/>
          <w:szCs w:val="26"/>
        </w:rPr>
        <w:t xml:space="preserve">spółek z indeksu WIG20 na przestrzeni ostatnich 30 dni. według stanu na godz. 18.00 w dniu </w:t>
      </w:r>
      <w:r>
        <w:rPr>
          <w:sz w:val="26"/>
          <w:szCs w:val="26"/>
        </w:rPr>
        <w:t>15.10.2016 r.</w:t>
      </w:r>
      <w:r w:rsidRPr="005110AC">
        <w:rPr>
          <w:sz w:val="26"/>
          <w:szCs w:val="26"/>
        </w:rPr>
        <w:t xml:space="preserve"> </w:t>
      </w:r>
    </w:p>
    <w:p w:rsidR="00270BEC" w:rsidRPr="005110AC" w:rsidRDefault="00270BEC" w:rsidP="00270BEC">
      <w:pPr>
        <w:pStyle w:val="Bezodstpw"/>
        <w:jc w:val="both"/>
        <w:rPr>
          <w:sz w:val="26"/>
          <w:szCs w:val="26"/>
        </w:rPr>
      </w:pPr>
    </w:p>
    <w:tbl>
      <w:tblPr>
        <w:tblStyle w:val="Tabela-Siatka"/>
        <w:tblW w:w="0" w:type="auto"/>
        <w:tblLook w:val="04A0" w:firstRow="1" w:lastRow="0" w:firstColumn="1" w:lastColumn="0" w:noHBand="0" w:noVBand="1"/>
      </w:tblPr>
      <w:tblGrid>
        <w:gridCol w:w="4606"/>
        <w:gridCol w:w="4606"/>
      </w:tblGrid>
      <w:tr w:rsidR="00270BEC" w:rsidTr="00023C90">
        <w:tc>
          <w:tcPr>
            <w:tcW w:w="4606" w:type="dxa"/>
            <w:tcBorders>
              <w:top w:val="single" w:sz="4" w:space="0" w:color="auto"/>
              <w:left w:val="single" w:sz="4" w:space="0" w:color="auto"/>
              <w:bottom w:val="single" w:sz="4" w:space="0" w:color="auto"/>
              <w:right w:val="single" w:sz="4" w:space="0" w:color="auto"/>
            </w:tcBorders>
            <w:hideMark/>
          </w:tcPr>
          <w:p w:rsidR="00270BEC" w:rsidRPr="003B7F9D" w:rsidRDefault="00270BEC" w:rsidP="00023C90">
            <w:pPr>
              <w:pStyle w:val="Bezodstpw"/>
              <w:jc w:val="center"/>
              <w:rPr>
                <w:rFonts w:eastAsiaTheme="minorEastAsia"/>
                <w:sz w:val="28"/>
                <w:szCs w:val="28"/>
              </w:rPr>
            </w:pPr>
            <w:r w:rsidRPr="003B7F9D">
              <w:rPr>
                <w:sz w:val="28"/>
                <w:szCs w:val="28"/>
              </w:rPr>
              <w:t>Spółka</w:t>
            </w:r>
          </w:p>
        </w:tc>
        <w:tc>
          <w:tcPr>
            <w:tcW w:w="4606" w:type="dxa"/>
            <w:tcBorders>
              <w:top w:val="single" w:sz="4" w:space="0" w:color="auto"/>
              <w:left w:val="single" w:sz="4" w:space="0" w:color="auto"/>
              <w:bottom w:val="single" w:sz="4" w:space="0" w:color="auto"/>
              <w:right w:val="single" w:sz="4" w:space="0" w:color="auto"/>
            </w:tcBorders>
            <w:hideMark/>
          </w:tcPr>
          <w:p w:rsidR="00270BEC" w:rsidRPr="003B7F9D" w:rsidRDefault="00270BEC" w:rsidP="00023C90">
            <w:pPr>
              <w:pStyle w:val="Bezodstpw"/>
              <w:jc w:val="center"/>
              <w:rPr>
                <w:rFonts w:eastAsiaTheme="minorEastAsia"/>
                <w:sz w:val="28"/>
                <w:szCs w:val="28"/>
              </w:rPr>
            </w:pPr>
            <w:r w:rsidRPr="003B7F9D">
              <w:rPr>
                <w:sz w:val="28"/>
                <w:szCs w:val="28"/>
              </w:rPr>
              <w:t>Liczba wpisów na forum bankiera</w:t>
            </w:r>
          </w:p>
        </w:tc>
      </w:tr>
      <w:tr w:rsidR="00270BEC" w:rsidTr="00023C90">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mBank</w:t>
            </w:r>
          </w:p>
        </w:tc>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 xml:space="preserve">     19</w:t>
            </w:r>
          </w:p>
        </w:tc>
      </w:tr>
      <w:tr w:rsidR="00270BEC" w:rsidTr="00023C90">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BZWBK</w:t>
            </w:r>
          </w:p>
        </w:tc>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 xml:space="preserve">     35</w:t>
            </w:r>
          </w:p>
        </w:tc>
      </w:tr>
      <w:tr w:rsidR="00270BEC" w:rsidTr="00023C90">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PeKao</w:t>
            </w:r>
          </w:p>
        </w:tc>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 xml:space="preserve">     71</w:t>
            </w:r>
          </w:p>
        </w:tc>
      </w:tr>
      <w:tr w:rsidR="00270BEC" w:rsidTr="00023C90">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PKO BP</w:t>
            </w:r>
          </w:p>
        </w:tc>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 xml:space="preserve">     96</w:t>
            </w:r>
          </w:p>
        </w:tc>
      </w:tr>
      <w:tr w:rsidR="00270BEC" w:rsidTr="00023C90">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KGHM</w:t>
            </w:r>
          </w:p>
        </w:tc>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1 47</w:t>
            </w:r>
            <w:bookmarkStart w:id="0" w:name="_GoBack"/>
            <w:bookmarkEnd w:id="0"/>
            <w:r>
              <w:rPr>
                <w:sz w:val="28"/>
                <w:szCs w:val="28"/>
              </w:rPr>
              <w:t>4</w:t>
            </w:r>
          </w:p>
        </w:tc>
      </w:tr>
      <w:tr w:rsidR="00270BEC" w:rsidTr="00023C90">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JSW</w:t>
            </w:r>
          </w:p>
        </w:tc>
        <w:tc>
          <w:tcPr>
            <w:tcW w:w="4606" w:type="dxa"/>
            <w:tcBorders>
              <w:top w:val="single" w:sz="4" w:space="0" w:color="auto"/>
              <w:left w:val="single" w:sz="4" w:space="0" w:color="auto"/>
              <w:bottom w:val="single" w:sz="4" w:space="0" w:color="auto"/>
              <w:right w:val="single" w:sz="4" w:space="0" w:color="auto"/>
            </w:tcBorders>
          </w:tcPr>
          <w:p w:rsidR="00270BEC" w:rsidRPr="003B7F9D" w:rsidRDefault="00270BEC" w:rsidP="00023C90">
            <w:pPr>
              <w:jc w:val="center"/>
              <w:rPr>
                <w:sz w:val="28"/>
                <w:szCs w:val="28"/>
              </w:rPr>
            </w:pPr>
            <w:r>
              <w:rPr>
                <w:sz w:val="28"/>
                <w:szCs w:val="28"/>
              </w:rPr>
              <w:t>7 778</w:t>
            </w:r>
          </w:p>
        </w:tc>
      </w:tr>
    </w:tbl>
    <w:p w:rsidR="00270BEC" w:rsidRDefault="00270BEC" w:rsidP="00270BEC">
      <w:pPr>
        <w:pStyle w:val="Bezodstpw"/>
        <w:pBdr>
          <w:top w:val="single" w:sz="4" w:space="1" w:color="auto"/>
          <w:left w:val="single" w:sz="4" w:space="4" w:color="auto"/>
          <w:bottom w:val="single" w:sz="4" w:space="1" w:color="auto"/>
          <w:right w:val="single" w:sz="4" w:space="4" w:color="auto"/>
        </w:pBdr>
        <w:shd w:val="clear" w:color="auto" w:fill="FFC000"/>
        <w:jc w:val="both"/>
        <w:rPr>
          <w:sz w:val="60"/>
          <w:szCs w:val="60"/>
        </w:rPr>
      </w:pPr>
      <w:r w:rsidRPr="005869B6">
        <w:rPr>
          <w:sz w:val="60"/>
          <w:szCs w:val="60"/>
        </w:rPr>
        <w:lastRenderedPageBreak/>
        <w:t xml:space="preserve">Jakiś czas temu przeprowadziłem ,,eksperyment psychologiczny”. Wynikało z niego, że </w:t>
      </w:r>
      <w:r w:rsidRPr="005869B6">
        <w:rPr>
          <w:b/>
          <w:sz w:val="60"/>
          <w:szCs w:val="60"/>
        </w:rPr>
        <w:t>stopa zwrotu</w:t>
      </w:r>
      <w:r w:rsidRPr="005869B6">
        <w:rPr>
          <w:sz w:val="60"/>
          <w:szCs w:val="60"/>
        </w:rPr>
        <w:t xml:space="preserve"> z akcji spółek </w:t>
      </w:r>
      <w:r w:rsidRPr="005869B6">
        <w:rPr>
          <w:b/>
          <w:sz w:val="60"/>
          <w:szCs w:val="60"/>
        </w:rPr>
        <w:t>,,nie-silnie euforycznych”</w:t>
      </w:r>
      <w:r w:rsidRPr="005869B6">
        <w:rPr>
          <w:sz w:val="60"/>
          <w:szCs w:val="60"/>
        </w:rPr>
        <w:t xml:space="preserve"> (w przypadku których liczba wpisów na przestrzeni ostatnich 30 dni była początkowo </w:t>
      </w:r>
      <w:r w:rsidRPr="005869B6">
        <w:rPr>
          <w:b/>
          <w:color w:val="FF0000"/>
          <w:sz w:val="60"/>
          <w:szCs w:val="60"/>
        </w:rPr>
        <w:t>niższa od 100</w:t>
      </w:r>
      <w:r w:rsidRPr="005869B6">
        <w:rPr>
          <w:sz w:val="60"/>
          <w:szCs w:val="60"/>
        </w:rPr>
        <w:t xml:space="preserve">) była </w:t>
      </w:r>
      <w:r w:rsidRPr="005869B6">
        <w:rPr>
          <w:b/>
          <w:sz w:val="60"/>
          <w:szCs w:val="60"/>
        </w:rPr>
        <w:t>w skali rocznej</w:t>
      </w:r>
      <w:r w:rsidRPr="005869B6">
        <w:rPr>
          <w:sz w:val="60"/>
          <w:szCs w:val="60"/>
        </w:rPr>
        <w:t xml:space="preserve"> </w:t>
      </w:r>
      <w:r w:rsidRPr="005869B6">
        <w:rPr>
          <w:b/>
          <w:sz w:val="60"/>
          <w:szCs w:val="60"/>
        </w:rPr>
        <w:t>wyższa o 14,0 punktów procentowych</w:t>
      </w:r>
      <w:r w:rsidRPr="005869B6">
        <w:rPr>
          <w:sz w:val="60"/>
          <w:szCs w:val="60"/>
        </w:rPr>
        <w:t xml:space="preserve">, niż stopa zwrotu z akcji spółek </w:t>
      </w:r>
      <w:r w:rsidRPr="005869B6">
        <w:rPr>
          <w:b/>
          <w:sz w:val="60"/>
          <w:szCs w:val="60"/>
        </w:rPr>
        <w:t>,,silnie euforycznych”</w:t>
      </w:r>
      <w:r w:rsidRPr="005869B6">
        <w:rPr>
          <w:sz w:val="60"/>
          <w:szCs w:val="60"/>
        </w:rPr>
        <w:t xml:space="preserve"> (w przypadku których liczba wpisów na przestrzeni ostatnich 30 dni była początkowo </w:t>
      </w:r>
      <w:r w:rsidRPr="005869B6">
        <w:rPr>
          <w:b/>
          <w:sz w:val="60"/>
          <w:szCs w:val="60"/>
          <w:u w:val="single"/>
        </w:rPr>
        <w:t>równa lub wyższa od 100</w:t>
      </w:r>
      <w:r w:rsidRPr="005869B6">
        <w:rPr>
          <w:sz w:val="60"/>
          <w:szCs w:val="60"/>
        </w:rPr>
        <w:t>).</w:t>
      </w:r>
    </w:p>
    <w:p w:rsidR="00270BEC" w:rsidRDefault="004E1761" w:rsidP="00270BEC">
      <w:pPr>
        <w:pStyle w:val="Bezodstpw"/>
        <w:pBdr>
          <w:top w:val="single" w:sz="4" w:space="1" w:color="auto"/>
          <w:left w:val="single" w:sz="4" w:space="4" w:color="auto"/>
          <w:bottom w:val="single" w:sz="4" w:space="1" w:color="auto"/>
          <w:right w:val="single" w:sz="4" w:space="4" w:color="auto"/>
        </w:pBdr>
        <w:shd w:val="clear" w:color="auto" w:fill="FFC000"/>
        <w:jc w:val="center"/>
      </w:pPr>
      <w:hyperlink r:id="rId14" w:history="1">
        <w:r w:rsidR="00270BEC" w:rsidRPr="005869B6">
          <w:rPr>
            <w:rStyle w:val="Hipercze"/>
            <w:sz w:val="60"/>
            <w:szCs w:val="60"/>
          </w:rPr>
          <w:t>http://analizy-rynkowe.pl/eksperyment-psychologiczny-zakonczenie/</w:t>
        </w:r>
      </w:hyperlink>
    </w:p>
    <w:p w:rsidR="00270BEC" w:rsidRPr="007004E1" w:rsidRDefault="00270BEC" w:rsidP="00270BEC">
      <w:pPr>
        <w:shd w:val="clear" w:color="auto" w:fill="FFFF00"/>
      </w:pPr>
      <w:r w:rsidRPr="007004E1">
        <w:rPr>
          <w:noProof/>
          <w:lang w:eastAsia="pl-PL"/>
        </w:rPr>
        <w:lastRenderedPageBreak/>
        <w:drawing>
          <wp:inline distT="0" distB="0" distL="0" distR="0" wp14:anchorId="670F36E5" wp14:editId="4DB9EA4C">
            <wp:extent cx="923925" cy="1318133"/>
            <wp:effectExtent l="0" t="0" r="0" b="0"/>
            <wp:docPr id="11" name="Obraz 11" descr="http://mistrzowierynkow.pl/wp-content/uploads/2015/07/slawomir-klusek-e1436975188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strzowierynkow.pl/wp-content/uploads/2015/07/slawomir-klusek-e14369751887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6945" cy="1322442"/>
                    </a:xfrm>
                    <a:prstGeom prst="rect">
                      <a:avLst/>
                    </a:prstGeom>
                    <a:noFill/>
                    <a:ln>
                      <a:noFill/>
                    </a:ln>
                  </pic:spPr>
                </pic:pic>
              </a:graphicData>
            </a:graphic>
          </wp:inline>
        </w:drawing>
      </w:r>
    </w:p>
    <w:p w:rsidR="00270BEC" w:rsidRPr="007004E1" w:rsidRDefault="00270BEC" w:rsidP="00270BEC">
      <w:pPr>
        <w:shd w:val="clear" w:color="auto" w:fill="FFFF00"/>
      </w:pPr>
    </w:p>
    <w:p w:rsidR="00270BEC" w:rsidRPr="007004E1" w:rsidRDefault="00270BEC" w:rsidP="00270BEC">
      <w:pPr>
        <w:shd w:val="clear" w:color="auto" w:fill="FFFF00"/>
        <w:jc w:val="center"/>
        <w:rPr>
          <w:sz w:val="140"/>
          <w:szCs w:val="140"/>
        </w:rPr>
      </w:pPr>
      <w:r w:rsidRPr="007004E1">
        <w:rPr>
          <w:sz w:val="140"/>
          <w:szCs w:val="140"/>
        </w:rPr>
        <w:t>Rubryka</w:t>
      </w:r>
    </w:p>
    <w:p w:rsidR="00270BEC" w:rsidRPr="007004E1" w:rsidRDefault="00270BEC" w:rsidP="00270BEC">
      <w:pPr>
        <w:shd w:val="clear" w:color="auto" w:fill="FFFF00"/>
        <w:jc w:val="center"/>
        <w:rPr>
          <w:sz w:val="90"/>
          <w:szCs w:val="90"/>
        </w:rPr>
      </w:pPr>
      <w:r w:rsidRPr="007004E1">
        <w:rPr>
          <w:sz w:val="140"/>
          <w:szCs w:val="140"/>
        </w:rPr>
        <w:t>,,Wykres do przemyślenia”</w:t>
      </w:r>
    </w:p>
    <w:p w:rsidR="00270BEC" w:rsidRPr="007004E1" w:rsidRDefault="00270BEC" w:rsidP="00270BEC">
      <w:pPr>
        <w:shd w:val="clear" w:color="auto" w:fill="FFFF00"/>
        <w:jc w:val="center"/>
        <w:rPr>
          <w:sz w:val="50"/>
          <w:szCs w:val="50"/>
        </w:rPr>
      </w:pPr>
      <w:r w:rsidRPr="007004E1">
        <w:rPr>
          <w:sz w:val="50"/>
          <w:szCs w:val="50"/>
        </w:rPr>
        <w:t>Sławomir Kłusek</w:t>
      </w:r>
    </w:p>
    <w:p w:rsidR="00270BEC" w:rsidRPr="007004E1" w:rsidRDefault="00270BEC" w:rsidP="00270BEC">
      <w:pPr>
        <w:shd w:val="clear" w:color="auto" w:fill="548DD4" w:themeFill="text2" w:themeFillTint="99"/>
        <w:jc w:val="center"/>
        <w:rPr>
          <w:smallCaps/>
          <w:color w:val="FFFFFF" w:themeColor="background1"/>
          <w:sz w:val="90"/>
          <w:szCs w:val="90"/>
        </w:rPr>
      </w:pPr>
      <w:r w:rsidRPr="007004E1">
        <w:rPr>
          <w:smallCaps/>
          <w:color w:val="FFFFFF" w:themeColor="background1"/>
          <w:sz w:val="90"/>
          <w:szCs w:val="90"/>
        </w:rPr>
        <w:t>analizy-rynkowe.pl</w:t>
      </w:r>
    </w:p>
    <w:p w:rsidR="00270BEC" w:rsidRPr="007004E1" w:rsidRDefault="00270BEC" w:rsidP="00270BEC">
      <w:pPr>
        <w:shd w:val="clear" w:color="auto" w:fill="FFFF00"/>
        <w:jc w:val="center"/>
        <w:rPr>
          <w:sz w:val="50"/>
          <w:szCs w:val="50"/>
        </w:rPr>
      </w:pPr>
    </w:p>
    <w:p w:rsidR="00270BEC" w:rsidRPr="007004E1" w:rsidRDefault="00270BEC" w:rsidP="00270BEC">
      <w:pPr>
        <w:shd w:val="clear" w:color="auto" w:fill="FFFF00"/>
        <w:jc w:val="center"/>
        <w:rPr>
          <w:sz w:val="50"/>
          <w:szCs w:val="50"/>
        </w:rPr>
      </w:pPr>
    </w:p>
    <w:p w:rsidR="00270BEC" w:rsidRPr="007004E1" w:rsidRDefault="00270BEC" w:rsidP="00270BEC">
      <w:pPr>
        <w:shd w:val="clear" w:color="auto" w:fill="FFFF00"/>
        <w:jc w:val="center"/>
        <w:rPr>
          <w:sz w:val="50"/>
          <w:szCs w:val="50"/>
        </w:rPr>
      </w:pPr>
    </w:p>
    <w:p w:rsidR="00270BEC" w:rsidRPr="007004E1" w:rsidRDefault="00270BEC" w:rsidP="00270BEC">
      <w:pPr>
        <w:spacing w:after="0" w:line="240" w:lineRule="auto"/>
        <w:jc w:val="both"/>
        <w:rPr>
          <w:rFonts w:eastAsiaTheme="minorEastAsia"/>
          <w:color w:val="FF0000"/>
          <w:sz w:val="70"/>
          <w:szCs w:val="70"/>
          <w:lang w:eastAsia="pl-PL"/>
          <w14:shadow w14:blurRad="50800" w14:dist="38100" w14:dir="2700000" w14:sx="100000" w14:sy="100000" w14:kx="0" w14:ky="0" w14:algn="tl">
            <w14:srgbClr w14:val="000000">
              <w14:alpha w14:val="60000"/>
            </w14:srgbClr>
          </w14:shadow>
        </w:rPr>
      </w:pPr>
      <w:r w:rsidRPr="007004E1">
        <w:rPr>
          <w:rFonts w:eastAsiaTheme="minorEastAsia"/>
          <w:b/>
          <w:color w:val="000000" w:themeColor="text1"/>
          <w:sz w:val="70"/>
          <w:szCs w:val="70"/>
          <w:lang w:eastAsia="pl-PL"/>
          <w14:shadow w14:blurRad="50800" w14:dist="38100" w14:dir="2700000" w14:sx="100000" w14:sy="100000" w14:kx="0" w14:ky="0" w14:algn="tl">
            <w14:srgbClr w14:val="000000">
              <w14:alpha w14:val="60000"/>
            </w14:srgbClr>
          </w14:shadow>
        </w:rPr>
        <w:lastRenderedPageBreak/>
        <w:t xml:space="preserve">Średnia procentowa zmiana kursu akcji spółki po wprowadzeniu jej do rubryki ,,Wykres do przemyślenia” w okresie 12 pierwszych miesięcy po jej wprowadzeniu do tej rubryki była dotychczas </w:t>
      </w:r>
      <w:r w:rsidRPr="007004E1">
        <w:rPr>
          <w:rFonts w:eastAsiaTheme="minorEastAsia"/>
          <w:b/>
          <w:color w:val="FF0000"/>
          <w:sz w:val="70"/>
          <w:szCs w:val="70"/>
          <w:lang w:eastAsia="pl-PL"/>
          <w14:shadow w14:blurRad="50800" w14:dist="38100" w14:dir="2700000" w14:sx="100000" w14:sy="100000" w14:kx="0" w14:ky="0" w14:algn="tl">
            <w14:srgbClr w14:val="000000">
              <w14:alpha w14:val="60000"/>
            </w14:srgbClr>
          </w14:shadow>
        </w:rPr>
        <w:t>lepsza o 21,6 punku procentowego od WIG-u</w:t>
      </w:r>
    </w:p>
    <w:p w:rsidR="00270BEC" w:rsidRPr="007004E1" w:rsidRDefault="00270BEC" w:rsidP="00270BEC">
      <w:pPr>
        <w:spacing w:after="0" w:line="240" w:lineRule="auto"/>
        <w:jc w:val="center"/>
        <w:rPr>
          <w:rFonts w:eastAsiaTheme="minorEastAsia"/>
          <w:color w:val="FF0000"/>
          <w:sz w:val="60"/>
          <w:szCs w:val="60"/>
          <w:lang w:eastAsia="pl-PL"/>
          <w14:shadow w14:blurRad="50800" w14:dist="38100" w14:dir="2700000" w14:sx="100000" w14:sy="100000" w14:kx="0" w14:ky="0" w14:algn="tl">
            <w14:srgbClr w14:val="000000">
              <w14:alpha w14:val="60000"/>
            </w14:srgbClr>
          </w14:shadow>
        </w:rPr>
      </w:pPr>
    </w:p>
    <w:p w:rsidR="00270BEC" w:rsidRPr="007004E1" w:rsidRDefault="00270BEC" w:rsidP="00270BE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Podsumowanie</w:t>
      </w:r>
    </w:p>
    <w:p w:rsidR="00270BEC" w:rsidRPr="007004E1" w:rsidRDefault="00270BEC" w:rsidP="00270BE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według </w:t>
      </w:r>
    </w:p>
    <w:p w:rsidR="00270BEC" w:rsidRPr="007004E1" w:rsidRDefault="00270BEC" w:rsidP="00270BE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stanu </w:t>
      </w:r>
    </w:p>
    <w:p w:rsidR="00270BEC" w:rsidRPr="007004E1" w:rsidRDefault="00270BEC" w:rsidP="00270BEC">
      <w:pPr>
        <w:spacing w:after="0" w:line="240" w:lineRule="auto"/>
        <w:jc w:val="center"/>
        <w:rPr>
          <w:rFonts w:eastAsiaTheme="minorEastAsia"/>
          <w:sz w:val="54"/>
          <w:szCs w:val="54"/>
          <w:u w:val="single"/>
          <w:lang w:eastAsia="pl-PL"/>
          <w14:shadow w14:blurRad="50800" w14:dist="38100" w14:dir="2700000" w14:sx="100000" w14:sy="100000" w14:kx="0" w14:ky="0" w14:algn="tl">
            <w14:srgbClr w14:val="000000">
              <w14:alpha w14:val="60000"/>
            </w14:srgbClr>
          </w14:shadow>
        </w:rPr>
      </w:pPr>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na </w:t>
      </w:r>
      <w:r>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14 października </w:t>
      </w:r>
      <w:r w:rsidRPr="007004E1">
        <w:rPr>
          <w:rFonts w:eastAsiaTheme="minorEastAsia"/>
          <w:sz w:val="54"/>
          <w:szCs w:val="54"/>
          <w:u w:val="single"/>
          <w:lang w:eastAsia="pl-PL"/>
          <w14:shadow w14:blurRad="50800" w14:dist="38100" w14:dir="2700000" w14:sx="100000" w14:sy="100000" w14:kx="0" w14:ky="0" w14:algn="tl">
            <w14:srgbClr w14:val="000000">
              <w14:alpha w14:val="60000"/>
            </w14:srgbClr>
          </w14:shadow>
        </w:rPr>
        <w:t xml:space="preserve">2016 roku  </w:t>
      </w:r>
    </w:p>
    <w:p w:rsidR="00270BEC" w:rsidRPr="007004E1" w:rsidRDefault="00270BEC" w:rsidP="00270BEC">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270BEC" w:rsidRPr="007004E1" w:rsidRDefault="00270BEC" w:rsidP="00270BEC">
      <w:pPr>
        <w:spacing w:after="0" w:line="240" w:lineRule="auto"/>
        <w:jc w:val="center"/>
        <w:rPr>
          <w:rFonts w:eastAsiaTheme="minorEastAsia"/>
          <w:sz w:val="46"/>
          <w:szCs w:val="46"/>
          <w:u w:val="single"/>
          <w:lang w:eastAsia="pl-PL"/>
          <w14:shadow w14:blurRad="50800" w14:dist="38100" w14:dir="2700000" w14:sx="100000" w14:sy="100000" w14:kx="0" w14:ky="0" w14:algn="tl">
            <w14:srgbClr w14:val="000000">
              <w14:alpha w14:val="60000"/>
            </w14:srgbClr>
          </w14:shadow>
        </w:rPr>
      </w:pPr>
    </w:p>
    <w:p w:rsidR="00270BEC" w:rsidRPr="007004E1" w:rsidRDefault="00270BEC" w:rsidP="00270BE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Dla 3</w:t>
      </w:r>
      <w:r>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6</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wprowadzenia spółki do rubryki ,,Wykres do przemyślenia” można już obliczyć poziom 12-miesięcznej procentowej zmiany kursu akcji po wprowadzeniu danej spółki do rubryki ,,Wykres do przemyślenia” </w:t>
      </w:r>
    </w:p>
    <w:p w:rsidR="00270BEC" w:rsidRPr="007004E1" w:rsidRDefault="00270BEC" w:rsidP="00270BE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270BEC" w:rsidRPr="007004E1" w:rsidRDefault="00270BEC" w:rsidP="00270BE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Oto lista tych 3</w:t>
      </w:r>
      <w:r>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6</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przypadków: </w:t>
      </w:r>
    </w:p>
    <w:p w:rsidR="00270BEC" w:rsidRPr="007004E1" w:rsidRDefault="00270BEC" w:rsidP="00270BE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IMMOBILE</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LENA</w:t>
      </w:r>
    </w:p>
    <w:p w:rsidR="00270BEC" w:rsidRPr="002D0918"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NETMEDIA</w:t>
      </w:r>
    </w:p>
    <w:p w:rsidR="00270BEC" w:rsidRPr="002D0918"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RAFAKO</w:t>
      </w:r>
    </w:p>
    <w:p w:rsidR="00270BEC" w:rsidRPr="002D0918"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BORYSZEW</w:t>
      </w:r>
    </w:p>
    <w:p w:rsidR="00270BEC" w:rsidRPr="002D0918"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ERBUD</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IF CAPITAL</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CAPITAL PARTNERS</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ASSECO POLAND</w:t>
      </w:r>
    </w:p>
    <w:p w:rsidR="00270BEC" w:rsidRPr="002D0918"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CD PROJEKT</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SYGNITY</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STALPRODUKT</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lastRenderedPageBreak/>
        <w:t>ELEKTROTIM</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RELPOL</w:t>
      </w:r>
    </w:p>
    <w:p w:rsidR="00270BEC" w:rsidRPr="002D0918"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TAURON POLSKA ENERGIA</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TESGAS</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 xml:space="preserve">ENEA </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 xml:space="preserve">PROCAD </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PKO BP</w:t>
      </w:r>
    </w:p>
    <w:p w:rsidR="00270BEC" w:rsidRPr="007004E1" w:rsidRDefault="00270BEC" w:rsidP="00270BEC">
      <w:pPr>
        <w:spacing w:after="0" w:line="240" w:lineRule="auto"/>
        <w:jc w:val="both"/>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val="en-US" w:eastAsia="pl-PL"/>
          <w14:shadow w14:blurRad="50800" w14:dist="38100" w14:dir="2700000" w14:sx="100000" w14:sy="100000" w14:kx="0" w14:ky="0" w14:algn="tl">
            <w14:srgbClr w14:val="000000">
              <w14:alpha w14:val="60000"/>
            </w14:srgbClr>
          </w14:shadow>
        </w:rPr>
        <w:t>MERCOR</w:t>
      </w:r>
    </w:p>
    <w:p w:rsidR="00270BEC" w:rsidRPr="002D0918"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2D09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COMARCH</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MUZA</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LUBAWA</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ATREM</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MOSTOSTAL WARSZAWA</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CERAMIKA NOWA GALA</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POLNORD</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TIM</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UNIMA 2000</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ROPCZYCE</w:t>
      </w:r>
    </w:p>
    <w:p w:rsidR="00270BEC" w:rsidRPr="007004E1"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 xml:space="preserve">EUROCASH </w:t>
      </w:r>
    </w:p>
    <w:p w:rsidR="00270BEC" w:rsidRPr="000C2D18" w:rsidRDefault="00270BEC" w:rsidP="00270BEC">
      <w:pPr>
        <w:spacing w:after="0" w:line="240" w:lineRule="auto"/>
        <w:jc w:val="both"/>
        <w:rPr>
          <w:rFonts w:eastAsiaTheme="minorEastAsia"/>
          <w:color w:val="FF66CC"/>
          <w:sz w:val="46"/>
          <w:szCs w:val="46"/>
          <w:lang w:eastAsia="pl-PL"/>
          <w14:shadow w14:blurRad="50800" w14:dist="38100" w14:dir="2700000" w14:sx="100000" w14:sy="100000" w14:kx="0" w14:ky="0" w14:algn="tl">
            <w14:srgbClr w14:val="000000">
              <w14:alpha w14:val="60000"/>
            </w14:srgbClr>
          </w14:shadow>
        </w:rPr>
      </w:pPr>
      <w:r w:rsidRPr="007004E1">
        <w:rPr>
          <w:rFonts w:eastAsiaTheme="minorEastAsia"/>
          <w:color w:val="FF66CC"/>
          <w:sz w:val="46"/>
          <w:szCs w:val="46"/>
          <w:lang w:eastAsia="pl-PL"/>
          <w14:shadow w14:blurRad="50800" w14:dist="38100" w14:dir="2700000" w14:sx="100000" w14:sy="100000" w14:kx="0" w14:ky="0" w14:algn="tl">
            <w14:srgbClr w14:val="000000">
              <w14:alpha w14:val="60000"/>
            </w14:srgbClr>
          </w14:shadow>
        </w:rPr>
        <w:t>AGORA</w:t>
      </w:r>
    </w:p>
    <w:p w:rsidR="00270BEC" w:rsidRPr="000C2D18" w:rsidRDefault="00270BEC" w:rsidP="00270BEC">
      <w:pPr>
        <w:spacing w:after="0" w:line="240" w:lineRule="auto"/>
        <w:jc w:val="both"/>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pPr>
      <w:r w:rsidRPr="000C2D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 xml:space="preserve">NETMEDIA </w:t>
      </w:r>
      <w:r w:rsidRPr="000C2D18">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t xml:space="preserve">(po raz drugi) </w:t>
      </w:r>
    </w:p>
    <w:p w:rsidR="00270BEC" w:rsidRPr="007004E1" w:rsidRDefault="00270BEC" w:rsidP="00270BEC">
      <w:pPr>
        <w:spacing w:after="0" w:line="240" w:lineRule="auto"/>
        <w:jc w:val="both"/>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pPr>
      <w:r w:rsidRPr="000C2D18">
        <w:rPr>
          <w:rFonts w:eastAsiaTheme="minorEastAsia"/>
          <w:color w:val="FF66CC"/>
          <w:sz w:val="46"/>
          <w:szCs w:val="46"/>
          <w:lang w:eastAsia="pl-PL"/>
          <w14:shadow w14:blurRad="50800" w14:dist="38100" w14:dir="2700000" w14:sx="100000" w14:sy="100000" w14:kx="0" w14:ky="0" w14:algn="tl">
            <w14:srgbClr w14:val="000000">
              <w14:alpha w14:val="60000"/>
            </w14:srgbClr>
          </w14:shadow>
        </w:rPr>
        <w:t xml:space="preserve">STALPRODUKT </w:t>
      </w:r>
      <w:r w:rsidRPr="000C2D18">
        <w:rPr>
          <w:rFonts w:eastAsiaTheme="minorEastAsia"/>
          <w:color w:val="000000" w:themeColor="text1"/>
          <w:sz w:val="46"/>
          <w:szCs w:val="46"/>
          <w:lang w:eastAsia="pl-PL"/>
          <w14:shadow w14:blurRad="50800" w14:dist="38100" w14:dir="2700000" w14:sx="100000" w14:sy="100000" w14:kx="0" w14:ky="0" w14:algn="tl">
            <w14:srgbClr w14:val="000000">
              <w14:alpha w14:val="60000"/>
            </w14:srgbClr>
          </w14:shadow>
        </w:rPr>
        <w:t xml:space="preserve">(po raz drugi) </w:t>
      </w:r>
    </w:p>
    <w:p w:rsidR="00270BEC" w:rsidRPr="007004E1" w:rsidRDefault="00270BEC" w:rsidP="00270BE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lastRenderedPageBreak/>
        <w:t xml:space="preserve">Zmiana kursu akcji spółki w okresie 12 pierwszych miesięcy po wprowadzeniu spółki do rubryki ,,Wykres do przemyślenia” oraz zmiana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indeksów: </w:t>
      </w:r>
      <w:r w:rsidRPr="007004E1">
        <w:rPr>
          <w:rFonts w:eastAsiaTheme="minorEastAsia"/>
          <w:b/>
          <w:color w:val="FF66CC"/>
          <w:sz w:val="50"/>
          <w:szCs w:val="50"/>
          <w:lang w:eastAsia="pl-PL"/>
          <w14:shadow w14:blurRad="50800" w14:dist="38100" w14:dir="2700000" w14:sx="100000" w14:sy="100000" w14:kx="0" w14:ky="0" w14:algn="tl">
            <w14:srgbClr w14:val="000000">
              <w14:alpha w14:val="60000"/>
            </w14:srgbClr>
          </w14:shadow>
        </w:rPr>
        <w:t>WIG 20, WIG, mWIG40 oraz sWIG80</w:t>
      </w:r>
      <w:r w:rsidRPr="007004E1">
        <w:rPr>
          <w:rFonts w:eastAsiaTheme="minorEastAsia"/>
          <w:color w:val="FF66CC"/>
          <w:sz w:val="50"/>
          <w:szCs w:val="50"/>
          <w:lang w:eastAsia="pl-PL"/>
          <w14:shadow w14:blurRad="50800" w14:dist="38100" w14:dir="2700000" w14:sx="100000" w14:sy="100000" w14:kx="0" w14:ky="0" w14:algn="tl">
            <w14:srgbClr w14:val="000000">
              <w14:alpha w14:val="60000"/>
            </w14:srgbClr>
          </w14:shadow>
        </w:rPr>
        <w:t xml:space="preserve">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w tym okresie </w:t>
      </w:r>
    </w:p>
    <w:p w:rsidR="00270BEC" w:rsidRPr="007004E1" w:rsidRDefault="00270BEC" w:rsidP="00270BEC">
      <w:pPr>
        <w:spacing w:after="0" w:line="240" w:lineRule="auto"/>
        <w:jc w:val="both"/>
        <w:rPr>
          <w:rFonts w:eastAsiaTheme="minorEastAsia"/>
          <w:color w:val="000000" w:themeColor="text1"/>
          <w:sz w:val="40"/>
          <w:szCs w:val="40"/>
          <w:lang w:eastAsia="pl-PL"/>
          <w14:shadow w14:blurRad="50800" w14:dist="38100" w14:dir="2700000" w14:sx="100000" w14:sy="100000" w14:kx="0" w14:ky="0" w14:algn="tl">
            <w14:srgbClr w14:val="000000">
              <w14:alpha w14:val="60000"/>
            </w14:srgbClr>
          </w14:shadow>
        </w:rPr>
      </w:pPr>
    </w:p>
    <w:p w:rsidR="00270BEC" w:rsidRPr="007004E1" w:rsidRDefault="00270BEC" w:rsidP="00270BEC">
      <w:pPr>
        <w:spacing w:after="0" w:line="240" w:lineRule="auto"/>
        <w:jc w:val="both"/>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pPr>
      <w:r w:rsidRPr="007004E1">
        <w:rPr>
          <w:rFonts w:eastAsiaTheme="minorEastAsia"/>
          <w:i/>
          <w:color w:val="000000" w:themeColor="text1"/>
          <w:sz w:val="36"/>
          <w:szCs w:val="36"/>
          <w:lang w:eastAsia="pl-PL"/>
          <w14:shadow w14:blurRad="50800" w14:dist="38100" w14:dir="2700000" w14:sx="100000" w14:sy="100000" w14:kx="0" w14:ky="0" w14:algn="tl">
            <w14:srgbClr w14:val="000000">
              <w14:alpha w14:val="60000"/>
            </w14:srgbClr>
          </w14:shadow>
        </w:rPr>
        <w:t>(kolejność według kolejności wprowadzania do rubryki od najwcześniej wprowadzonych do najpóźniej wprowadzonych)</w:t>
      </w:r>
    </w:p>
    <w:p w:rsidR="00270BEC" w:rsidRPr="007004E1" w:rsidRDefault="00270BEC" w:rsidP="00270BEC">
      <w:pPr>
        <w:spacing w:after="0" w:line="240" w:lineRule="auto"/>
        <w:jc w:val="both"/>
        <w:rPr>
          <w:rFonts w:eastAsiaTheme="minorEastAsia"/>
          <w:lang w:eastAsia="pl-PL"/>
        </w:rPr>
      </w:pPr>
    </w:p>
    <w:tbl>
      <w:tblPr>
        <w:tblStyle w:val="Tabela-Siatka"/>
        <w:tblW w:w="9220" w:type="dxa"/>
        <w:tblLook w:val="04A0" w:firstRow="1" w:lastRow="0" w:firstColumn="1" w:lastColumn="0" w:noHBand="0" w:noVBand="1"/>
      </w:tblPr>
      <w:tblGrid>
        <w:gridCol w:w="3070"/>
        <w:gridCol w:w="1230"/>
        <w:gridCol w:w="1230"/>
        <w:gridCol w:w="1230"/>
        <w:gridCol w:w="1230"/>
        <w:gridCol w:w="1230"/>
      </w:tblGrid>
      <w:tr w:rsidR="00270BEC" w:rsidRPr="007004E1" w:rsidTr="00023C90">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jc w:val="center"/>
              <w:rPr>
                <w:rFonts w:eastAsiaTheme="minorEastAsia"/>
                <w:sz w:val="26"/>
                <w:szCs w:val="26"/>
              </w:rPr>
            </w:pPr>
            <w:r w:rsidRPr="007004E1">
              <w:rPr>
                <w:rFonts w:eastAsiaTheme="minorEastAsia"/>
                <w:sz w:val="26"/>
                <w:szCs w:val="26"/>
              </w:rPr>
              <w:t>Nazwa</w:t>
            </w:r>
          </w:p>
          <w:p w:rsidR="00270BEC" w:rsidRPr="007004E1" w:rsidRDefault="00270BEC" w:rsidP="00023C90">
            <w:pPr>
              <w:jc w:val="center"/>
              <w:rPr>
                <w:rFonts w:eastAsiaTheme="minorEastAsia"/>
                <w:sz w:val="26"/>
                <w:szCs w:val="26"/>
              </w:rPr>
            </w:pPr>
            <w:r w:rsidRPr="007004E1">
              <w:rPr>
                <w:rFonts w:eastAsiaTheme="minorEastAsia"/>
                <w:sz w:val="26"/>
                <w:szCs w:val="26"/>
              </w:rPr>
              <w:t xml:space="preserve">spółki </w:t>
            </w:r>
          </w:p>
          <w:p w:rsidR="00270BEC" w:rsidRPr="007004E1" w:rsidRDefault="00270BEC" w:rsidP="00023C90">
            <w:pPr>
              <w:jc w:val="center"/>
              <w:rPr>
                <w:rFonts w:eastAsiaTheme="minorEastAsia"/>
                <w:sz w:val="26"/>
                <w:szCs w:val="26"/>
              </w:rPr>
            </w:pPr>
            <w:r w:rsidRPr="007004E1">
              <w:rPr>
                <w:rFonts w:eastAsiaTheme="minorEastAsia"/>
                <w:sz w:val="26"/>
                <w:szCs w:val="26"/>
              </w:rPr>
              <w:t xml:space="preserve">giełdowej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jc w:val="center"/>
              <w:rPr>
                <w:rFonts w:eastAsiaTheme="minorEastAsia"/>
                <w:sz w:val="26"/>
                <w:szCs w:val="26"/>
              </w:rPr>
            </w:pPr>
            <w:r w:rsidRPr="007004E1">
              <w:rPr>
                <w:rFonts w:eastAsiaTheme="minorEastAsia"/>
                <w:sz w:val="26"/>
                <w:szCs w:val="26"/>
              </w:rPr>
              <w:t xml:space="preserve">Zmiana </w:t>
            </w:r>
          </w:p>
          <w:p w:rsidR="00270BEC" w:rsidRPr="007004E1" w:rsidRDefault="00270BEC" w:rsidP="00023C90">
            <w:pPr>
              <w:jc w:val="center"/>
              <w:rPr>
                <w:rFonts w:eastAsiaTheme="minorEastAsia"/>
                <w:sz w:val="26"/>
                <w:szCs w:val="26"/>
              </w:rPr>
            </w:pPr>
            <w:r w:rsidRPr="007004E1">
              <w:rPr>
                <w:rFonts w:eastAsiaTheme="minorEastAsia"/>
                <w:sz w:val="26"/>
                <w:szCs w:val="26"/>
              </w:rPr>
              <w:t>kursu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jc w:val="center"/>
              <w:rPr>
                <w:rFonts w:eastAsiaTheme="minorEastAsia"/>
                <w:sz w:val="26"/>
                <w:szCs w:val="26"/>
              </w:rPr>
            </w:pPr>
            <w:r w:rsidRPr="007004E1">
              <w:rPr>
                <w:rFonts w:eastAsiaTheme="minorEastAsia"/>
                <w:sz w:val="26"/>
                <w:szCs w:val="26"/>
              </w:rPr>
              <w:t xml:space="preserve">Zmiana WIG-u 20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rPr>
                <w:rFonts w:eastAsiaTheme="minorEastAsia"/>
                <w:sz w:val="26"/>
                <w:szCs w:val="26"/>
              </w:rPr>
            </w:pPr>
            <w:r w:rsidRPr="007004E1">
              <w:rPr>
                <w:rFonts w:eastAsiaTheme="minorEastAsia"/>
                <w:sz w:val="26"/>
                <w:szCs w:val="26"/>
              </w:rPr>
              <w:t xml:space="preserve">Zmiana WIG-u </w:t>
            </w:r>
          </w:p>
          <w:p w:rsidR="00270BEC" w:rsidRPr="007004E1" w:rsidRDefault="00270BEC" w:rsidP="00023C90">
            <w:pPr>
              <w:rPr>
                <w:rFonts w:eastAsiaTheme="minorEastAsia"/>
              </w:rPr>
            </w:pPr>
            <w:r w:rsidRPr="007004E1">
              <w:rPr>
                <w:rFonts w:eastAsiaTheme="minorEastAsia"/>
                <w:sz w:val="26"/>
                <w:szCs w:val="26"/>
              </w:rPr>
              <w:t xml:space="preserve">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rPr>
                <w:rFonts w:eastAsiaTheme="minorEastAsia"/>
              </w:rPr>
            </w:pPr>
            <w:r w:rsidRPr="007004E1">
              <w:rPr>
                <w:rFonts w:eastAsiaTheme="minorEastAsia"/>
                <w:sz w:val="26"/>
                <w:szCs w:val="26"/>
              </w:rPr>
              <w:t xml:space="preserve">Zmiana mWIG-u 40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rPr>
                <w:rFonts w:eastAsiaTheme="minorEastAsia"/>
                <w:sz w:val="26"/>
                <w:szCs w:val="26"/>
              </w:rPr>
            </w:pPr>
            <w:r w:rsidRPr="007004E1">
              <w:rPr>
                <w:rFonts w:eastAsiaTheme="minorEastAsia"/>
                <w:sz w:val="26"/>
                <w:szCs w:val="26"/>
              </w:rPr>
              <w:t xml:space="preserve">Zmiana sWIG-u </w:t>
            </w:r>
          </w:p>
          <w:p w:rsidR="00270BEC" w:rsidRPr="007004E1" w:rsidRDefault="00270BEC" w:rsidP="00023C90">
            <w:pPr>
              <w:rPr>
                <w:rFonts w:eastAsiaTheme="minorEastAsia"/>
              </w:rPr>
            </w:pPr>
            <w:r w:rsidRPr="007004E1">
              <w:rPr>
                <w:rFonts w:eastAsiaTheme="minorEastAsia"/>
                <w:sz w:val="26"/>
                <w:szCs w:val="26"/>
              </w:rPr>
              <w:t xml:space="preserve"> 80 w % </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IMMOBILE</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15,2</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LENA</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11,3</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NETMEDIA</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55,4</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RAFAKO</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58,1</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-6,7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BORYSZEW</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-20,8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-12,5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-4,6</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6,2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ERBUD</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24,2</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-12,2</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-5,3</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1,7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5,9</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IF CAPITAL</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2,3</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-13,2</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-7,8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-1,3</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5,5</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CAPITAL PARTNERS</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29,7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3,6</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ASSECO POLAND</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19,9</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3,7</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CD PROJEKT</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61,5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3,7</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SYGNITY</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-49,9</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-15,8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3,7</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STALPRODUKT</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13,9</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-16,7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-8,3</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-0,5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5,0</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TAURON PE</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-38,0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-11,6</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9,7</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ELEKTROTIM</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114,5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-2,4</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8,1</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9,7</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RELPOL</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-3,3</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-3,8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6,5</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9,2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TESGAS </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-14,4</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-13,1</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-4,1</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6,0</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8,4</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ENEA</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-19,8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-16,4</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-6,8</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 3,7</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sz w:val="24"/>
                <w:szCs w:val="24"/>
              </w:rPr>
            </w:pPr>
            <w:r w:rsidRPr="007004E1">
              <w:rPr>
                <w:rFonts w:eastAsiaTheme="minorEastAsia"/>
                <w:sz w:val="24"/>
                <w:szCs w:val="24"/>
              </w:rPr>
              <w:t>9,1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PROCAD</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73,6</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-19,9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-9,9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2,0</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8,2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PKO BP</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-27,8</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-20,4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-10,1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2,3</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9,8</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MERCOR</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5,7</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-25,5</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-15,4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-3,4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4,5</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COMARCH</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-1,3</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-19,7</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-9,6</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9,1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MUZA</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-15,0</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-28,6</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-15,9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-3,7</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4,1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LUBAWA</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-29,7</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-26,3</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-4,2</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-0,1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ATREM</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-11,1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-15,6</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-5,1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-1,8</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MOSTOSTAL WARSZAWA</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100,1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-22,6</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-14,9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-6,7</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-5,0</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jc w:val="center"/>
              <w:rPr>
                <w:rFonts w:eastAsiaTheme="minorEastAsia"/>
                <w:sz w:val="26"/>
                <w:szCs w:val="26"/>
              </w:rPr>
            </w:pPr>
            <w:r w:rsidRPr="007004E1">
              <w:rPr>
                <w:rFonts w:eastAsiaTheme="minorEastAsia"/>
                <w:sz w:val="26"/>
                <w:szCs w:val="26"/>
              </w:rPr>
              <w:lastRenderedPageBreak/>
              <w:t>Nazwa</w:t>
            </w:r>
          </w:p>
          <w:p w:rsidR="00270BEC" w:rsidRPr="007004E1" w:rsidRDefault="00270BEC" w:rsidP="00023C90">
            <w:pPr>
              <w:jc w:val="center"/>
              <w:rPr>
                <w:rFonts w:eastAsiaTheme="minorEastAsia"/>
                <w:sz w:val="26"/>
                <w:szCs w:val="26"/>
              </w:rPr>
            </w:pPr>
            <w:r w:rsidRPr="007004E1">
              <w:rPr>
                <w:rFonts w:eastAsiaTheme="minorEastAsia"/>
                <w:sz w:val="26"/>
                <w:szCs w:val="26"/>
              </w:rPr>
              <w:t xml:space="preserve">spółki </w:t>
            </w:r>
          </w:p>
          <w:p w:rsidR="00270BEC" w:rsidRPr="007004E1" w:rsidRDefault="00270BEC" w:rsidP="00023C90">
            <w:pPr>
              <w:jc w:val="center"/>
              <w:rPr>
                <w:rFonts w:eastAsiaTheme="minorEastAsia"/>
                <w:sz w:val="26"/>
                <w:szCs w:val="26"/>
              </w:rPr>
            </w:pPr>
            <w:r w:rsidRPr="007004E1">
              <w:rPr>
                <w:rFonts w:eastAsiaTheme="minorEastAsia"/>
                <w:sz w:val="26"/>
                <w:szCs w:val="26"/>
              </w:rPr>
              <w:t xml:space="preserve">giełdowej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jc w:val="center"/>
              <w:rPr>
                <w:rFonts w:eastAsiaTheme="minorEastAsia"/>
                <w:sz w:val="26"/>
                <w:szCs w:val="26"/>
              </w:rPr>
            </w:pPr>
            <w:r w:rsidRPr="007004E1">
              <w:rPr>
                <w:rFonts w:eastAsiaTheme="minorEastAsia"/>
                <w:sz w:val="26"/>
                <w:szCs w:val="26"/>
              </w:rPr>
              <w:t xml:space="preserve">Zmiana </w:t>
            </w:r>
          </w:p>
          <w:p w:rsidR="00270BEC" w:rsidRPr="007004E1" w:rsidRDefault="00270BEC" w:rsidP="00023C90">
            <w:pPr>
              <w:jc w:val="center"/>
              <w:rPr>
                <w:rFonts w:eastAsiaTheme="minorEastAsia"/>
                <w:sz w:val="26"/>
                <w:szCs w:val="26"/>
              </w:rPr>
            </w:pPr>
            <w:r w:rsidRPr="007004E1">
              <w:rPr>
                <w:rFonts w:eastAsiaTheme="minorEastAsia"/>
                <w:sz w:val="26"/>
                <w:szCs w:val="26"/>
              </w:rPr>
              <w:t>kursu akcji w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jc w:val="center"/>
              <w:rPr>
                <w:rFonts w:eastAsiaTheme="minorEastAsia"/>
                <w:sz w:val="26"/>
                <w:szCs w:val="26"/>
              </w:rPr>
            </w:pPr>
            <w:r w:rsidRPr="007004E1">
              <w:rPr>
                <w:rFonts w:eastAsiaTheme="minorEastAsia"/>
                <w:sz w:val="26"/>
                <w:szCs w:val="26"/>
              </w:rPr>
              <w:t xml:space="preserve">Zmiana WIG-u 20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rPr>
                <w:rFonts w:eastAsiaTheme="minorEastAsia"/>
                <w:sz w:val="26"/>
                <w:szCs w:val="26"/>
              </w:rPr>
            </w:pPr>
            <w:r w:rsidRPr="007004E1">
              <w:rPr>
                <w:rFonts w:eastAsiaTheme="minorEastAsia"/>
                <w:sz w:val="26"/>
                <w:szCs w:val="26"/>
              </w:rPr>
              <w:t xml:space="preserve">Zmiana WIG-u </w:t>
            </w:r>
          </w:p>
          <w:p w:rsidR="00270BEC" w:rsidRPr="007004E1" w:rsidRDefault="00270BEC" w:rsidP="00023C90">
            <w:pPr>
              <w:rPr>
                <w:rFonts w:eastAsiaTheme="minorEastAsia"/>
              </w:rPr>
            </w:pPr>
            <w:r w:rsidRPr="007004E1">
              <w:rPr>
                <w:rFonts w:eastAsiaTheme="minorEastAsia"/>
                <w:sz w:val="26"/>
                <w:szCs w:val="26"/>
              </w:rPr>
              <w:t xml:space="preserve">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rPr>
                <w:rFonts w:eastAsiaTheme="minorEastAsia"/>
              </w:rPr>
            </w:pPr>
            <w:r w:rsidRPr="007004E1">
              <w:rPr>
                <w:rFonts w:eastAsiaTheme="minorEastAsia"/>
                <w:sz w:val="26"/>
                <w:szCs w:val="26"/>
              </w:rPr>
              <w:t xml:space="preserve">Zmiana mWIG-u 40  w % </w:t>
            </w:r>
          </w:p>
        </w:tc>
        <w:tc>
          <w:tcPr>
            <w:tcW w:w="1230" w:type="dxa"/>
            <w:tcBorders>
              <w:top w:val="single" w:sz="4" w:space="0" w:color="auto"/>
              <w:left w:val="single" w:sz="4" w:space="0" w:color="auto"/>
              <w:bottom w:val="single" w:sz="4" w:space="0" w:color="auto"/>
              <w:right w:val="single" w:sz="4" w:space="0" w:color="auto"/>
            </w:tcBorders>
            <w:shd w:val="clear" w:color="auto" w:fill="FFFF00"/>
            <w:hideMark/>
          </w:tcPr>
          <w:p w:rsidR="00270BEC" w:rsidRPr="007004E1" w:rsidRDefault="00270BEC" w:rsidP="00023C90">
            <w:pPr>
              <w:rPr>
                <w:rFonts w:eastAsiaTheme="minorEastAsia"/>
                <w:sz w:val="26"/>
                <w:szCs w:val="26"/>
              </w:rPr>
            </w:pPr>
            <w:r w:rsidRPr="007004E1">
              <w:rPr>
                <w:rFonts w:eastAsiaTheme="minorEastAsia"/>
                <w:sz w:val="26"/>
                <w:szCs w:val="26"/>
              </w:rPr>
              <w:t xml:space="preserve">Zmiana sWIG-u </w:t>
            </w:r>
          </w:p>
          <w:p w:rsidR="00270BEC" w:rsidRPr="007004E1" w:rsidRDefault="00270BEC" w:rsidP="00023C90">
            <w:pPr>
              <w:rPr>
                <w:rFonts w:eastAsiaTheme="minorEastAsia"/>
              </w:rPr>
            </w:pPr>
            <w:r w:rsidRPr="007004E1">
              <w:rPr>
                <w:rFonts w:eastAsiaTheme="minorEastAsia"/>
                <w:sz w:val="26"/>
                <w:szCs w:val="26"/>
              </w:rPr>
              <w:t xml:space="preserve"> 80 w % </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CERAMIKA NOWA GALA </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15,2</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-20,8</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-13,0</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-5,4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0,2</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POLNORD</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16,8</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-26,1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-17,1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-7,8</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-0,9</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TIM</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19,6</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2,1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UNIMA 2000</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-3,9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2,1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ROPCZYCE</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-5,1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-24,5</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-16,1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-7,9</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2,1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 xml:space="preserve">EUROCASH </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-2,4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-19,8</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-11,8</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-6,4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1,4</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AGORA</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0,0</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-16,1</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 xml:space="preserve">  -5,4</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 xml:space="preserve"> </w:t>
            </w:r>
            <w:r>
              <w:rPr>
                <w:sz w:val="24"/>
                <w:szCs w:val="24"/>
              </w:rPr>
              <w:t xml:space="preserve"> </w:t>
            </w:r>
            <w:r w:rsidRPr="007004E1">
              <w:rPr>
                <w:sz w:val="24"/>
                <w:szCs w:val="24"/>
              </w:rPr>
              <w:t>8,7</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 xml:space="preserve"> 8,1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rPr>
            </w:pPr>
            <w:r w:rsidRPr="007004E1">
              <w:rPr>
                <w:rFonts w:eastAsiaTheme="minorEastAsia"/>
                <w:sz w:val="24"/>
                <w:szCs w:val="24"/>
              </w:rPr>
              <w:t>BZWBK</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rFonts w:eastAsiaTheme="minorEastAsia"/>
                <w:sz w:val="24"/>
                <w:szCs w:val="24"/>
                <w:lang w:eastAsia="pl-PL"/>
              </w:rPr>
            </w:pPr>
            <w:r w:rsidRPr="007004E1">
              <w:rPr>
                <w:rFonts w:eastAsiaTheme="minorEastAsia"/>
                <w:sz w:val="24"/>
                <w:szCs w:val="24"/>
                <w:lang w:eastAsia="pl-PL"/>
              </w:rPr>
              <w:t xml:space="preserve">  3,6</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-18,0</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 xml:space="preserve">  -7,0</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 xml:space="preserve"> </w:t>
            </w:r>
            <w:r>
              <w:rPr>
                <w:sz w:val="24"/>
                <w:szCs w:val="24"/>
              </w:rPr>
              <w:t xml:space="preserve"> </w:t>
            </w:r>
            <w:r w:rsidRPr="007004E1">
              <w:rPr>
                <w:sz w:val="24"/>
                <w:szCs w:val="24"/>
              </w:rPr>
              <w:t>8,2</w:t>
            </w:r>
          </w:p>
        </w:tc>
        <w:tc>
          <w:tcPr>
            <w:tcW w:w="1230" w:type="dxa"/>
            <w:tcBorders>
              <w:top w:val="single" w:sz="4" w:space="0" w:color="auto"/>
              <w:left w:val="single" w:sz="4" w:space="0" w:color="auto"/>
              <w:bottom w:val="single" w:sz="4" w:space="0" w:color="auto"/>
              <w:right w:val="single" w:sz="4" w:space="0" w:color="auto"/>
            </w:tcBorders>
          </w:tcPr>
          <w:p w:rsidR="00270BEC" w:rsidRPr="007004E1" w:rsidRDefault="00270BEC" w:rsidP="00023C90">
            <w:pPr>
              <w:jc w:val="center"/>
              <w:rPr>
                <w:sz w:val="24"/>
                <w:szCs w:val="24"/>
              </w:rPr>
            </w:pPr>
            <w:r w:rsidRPr="007004E1">
              <w:rPr>
                <w:sz w:val="24"/>
                <w:szCs w:val="24"/>
              </w:rPr>
              <w:t xml:space="preserve"> 6,8</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sidRPr="000C2D18">
              <w:rPr>
                <w:sz w:val="24"/>
                <w:szCs w:val="24"/>
              </w:rPr>
              <w:t>NETMEDIA</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sidRPr="000C2D18">
              <w:rPr>
                <w:sz w:val="24"/>
                <w:szCs w:val="24"/>
              </w:rPr>
              <w:t>15,8</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sidRPr="000C2D18">
              <w:rPr>
                <w:sz w:val="24"/>
                <w:szCs w:val="24"/>
              </w:rPr>
              <w:t>-17,6</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Pr>
                <w:sz w:val="24"/>
                <w:szCs w:val="24"/>
              </w:rPr>
              <w:t xml:space="preserve">  </w:t>
            </w:r>
            <w:r w:rsidRPr="000C2D18">
              <w:rPr>
                <w:sz w:val="24"/>
                <w:szCs w:val="24"/>
              </w:rPr>
              <w:t>-6,8</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Pr>
                <w:sz w:val="24"/>
                <w:szCs w:val="24"/>
              </w:rPr>
              <w:t xml:space="preserve">  </w:t>
            </w:r>
            <w:r w:rsidRPr="000C2D18">
              <w:rPr>
                <w:sz w:val="24"/>
                <w:szCs w:val="24"/>
              </w:rPr>
              <w:t>8,8</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Pr>
                <w:sz w:val="24"/>
                <w:szCs w:val="24"/>
              </w:rPr>
              <w:t xml:space="preserve">  </w:t>
            </w:r>
            <w:r w:rsidRPr="000C2D18">
              <w:rPr>
                <w:sz w:val="24"/>
                <w:szCs w:val="24"/>
              </w:rPr>
              <w:t>0,1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sidRPr="000C2D18">
              <w:rPr>
                <w:sz w:val="24"/>
                <w:szCs w:val="24"/>
              </w:rPr>
              <w:t>STALPRODUKT</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sidRPr="000C2D18">
              <w:rPr>
                <w:sz w:val="24"/>
                <w:szCs w:val="24"/>
              </w:rPr>
              <w:t>30,8</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sidRPr="000C2D18">
              <w:rPr>
                <w:sz w:val="24"/>
                <w:szCs w:val="24"/>
              </w:rPr>
              <w:t>-17,6</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Pr>
                <w:sz w:val="24"/>
                <w:szCs w:val="24"/>
              </w:rPr>
              <w:t xml:space="preserve">  </w:t>
            </w:r>
            <w:r w:rsidRPr="000C2D18">
              <w:rPr>
                <w:sz w:val="24"/>
                <w:szCs w:val="24"/>
              </w:rPr>
              <w:t>-6,8</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Pr>
                <w:sz w:val="24"/>
                <w:szCs w:val="24"/>
              </w:rPr>
              <w:t xml:space="preserve">  </w:t>
            </w:r>
            <w:r w:rsidRPr="000C2D18">
              <w:rPr>
                <w:sz w:val="24"/>
                <w:szCs w:val="24"/>
              </w:rPr>
              <w:t>8,8</w:t>
            </w:r>
          </w:p>
        </w:tc>
        <w:tc>
          <w:tcPr>
            <w:tcW w:w="1230" w:type="dxa"/>
            <w:tcBorders>
              <w:top w:val="single" w:sz="4" w:space="0" w:color="auto"/>
              <w:left w:val="single" w:sz="4" w:space="0" w:color="auto"/>
              <w:bottom w:val="single" w:sz="4" w:space="0" w:color="auto"/>
              <w:right w:val="single" w:sz="4" w:space="0" w:color="auto"/>
            </w:tcBorders>
          </w:tcPr>
          <w:p w:rsidR="00270BEC" w:rsidRPr="000C2D18" w:rsidRDefault="00270BEC" w:rsidP="00023C90">
            <w:pPr>
              <w:jc w:val="center"/>
              <w:rPr>
                <w:sz w:val="24"/>
                <w:szCs w:val="24"/>
              </w:rPr>
            </w:pPr>
            <w:r>
              <w:rPr>
                <w:sz w:val="24"/>
                <w:szCs w:val="24"/>
              </w:rPr>
              <w:t xml:space="preserve">  </w:t>
            </w:r>
            <w:r w:rsidRPr="000C2D18">
              <w:rPr>
                <w:sz w:val="24"/>
                <w:szCs w:val="24"/>
              </w:rPr>
              <w:t>0,1</w:t>
            </w:r>
          </w:p>
        </w:tc>
      </w:tr>
      <w:tr w:rsidR="00270BEC" w:rsidRPr="007004E1" w:rsidTr="00023C90">
        <w:tc>
          <w:tcPr>
            <w:tcW w:w="307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color w:val="FF66CC"/>
                <w:sz w:val="40"/>
                <w:szCs w:val="40"/>
              </w:rPr>
            </w:pPr>
            <w:r w:rsidRPr="007004E1">
              <w:rPr>
                <w:rFonts w:ascii="Calibri" w:eastAsia="Times New Roman" w:hAnsi="Calibri" w:cs="Times New Roman"/>
                <w:color w:val="FF0000"/>
                <w:sz w:val="40"/>
                <w:szCs w:val="40"/>
                <w14:shadow w14:blurRad="50800" w14:dist="38100" w14:dir="2700000" w14:sx="100000" w14:sy="100000" w14:kx="0" w14:ky="0" w14:algn="tl">
                  <w14:srgbClr w14:val="000000">
                    <w14:alpha w14:val="60000"/>
                  </w14:srgbClr>
                </w14:shadow>
              </w:rPr>
              <w:t>ŚREDNIO</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b/>
                <w:sz w:val="40"/>
                <w:szCs w:val="40"/>
                <w:lang w:eastAsia="pl-PL"/>
              </w:rPr>
            </w:pPr>
            <w:r w:rsidRPr="007004E1">
              <w:rPr>
                <w:rFonts w:eastAsiaTheme="minorEastAsia"/>
                <w:b/>
                <w:sz w:val="40"/>
                <w:szCs w:val="40"/>
                <w:lang w:eastAsia="pl-PL"/>
              </w:rPr>
              <w:t>12,</w:t>
            </w:r>
            <w:r>
              <w:rPr>
                <w:rFonts w:eastAsiaTheme="minorEastAsia"/>
                <w:b/>
                <w:sz w:val="40"/>
                <w:szCs w:val="40"/>
                <w:lang w:eastAsia="pl-PL"/>
              </w:rPr>
              <w:t>6</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b/>
                <w:sz w:val="40"/>
                <w:szCs w:val="40"/>
                <w:lang w:eastAsia="pl-PL"/>
              </w:rPr>
            </w:pPr>
            <w:r w:rsidRPr="007004E1">
              <w:rPr>
                <w:rFonts w:eastAsiaTheme="minorEastAsia"/>
                <w:b/>
                <w:sz w:val="40"/>
                <w:szCs w:val="40"/>
                <w:lang w:eastAsia="pl-PL"/>
              </w:rPr>
              <w:t>-18,4</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b/>
                <w:sz w:val="40"/>
                <w:szCs w:val="40"/>
                <w:lang w:eastAsia="pl-PL"/>
              </w:rPr>
            </w:pPr>
            <w:r w:rsidRPr="007004E1">
              <w:rPr>
                <w:rFonts w:eastAsiaTheme="minorEastAsia"/>
                <w:b/>
                <w:sz w:val="40"/>
                <w:szCs w:val="40"/>
                <w:lang w:eastAsia="pl-PL"/>
              </w:rPr>
              <w:t>-9,</w:t>
            </w:r>
            <w:r>
              <w:rPr>
                <w:rFonts w:eastAsiaTheme="minorEastAsia"/>
                <w:b/>
                <w:sz w:val="40"/>
                <w:szCs w:val="40"/>
                <w:lang w:eastAsia="pl-PL"/>
              </w:rPr>
              <w:t>4</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b/>
                <w:sz w:val="40"/>
                <w:szCs w:val="40"/>
                <w:lang w:eastAsia="pl-PL"/>
              </w:rPr>
            </w:pPr>
            <w:r w:rsidRPr="007004E1">
              <w:rPr>
                <w:rFonts w:eastAsiaTheme="minorEastAsia"/>
                <w:b/>
                <w:sz w:val="40"/>
                <w:szCs w:val="40"/>
                <w:lang w:eastAsia="pl-PL"/>
              </w:rPr>
              <w:t>0,</w:t>
            </w:r>
            <w:r>
              <w:rPr>
                <w:rFonts w:eastAsiaTheme="minorEastAsia"/>
                <w:b/>
                <w:sz w:val="40"/>
                <w:szCs w:val="40"/>
                <w:lang w:eastAsia="pl-PL"/>
              </w:rPr>
              <w:t>3</w:t>
            </w:r>
          </w:p>
        </w:tc>
        <w:tc>
          <w:tcPr>
            <w:tcW w:w="1230" w:type="dxa"/>
            <w:tcBorders>
              <w:top w:val="single" w:sz="4" w:space="0" w:color="auto"/>
              <w:left w:val="single" w:sz="4" w:space="0" w:color="auto"/>
              <w:bottom w:val="single" w:sz="4" w:space="0" w:color="auto"/>
              <w:right w:val="single" w:sz="4" w:space="0" w:color="auto"/>
            </w:tcBorders>
            <w:hideMark/>
          </w:tcPr>
          <w:p w:rsidR="00270BEC" w:rsidRPr="007004E1" w:rsidRDefault="00270BEC" w:rsidP="00023C90">
            <w:pPr>
              <w:jc w:val="center"/>
              <w:rPr>
                <w:rFonts w:eastAsiaTheme="minorEastAsia"/>
                <w:b/>
                <w:sz w:val="40"/>
                <w:szCs w:val="40"/>
                <w:lang w:eastAsia="pl-PL"/>
              </w:rPr>
            </w:pPr>
            <w:r>
              <w:rPr>
                <w:rFonts w:eastAsiaTheme="minorEastAsia"/>
                <w:b/>
                <w:sz w:val="40"/>
                <w:szCs w:val="40"/>
                <w:lang w:eastAsia="pl-PL"/>
              </w:rPr>
              <w:t>4</w:t>
            </w:r>
            <w:r w:rsidRPr="007004E1">
              <w:rPr>
                <w:rFonts w:eastAsiaTheme="minorEastAsia"/>
                <w:b/>
                <w:sz w:val="40"/>
                <w:szCs w:val="40"/>
                <w:lang w:eastAsia="pl-PL"/>
              </w:rPr>
              <w:t>,</w:t>
            </w:r>
            <w:r>
              <w:rPr>
                <w:rFonts w:eastAsiaTheme="minorEastAsia"/>
                <w:b/>
                <w:sz w:val="40"/>
                <w:szCs w:val="40"/>
                <w:lang w:eastAsia="pl-PL"/>
              </w:rPr>
              <w:t>7</w:t>
            </w:r>
          </w:p>
        </w:tc>
      </w:tr>
    </w:tbl>
    <w:p w:rsidR="00270BEC" w:rsidRPr="007004E1" w:rsidRDefault="00270BEC" w:rsidP="00270BEC">
      <w:pPr>
        <w:spacing w:after="0" w:line="240" w:lineRule="auto"/>
        <w:jc w:val="both"/>
        <w:rPr>
          <w:rFonts w:eastAsiaTheme="minorEastAsia"/>
          <w:sz w:val="80"/>
          <w:szCs w:val="80"/>
          <w:u w:val="single"/>
          <w:lang w:eastAsia="pl-PL"/>
        </w:rPr>
      </w:pPr>
    </w:p>
    <w:p w:rsidR="00270BEC" w:rsidRPr="007004E1" w:rsidRDefault="00270BEC" w:rsidP="00270BEC">
      <w:pPr>
        <w:spacing w:after="0" w:line="240" w:lineRule="auto"/>
        <w:jc w:val="both"/>
        <w:rPr>
          <w:rFonts w:eastAsiaTheme="minorEastAsia"/>
          <w:sz w:val="80"/>
          <w:szCs w:val="80"/>
          <w:u w:val="single"/>
          <w:lang w:eastAsia="pl-PL"/>
        </w:rPr>
      </w:pPr>
      <w:r w:rsidRPr="007004E1">
        <w:rPr>
          <w:rFonts w:eastAsiaTheme="minorEastAsia"/>
          <w:sz w:val="80"/>
          <w:szCs w:val="80"/>
          <w:u w:val="single"/>
          <w:lang w:eastAsia="pl-PL"/>
        </w:rPr>
        <w:t>Wniosek końcowy</w:t>
      </w:r>
    </w:p>
    <w:p w:rsidR="00270BEC" w:rsidRPr="007004E1" w:rsidRDefault="00270BEC" w:rsidP="00270BEC">
      <w:pPr>
        <w:spacing w:after="0" w:line="240" w:lineRule="auto"/>
        <w:jc w:val="both"/>
        <w:rPr>
          <w:rFonts w:eastAsiaTheme="minorEastAsia"/>
          <w:color w:val="FF0000"/>
          <w:sz w:val="80"/>
          <w:szCs w:val="80"/>
          <w:u w:val="single"/>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70BEC" w:rsidRPr="007004E1" w:rsidRDefault="00270BEC" w:rsidP="00270BEC">
      <w:pPr>
        <w:spacing w:after="0" w:line="240" w:lineRule="auto"/>
        <w:jc w:val="both"/>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pP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Procentowa zmiana kursu akcji spółki po wprowadzeniu jej do rubryki ,,Wykres do przemyślenia” w okresie 12 pierwszych miesięcy po jej wprowadzeniu do tej rubryki wynosiła średnio </w:t>
      </w:r>
      <w:r w:rsidRPr="007004E1">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plus 12,</w:t>
      </w:r>
      <w:r>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6</w:t>
      </w:r>
      <w:r w:rsidRPr="007004E1">
        <w:rPr>
          <w:rFonts w:eastAsiaTheme="minorEastAsia"/>
          <w:b/>
          <w:color w:val="FF0000"/>
          <w:sz w:val="50"/>
          <w:szCs w:val="50"/>
          <w:lang w:eastAsia="pl-PL"/>
          <w14:shadow w14:blurRad="50800" w14:dist="38100" w14:dir="2700000" w14:sx="100000" w14:sy="100000" w14:kx="0" w14:ky="0" w14:algn="tl">
            <w14:srgbClr w14:val="000000">
              <w14:alpha w14:val="60000"/>
            </w14:srgbClr>
          </w14:shadow>
        </w:rPr>
        <w:t xml:space="preserve">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Procentowa zmiana indeksu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WIG 20</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w tym okresie wynosiła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minus 18,4 %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 indeksu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WIG minus 9,</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4</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indeksu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mWIG 20 </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plus</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0,</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3</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 a  </w:t>
      </w:r>
      <w:r w:rsidRPr="007004E1">
        <w:rPr>
          <w:rFonts w:eastAsiaTheme="minorEastAsia"/>
          <w:color w:val="000000" w:themeColor="text1"/>
          <w:sz w:val="50"/>
          <w:szCs w:val="50"/>
          <w:lang w:eastAsia="pl-PL"/>
          <w14:shadow w14:blurRad="50800" w14:dist="38100" w14:dir="2700000" w14:sx="100000" w14:sy="100000" w14:kx="0" w14:ky="0" w14:algn="tl">
            <w14:srgbClr w14:val="000000">
              <w14:alpha w14:val="60000"/>
            </w14:srgbClr>
          </w14:shadow>
        </w:rPr>
        <w:t xml:space="preserve">indeksu </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sWIG80 plus </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4</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w:t>
      </w:r>
      <w:r>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7</w:t>
      </w:r>
      <w:r w:rsidRPr="007004E1">
        <w:rPr>
          <w:rFonts w:eastAsiaTheme="minorEastAsia"/>
          <w:b/>
          <w:color w:val="000000" w:themeColor="text1"/>
          <w:sz w:val="50"/>
          <w:szCs w:val="50"/>
          <w:lang w:eastAsia="pl-PL"/>
          <w14:shadow w14:blurRad="50800" w14:dist="38100" w14:dir="2700000" w14:sx="100000" w14:sy="100000" w14:kx="0" w14:ky="0" w14:algn="tl">
            <w14:srgbClr w14:val="000000">
              <w14:alpha w14:val="60000"/>
            </w14:srgbClr>
          </w14:shadow>
        </w:rPr>
        <w:t xml:space="preserve"> %</w:t>
      </w:r>
    </w:p>
    <w:p w:rsidR="00270BEC" w:rsidRPr="007004E1" w:rsidRDefault="00270BEC" w:rsidP="00270BEC">
      <w:pPr>
        <w:spacing w:after="0" w:line="240" w:lineRule="auto"/>
        <w:jc w:val="both"/>
        <w:rPr>
          <w:rFonts w:eastAsiaTheme="minorEastAsia"/>
          <w:color w:val="000000" w:themeColor="text1"/>
          <w:sz w:val="28"/>
          <w:szCs w:val="28"/>
          <w:u w:val="single"/>
          <w:lang w:eastAsia="pl-PL"/>
        </w:rPr>
      </w:pPr>
      <w:r w:rsidRPr="007004E1">
        <w:rPr>
          <w:rFonts w:eastAsiaTheme="minorEastAsia"/>
          <w:color w:val="000000" w:themeColor="text1"/>
          <w:sz w:val="28"/>
          <w:szCs w:val="28"/>
          <w:u w:val="single"/>
          <w:lang w:eastAsia="pl-PL"/>
        </w:rPr>
        <w:lastRenderedPageBreak/>
        <w:t xml:space="preserve">Dodatek graficzny: Średnia procentowa zmiana kursu akcji spółki po wprowadzeniu jej do rubryki ,,Wykres do przemyślenia” w okresie 12 pierwszych miesięcy po jej wprowadzeniu do tej rubryki oraz średnia procentowa zmiana 4 kluczowych indeksów polskiego rynku akcji w tym okresie </w:t>
      </w:r>
    </w:p>
    <w:p w:rsidR="00270BEC" w:rsidRPr="007004E1" w:rsidRDefault="00270BEC" w:rsidP="00270BEC">
      <w:pPr>
        <w:spacing w:after="0" w:line="240" w:lineRule="auto"/>
        <w:jc w:val="both"/>
        <w:rPr>
          <w:rFonts w:eastAsiaTheme="minorEastAsia"/>
          <w:color w:val="000000" w:themeColor="text1"/>
          <w:sz w:val="28"/>
          <w:szCs w:val="28"/>
          <w:u w:val="single"/>
          <w:lang w:eastAsia="pl-PL"/>
        </w:rPr>
      </w:pPr>
    </w:p>
    <w:p w:rsidR="00270BEC" w:rsidRPr="007004E1" w:rsidRDefault="00270BEC" w:rsidP="00270BEC">
      <w:pPr>
        <w:spacing w:after="0" w:line="240" w:lineRule="auto"/>
        <w:jc w:val="both"/>
        <w:rPr>
          <w:rFonts w:eastAsiaTheme="minorEastAsia"/>
          <w:color w:val="000000" w:themeColor="text1"/>
          <w:sz w:val="28"/>
          <w:szCs w:val="28"/>
          <w:u w:val="single"/>
          <w:lang w:eastAsia="pl-PL"/>
        </w:rPr>
      </w:pPr>
      <w:r w:rsidRPr="007004E1">
        <w:rPr>
          <w:rFonts w:eastAsiaTheme="minorEastAsia"/>
          <w:noProof/>
          <w:lang w:eastAsia="pl-PL"/>
        </w:rPr>
        <w:drawing>
          <wp:inline distT="0" distB="0" distL="0" distR="0" wp14:anchorId="09975CF9" wp14:editId="0ED661A0">
            <wp:extent cx="5572125" cy="7648575"/>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70BEC" w:rsidRPr="007004E1" w:rsidRDefault="00270BEC" w:rsidP="00270BEC">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94"/>
          <w:szCs w:val="94"/>
          <w:lang w:eastAsia="pl-PL"/>
        </w:rPr>
      </w:pPr>
      <w:r w:rsidRPr="007004E1">
        <w:rPr>
          <w:rFonts w:eastAsia="Times New Roman" w:cs="Times New Roman"/>
          <w:b/>
          <w:color w:val="FFFFFF" w:themeColor="background1"/>
          <w:sz w:val="94"/>
          <w:szCs w:val="94"/>
          <w:lang w:eastAsia="pl-PL"/>
        </w:rPr>
        <w:lastRenderedPageBreak/>
        <w:t>Generalny wniosek:</w:t>
      </w:r>
    </w:p>
    <w:p w:rsidR="00270BEC" w:rsidRPr="007004E1" w:rsidRDefault="00270BEC" w:rsidP="00270BEC">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sidRPr="007004E1">
        <w:rPr>
          <w:rFonts w:eastAsia="Times New Roman" w:cs="Times New Roman"/>
          <w:b/>
          <w:color w:val="FFFFFF" w:themeColor="background1"/>
          <w:sz w:val="94"/>
          <w:szCs w:val="94"/>
          <w:lang w:eastAsia="pl-PL"/>
        </w:rPr>
        <w:t>kursy akcji spółki po wprowadzeniu jej do rubryki ,,Wykres do przemyślenia” zasadniczo rzecz biorąc wykazują relatywną przewagę nad indeksami:  WIG20, WIG, WIG40 oraz sWIG80</w:t>
      </w:r>
    </w:p>
    <w:p w:rsidR="00270BEC" w:rsidRPr="007004E1" w:rsidRDefault="00270BEC" w:rsidP="00270BEC">
      <w:pPr>
        <w:rPr>
          <w:rFonts w:eastAsiaTheme="minorEastAsia"/>
          <w:lang w:eastAsia="pl-PL"/>
        </w:rPr>
      </w:pPr>
    </w:p>
    <w:p w:rsidR="00270BEC" w:rsidRPr="007004E1" w:rsidRDefault="00270BEC" w:rsidP="00270BEC">
      <w:pPr>
        <w:rPr>
          <w:rFonts w:eastAsiaTheme="minorEastAsia"/>
          <w:lang w:eastAsia="pl-PL"/>
        </w:rPr>
      </w:pPr>
    </w:p>
    <w:p w:rsidR="00270BEC" w:rsidRPr="007004E1" w:rsidRDefault="00270BEC" w:rsidP="00270BEC">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color w:val="FF0000"/>
          <w:sz w:val="110"/>
          <w:szCs w:val="110"/>
          <w:lang w:eastAsia="pl-PL"/>
        </w:rPr>
      </w:pPr>
      <w:r w:rsidRPr="007004E1">
        <w:rPr>
          <w:rFonts w:eastAsiaTheme="minorEastAsia"/>
          <w:sz w:val="110"/>
          <w:szCs w:val="110"/>
          <w:lang w:eastAsia="pl-PL"/>
        </w:rPr>
        <w:lastRenderedPageBreak/>
        <w:t xml:space="preserve">Aby dowiedzieć się które spółki będą umieszczane w rubryce ,,Wykres do przemyślenia” warto często odwiedzać stronę internetową </w:t>
      </w:r>
      <w:r w:rsidRPr="007004E1">
        <w:rPr>
          <w:rFonts w:eastAsiaTheme="minorEastAsia"/>
          <w:color w:val="FF0000"/>
          <w:sz w:val="110"/>
          <w:szCs w:val="110"/>
          <w:lang w:eastAsia="pl-PL"/>
        </w:rPr>
        <w:t>analizy-rynkowe.pl</w:t>
      </w:r>
    </w:p>
    <w:p w:rsidR="00270BEC" w:rsidRPr="007004E1" w:rsidRDefault="00270BEC" w:rsidP="00270BEC">
      <w:pPr>
        <w:rPr>
          <w:rFonts w:eastAsiaTheme="minorEastAsia"/>
          <w:lang w:eastAsia="pl-PL"/>
        </w:rPr>
      </w:pPr>
    </w:p>
    <w:p w:rsidR="00270BEC" w:rsidRPr="007004E1" w:rsidRDefault="00270BEC" w:rsidP="00270BEC">
      <w:pPr>
        <w:rPr>
          <w:rFonts w:eastAsiaTheme="minorEastAsia"/>
          <w:lang w:eastAsia="pl-PL"/>
        </w:rPr>
      </w:pPr>
    </w:p>
    <w:p w:rsidR="00270BEC" w:rsidRPr="007004E1" w:rsidRDefault="00270BEC" w:rsidP="00270BEC">
      <w:pPr>
        <w:spacing w:after="0" w:line="240" w:lineRule="auto"/>
        <w:jc w:val="both"/>
      </w:pPr>
    </w:p>
    <w:p w:rsidR="00270BEC" w:rsidRPr="007004E1" w:rsidRDefault="00270BEC" w:rsidP="00270BEC">
      <w:pPr>
        <w:spacing w:after="0" w:line="240" w:lineRule="auto"/>
        <w:jc w:val="both"/>
      </w:pPr>
    </w:p>
    <w:p w:rsidR="00270BEC" w:rsidRPr="007004E1" w:rsidRDefault="00270BEC" w:rsidP="00270BEC">
      <w:pPr>
        <w:spacing w:after="0" w:line="240" w:lineRule="auto"/>
        <w:jc w:val="both"/>
      </w:pPr>
    </w:p>
    <w:p w:rsidR="00270BEC" w:rsidRPr="007004E1" w:rsidRDefault="00270BEC" w:rsidP="00270BEC">
      <w:pPr>
        <w:spacing w:after="0" w:line="240" w:lineRule="auto"/>
        <w:jc w:val="both"/>
        <w:rPr>
          <w:rFonts w:eastAsia="Times New Roman" w:cs="Times New Roman"/>
          <w:b/>
        </w:rPr>
      </w:pPr>
      <w:r w:rsidRPr="007004E1">
        <w:rPr>
          <w:rFonts w:eastAsia="Times New Roman" w:cs="Times New Roman"/>
          <w:b/>
        </w:rPr>
        <w:lastRenderedPageBreak/>
        <w:t>Wnioski końcowe</w:t>
      </w:r>
    </w:p>
    <w:p w:rsidR="00270BEC" w:rsidRPr="007004E1" w:rsidRDefault="00270BEC" w:rsidP="00270BEC">
      <w:pPr>
        <w:spacing w:after="0" w:line="240" w:lineRule="auto"/>
        <w:jc w:val="both"/>
        <w:rPr>
          <w:rFonts w:eastAsia="Times New Roman" w:cs="Times New Roman"/>
        </w:rPr>
      </w:pPr>
    </w:p>
    <w:p w:rsidR="00270BEC" w:rsidRPr="007004E1" w:rsidRDefault="00270BEC" w:rsidP="00270BEC">
      <w:pPr>
        <w:numPr>
          <w:ilvl w:val="0"/>
          <w:numId w:val="1"/>
        </w:numPr>
        <w:spacing w:after="0" w:line="240" w:lineRule="auto"/>
        <w:contextualSpacing/>
        <w:jc w:val="both"/>
        <w:rPr>
          <w:rFonts w:eastAsia="Times New Roman" w:cs="Times New Roman"/>
          <w:color w:val="000000" w:themeColor="text1"/>
        </w:rPr>
      </w:pPr>
      <w:r w:rsidRPr="007004E1">
        <w:rPr>
          <w:rFonts w:eastAsia="Times New Roman" w:cs="Times New Roman"/>
          <w:color w:val="000000" w:themeColor="text1"/>
        </w:rPr>
        <w:t>Kurs dolara amerykańskiego (w złotych) przebił zaznaczony na wykresie trend wzrostowy poprowadzony przez dołki z 9 lipca 2014 roku oraz 14 października 2015 roku. Pojawiła się szansa na wybicie z na razie tylko hipotetycznej formacji podwójnego szczytu. Dojdzie do tego wybicia, gdy kurs USD/PLN osiągnie (na zamknięciu notowań) poziom dołka z 4 kwietnia 2016 roku (</w:t>
      </w:r>
      <w:r w:rsidRPr="007004E1">
        <w:rPr>
          <w:rFonts w:eastAsia="Times New Roman" w:cs="Times New Roman"/>
          <w:b/>
          <w:color w:val="FF0000"/>
        </w:rPr>
        <w:t>3,7230 zł</w:t>
      </w:r>
      <w:r w:rsidRPr="007004E1">
        <w:rPr>
          <w:rFonts w:eastAsia="Times New Roman" w:cs="Times New Roman"/>
          <w:color w:val="000000" w:themeColor="text1"/>
        </w:rPr>
        <w:t>.). Realna perspektywa zmiany trendu ze wzrostowego na spadkowy może być związana z perspektywą napływu kapitału zagranicznego na polski rynek akcji. Średnia ruchoma z 200 sesji próbuje zmienić trend na spadkowy.</w:t>
      </w:r>
    </w:p>
    <w:p w:rsidR="00270BEC" w:rsidRPr="007004E1" w:rsidRDefault="00270BEC" w:rsidP="00270BEC">
      <w:pPr>
        <w:spacing w:after="0" w:line="240" w:lineRule="auto"/>
        <w:contextualSpacing/>
        <w:jc w:val="both"/>
        <w:rPr>
          <w:rFonts w:eastAsia="Times New Roman" w:cs="Times New Roman"/>
          <w:b/>
          <w:color w:val="FF0000"/>
        </w:rPr>
      </w:pPr>
    </w:p>
    <w:p w:rsidR="00270BEC" w:rsidRPr="007004E1" w:rsidRDefault="00270BEC" w:rsidP="00270BEC">
      <w:pPr>
        <w:numPr>
          <w:ilvl w:val="0"/>
          <w:numId w:val="1"/>
        </w:numPr>
        <w:spacing w:after="0" w:line="240" w:lineRule="auto"/>
        <w:contextualSpacing/>
        <w:jc w:val="both"/>
        <w:rPr>
          <w:rFonts w:eastAsia="Times New Roman" w:cs="Times New Roman"/>
          <w:color w:val="000000" w:themeColor="text1"/>
        </w:rPr>
      </w:pPr>
      <w:r w:rsidRPr="007004E1">
        <w:rPr>
          <w:rFonts w:eastAsia="Times New Roman" w:cs="Times New Roman"/>
        </w:rPr>
        <w:t>Kurs euro amerykańskiego (w złotych) przebił zaznaczony na wykresie trend wzrostowy poprowadzony przez dołki z 27 kwietnia oraz 29 grudnia 2015 roku. Pojawiła się szansa na wybicie z na razie tylko hipotetycznej formacji podwójnego szczytu. Dojdzie do tego wybicia, gdy kurs USD/PLN osiągnie (na zamknięciu notowań) poziom dołka z 4 kwietnia 2016 roku (</w:t>
      </w:r>
      <w:r w:rsidRPr="007004E1">
        <w:rPr>
          <w:rFonts w:eastAsia="Times New Roman" w:cs="Times New Roman"/>
          <w:b/>
          <w:color w:val="FF0000"/>
        </w:rPr>
        <w:t>4,2409 zł</w:t>
      </w:r>
      <w:r w:rsidRPr="007004E1">
        <w:rPr>
          <w:rFonts w:eastAsia="Times New Roman" w:cs="Times New Roman"/>
        </w:rPr>
        <w:t>.). Realna perspektywa zmiany trendu ze wzrostowego na spadkowy może być związana z perspektywą napływu kapitału zagranicznego na polski rynek akcji. Średnia ruchoma z 200 sesji próbuje zmienić trend na spadkowy.</w:t>
      </w:r>
    </w:p>
    <w:p w:rsidR="00270BEC" w:rsidRPr="007004E1" w:rsidRDefault="00270BEC" w:rsidP="00270BEC">
      <w:pPr>
        <w:spacing w:after="0" w:line="240" w:lineRule="auto"/>
        <w:contextualSpacing/>
        <w:jc w:val="both"/>
        <w:rPr>
          <w:rFonts w:eastAsia="Times New Roman" w:cs="Times New Roman"/>
          <w:color w:val="000000" w:themeColor="text1"/>
        </w:rPr>
      </w:pPr>
    </w:p>
    <w:p w:rsidR="00270BEC" w:rsidRPr="007004E1" w:rsidRDefault="00270BEC" w:rsidP="00270BEC">
      <w:pPr>
        <w:numPr>
          <w:ilvl w:val="0"/>
          <w:numId w:val="1"/>
        </w:numPr>
        <w:spacing w:after="0" w:line="240" w:lineRule="auto"/>
        <w:contextualSpacing/>
        <w:jc w:val="both"/>
        <w:rPr>
          <w:rFonts w:eastAsia="Times New Roman" w:cs="Times New Roman"/>
          <w:b/>
          <w:color w:val="000000" w:themeColor="text1"/>
        </w:rPr>
      </w:pPr>
      <w:r w:rsidRPr="007004E1">
        <w:rPr>
          <w:rFonts w:eastAsia="Times New Roman" w:cs="Times New Roman"/>
          <w:color w:val="000000" w:themeColor="text1"/>
        </w:rPr>
        <w:t xml:space="preserve">Początkowo </w:t>
      </w:r>
      <w:r w:rsidRPr="007004E1">
        <w:rPr>
          <w:rFonts w:eastAsia="Times New Roman" w:cs="Times New Roman"/>
          <w:b/>
          <w:color w:val="000000" w:themeColor="text1"/>
        </w:rPr>
        <w:t>indeks amerykańskiego rynku akcji S&amp;P500</w:t>
      </w:r>
      <w:r w:rsidRPr="007004E1">
        <w:rPr>
          <w:rFonts w:eastAsia="Times New Roman" w:cs="Times New Roman"/>
          <w:color w:val="000000" w:themeColor="text1"/>
        </w:rPr>
        <w:t xml:space="preserve"> wybił się z formacji podwójnego szczytu, co zapowiadało spadki. Wkrótce jednak indeks zaczął dynamicznie rosnąć. Przebił poziom wyższego szczytu. W rezultacie </w:t>
      </w:r>
      <w:r w:rsidRPr="007004E1">
        <w:rPr>
          <w:rFonts w:eastAsia="Times New Roman" w:cs="Times New Roman"/>
          <w:b/>
          <w:color w:val="000000" w:themeColor="text1"/>
        </w:rPr>
        <w:t>doszło do ,,spalenia” formacji podwójnego szczytu.</w:t>
      </w:r>
      <w:r w:rsidRPr="007004E1">
        <w:rPr>
          <w:rFonts w:eastAsia="Times New Roman" w:cs="Times New Roman"/>
          <w:color w:val="000000" w:themeColor="text1"/>
        </w:rPr>
        <w:t xml:space="preserve"> Pojawił się wiec bardzo </w:t>
      </w:r>
      <w:r w:rsidRPr="007004E1">
        <w:rPr>
          <w:rFonts w:eastAsia="Times New Roman" w:cs="Times New Roman"/>
          <w:b/>
          <w:color w:val="000000" w:themeColor="text1"/>
        </w:rPr>
        <w:t xml:space="preserve">silny sygnał kupna. </w:t>
      </w:r>
    </w:p>
    <w:p w:rsidR="00270BEC" w:rsidRPr="007004E1" w:rsidRDefault="00270BEC" w:rsidP="00270BEC">
      <w:pPr>
        <w:spacing w:after="0" w:line="240" w:lineRule="auto"/>
        <w:ind w:left="720"/>
        <w:contextualSpacing/>
        <w:jc w:val="both"/>
        <w:rPr>
          <w:rFonts w:eastAsia="Times New Roman" w:cs="Times New Roman"/>
          <w:color w:val="000000" w:themeColor="text1"/>
        </w:rPr>
      </w:pPr>
    </w:p>
    <w:p w:rsidR="00270BEC" w:rsidRPr="00384490" w:rsidRDefault="00270BEC" w:rsidP="00270BEC">
      <w:pPr>
        <w:numPr>
          <w:ilvl w:val="0"/>
          <w:numId w:val="1"/>
        </w:numPr>
        <w:spacing w:after="0" w:line="240" w:lineRule="auto"/>
        <w:contextualSpacing/>
        <w:jc w:val="both"/>
        <w:rPr>
          <w:rFonts w:eastAsia="Times New Roman" w:cs="Times New Roman"/>
        </w:rPr>
      </w:pPr>
      <w:r w:rsidRPr="00384490">
        <w:rPr>
          <w:rFonts w:eastAsia="Times New Roman" w:cs="Times New Roman"/>
          <w:color w:val="000000" w:themeColor="text1"/>
        </w:rPr>
        <w:t xml:space="preserve">Na wykresie siły względnej WIG20/USD-PLN stworzonej w oparciu o dane kwartalne w pobliżu ważnej linii wsparcia pojawiła się formacja harami, co stwarza szansę na wzrosty indeksu WIG20 związane z realną napływu kapitału zagranicznego. </w:t>
      </w:r>
      <w:r w:rsidRPr="00384490">
        <w:rPr>
          <w:rFonts w:eastAsia="Times New Roman" w:cs="Times New Roman"/>
          <w:b/>
          <w:color w:val="000000" w:themeColor="text1"/>
        </w:rPr>
        <w:t>Wskaźnik C/WK dla indeksu WIG20 jest bardzo niski i wynosi 1,1</w:t>
      </w:r>
      <w:r w:rsidRPr="00384490">
        <w:rPr>
          <w:rFonts w:eastAsia="Times New Roman" w:cs="Times New Roman"/>
          <w:color w:val="000000" w:themeColor="text1"/>
        </w:rPr>
        <w:t xml:space="preserve">. </w:t>
      </w:r>
      <w:r w:rsidR="0031087D">
        <w:rPr>
          <w:rFonts w:eastAsia="Times New Roman" w:cs="Times New Roman"/>
          <w:color w:val="000000" w:themeColor="text1"/>
        </w:rPr>
        <w:t xml:space="preserve">Od 3 tygodni z </w:t>
      </w:r>
      <w:r w:rsidRPr="00384490">
        <w:rPr>
          <w:rFonts w:eastAsia="Times New Roman" w:cs="Times New Roman"/>
          <w:color w:val="000000" w:themeColor="text1"/>
        </w:rPr>
        <w:t>bada</w:t>
      </w:r>
      <w:r w:rsidR="0031087D">
        <w:rPr>
          <w:rFonts w:eastAsia="Times New Roman" w:cs="Times New Roman"/>
          <w:color w:val="000000" w:themeColor="text1"/>
        </w:rPr>
        <w:t>ń</w:t>
      </w:r>
      <w:r w:rsidRPr="00384490">
        <w:rPr>
          <w:rFonts w:eastAsia="Times New Roman" w:cs="Times New Roman"/>
          <w:color w:val="000000" w:themeColor="text1"/>
        </w:rPr>
        <w:t xml:space="preserve"> Sto</w:t>
      </w:r>
      <w:r>
        <w:rPr>
          <w:rFonts w:eastAsia="Times New Roman" w:cs="Times New Roman"/>
          <w:color w:val="000000" w:themeColor="text1"/>
        </w:rPr>
        <w:t>wa</w:t>
      </w:r>
      <w:r w:rsidRPr="00384490">
        <w:rPr>
          <w:rFonts w:eastAsia="Times New Roman" w:cs="Times New Roman"/>
          <w:color w:val="000000" w:themeColor="text1"/>
        </w:rPr>
        <w:t>rzyszenia Inwestorów Indywidualnych wynika, że odsetek inwestorów spodziewających się wzrostów kursów polskich akcji na przestrzeni najbliższych 6 miesi</w:t>
      </w:r>
      <w:r>
        <w:rPr>
          <w:rFonts w:eastAsia="Times New Roman" w:cs="Times New Roman"/>
          <w:color w:val="000000" w:themeColor="text1"/>
        </w:rPr>
        <w:t>ęcy</w:t>
      </w:r>
      <w:r w:rsidRPr="00384490">
        <w:rPr>
          <w:rFonts w:eastAsia="Times New Roman" w:cs="Times New Roman"/>
          <w:color w:val="000000" w:themeColor="text1"/>
        </w:rPr>
        <w:t xml:space="preserve"> </w:t>
      </w:r>
      <w:r>
        <w:rPr>
          <w:rFonts w:eastAsia="Times New Roman" w:cs="Times New Roman"/>
          <w:color w:val="000000" w:themeColor="text1"/>
        </w:rPr>
        <w:t>j</w:t>
      </w:r>
      <w:r w:rsidRPr="00384490">
        <w:rPr>
          <w:rFonts w:eastAsia="Times New Roman" w:cs="Times New Roman"/>
          <w:color w:val="000000" w:themeColor="text1"/>
        </w:rPr>
        <w:t>est większy, niż odset</w:t>
      </w:r>
      <w:r>
        <w:rPr>
          <w:rFonts w:eastAsia="Times New Roman" w:cs="Times New Roman"/>
          <w:color w:val="000000" w:themeColor="text1"/>
        </w:rPr>
        <w:t>e</w:t>
      </w:r>
      <w:r w:rsidRPr="00384490">
        <w:rPr>
          <w:rFonts w:eastAsia="Times New Roman" w:cs="Times New Roman"/>
          <w:color w:val="000000" w:themeColor="text1"/>
        </w:rPr>
        <w:t>k inw</w:t>
      </w:r>
      <w:r>
        <w:rPr>
          <w:rFonts w:eastAsia="Times New Roman" w:cs="Times New Roman"/>
          <w:color w:val="000000" w:themeColor="text1"/>
        </w:rPr>
        <w:t xml:space="preserve">estorów </w:t>
      </w:r>
      <w:r w:rsidRPr="00384490">
        <w:rPr>
          <w:rFonts w:eastAsia="Times New Roman" w:cs="Times New Roman"/>
          <w:color w:val="000000" w:themeColor="text1"/>
        </w:rPr>
        <w:t>oczekujących spadków cen owych akcji. Zgodnie z zasadą ,,kupuj pesymizm, sprzedawaj optymizm” stanowi to sygnał kupna.</w:t>
      </w:r>
    </w:p>
    <w:p w:rsidR="00270BEC" w:rsidRPr="00384490" w:rsidRDefault="00270BEC" w:rsidP="00270BEC">
      <w:pPr>
        <w:spacing w:after="0" w:line="240" w:lineRule="auto"/>
        <w:ind w:left="720"/>
        <w:contextualSpacing/>
        <w:jc w:val="both"/>
        <w:rPr>
          <w:rFonts w:eastAsia="Times New Roman" w:cs="Times New Roman"/>
        </w:rPr>
      </w:pPr>
    </w:p>
    <w:p w:rsidR="00270BEC" w:rsidRPr="007004E1" w:rsidRDefault="00270BEC" w:rsidP="00270BEC">
      <w:pPr>
        <w:spacing w:after="0" w:line="240" w:lineRule="auto"/>
        <w:jc w:val="both"/>
        <w:rPr>
          <w:rFonts w:eastAsia="Times New Roman" w:cs="Times New Roman"/>
        </w:rPr>
      </w:pPr>
      <w:r w:rsidRPr="007004E1">
        <w:rPr>
          <w:rFonts w:eastAsia="Times New Roman" w:cs="Times New Roman"/>
        </w:rPr>
        <w:t xml:space="preserve">Opracował: Sławomir Kłusek, </w:t>
      </w:r>
      <w:r>
        <w:rPr>
          <w:rFonts w:eastAsia="Times New Roman" w:cs="Times New Roman"/>
        </w:rPr>
        <w:t>17</w:t>
      </w:r>
      <w:r w:rsidRPr="007004E1">
        <w:rPr>
          <w:rFonts w:eastAsia="Times New Roman" w:cs="Times New Roman"/>
        </w:rPr>
        <w:t xml:space="preserve"> października 2016 roku</w:t>
      </w:r>
    </w:p>
    <w:p w:rsidR="00270BEC" w:rsidRPr="007004E1" w:rsidRDefault="00270BEC" w:rsidP="00270BEC">
      <w:pPr>
        <w:spacing w:after="0" w:line="240" w:lineRule="auto"/>
        <w:jc w:val="both"/>
        <w:rPr>
          <w:rFonts w:eastAsia="Times New Roman" w:cs="Times New Roman"/>
        </w:rPr>
      </w:pPr>
    </w:p>
    <w:p w:rsidR="00270BEC" w:rsidRPr="007004E1" w:rsidRDefault="00270BEC" w:rsidP="00270BEC">
      <w:pPr>
        <w:spacing w:after="0" w:line="240" w:lineRule="auto"/>
        <w:jc w:val="both"/>
        <w:rPr>
          <w:rFonts w:eastAsia="Times New Roman" w:cs="Times New Roman"/>
          <w:i/>
          <w:color w:val="000000" w:themeColor="text1"/>
        </w:rPr>
      </w:pPr>
      <w:r w:rsidRPr="007004E1">
        <w:rPr>
          <w:rFonts w:eastAsia="Times New Roman" w:cs="Times New Roman"/>
          <w:i/>
        </w:rPr>
        <w:t xml:space="preserve">Powyższy raport stanowi wyłącznie wyraz osobistych opinii autora. Treści zawarte na stronie internetowej </w:t>
      </w:r>
      <w:r w:rsidRPr="007004E1">
        <w:rPr>
          <w:rFonts w:eastAsia="Times New Roman" w:cs="Times New Roman"/>
          <w:b/>
          <w:i/>
        </w:rPr>
        <w:t>analizy-rynkowe.pl</w:t>
      </w:r>
      <w:r w:rsidRPr="007004E1">
        <w:rPr>
          <w:rFonts w:eastAsia="Times New Roman" w:cs="Times New Roman"/>
          <w:i/>
        </w:rPr>
        <w:t xml:space="preserve">  stanowią „rekomendacji” w rozumieniu przepisów Rozporządzenia Ministra Finansów z dnia 19 października 2005 r. w sprawie informacji stanowiących rekomendacje dotyczące instrumentów finansowych, lub ich emitentów (Dz.U. z 2005 r. Nr 206, poz. 1715). Autor nie ponosi odpowiedzialności za jakiekolwiek decyzje inwestycyjne podjęte na podstawie treści zawartych na stronie internetowej </w:t>
      </w:r>
      <w:r w:rsidRPr="007004E1">
        <w:rPr>
          <w:rFonts w:eastAsia="Times New Roman" w:cs="Times New Roman"/>
          <w:b/>
          <w:i/>
          <w:color w:val="000000" w:themeColor="text1"/>
        </w:rPr>
        <w:t>analizy-rynkowe.pl</w:t>
      </w:r>
      <w:r w:rsidRPr="007004E1">
        <w:rPr>
          <w:rFonts w:eastAsia="Times New Roman" w:cs="Times New Roman"/>
          <w:i/>
          <w:color w:val="000000" w:themeColor="text1"/>
        </w:rPr>
        <w:t>.</w:t>
      </w:r>
    </w:p>
    <w:p w:rsidR="00270BEC" w:rsidRPr="007004E1" w:rsidRDefault="00270BEC" w:rsidP="00270BEC">
      <w:pPr>
        <w:spacing w:after="0" w:line="240" w:lineRule="auto"/>
        <w:jc w:val="both"/>
        <w:rPr>
          <w:b/>
        </w:rPr>
      </w:pPr>
    </w:p>
    <w:p w:rsidR="00270BEC" w:rsidRPr="007004E1" w:rsidRDefault="00270BEC" w:rsidP="00270BEC">
      <w:pPr>
        <w:spacing w:after="0" w:line="240" w:lineRule="auto"/>
        <w:jc w:val="both"/>
        <w:rPr>
          <w:sz w:val="26"/>
          <w:szCs w:val="26"/>
        </w:rPr>
      </w:pPr>
    </w:p>
    <w:p w:rsidR="00270BEC" w:rsidRPr="007004E1" w:rsidRDefault="00270BEC" w:rsidP="00270BEC"/>
    <w:p w:rsidR="00270BEC" w:rsidRPr="007004E1" w:rsidRDefault="00270BEC" w:rsidP="00270BEC"/>
    <w:p w:rsidR="00270BEC" w:rsidRDefault="00270BEC" w:rsidP="00270BEC"/>
    <w:p w:rsidR="00583E91" w:rsidRPr="00270BEC" w:rsidRDefault="00583E91" w:rsidP="00270BEC"/>
    <w:sectPr w:rsidR="00583E91" w:rsidRPr="00270BEC" w:rsidSect="00FF5F52">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61" w:rsidRDefault="004E1761">
      <w:pPr>
        <w:spacing w:after="0" w:line="240" w:lineRule="auto"/>
      </w:pPr>
      <w:r>
        <w:separator/>
      </w:r>
    </w:p>
  </w:endnote>
  <w:endnote w:type="continuationSeparator" w:id="0">
    <w:p w:rsidR="004E1761" w:rsidRDefault="004E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094"/>
      <w:docPartObj>
        <w:docPartGallery w:val="Page Numbers (Bottom of Page)"/>
        <w:docPartUnique/>
      </w:docPartObj>
    </w:sdtPr>
    <w:sdtEndPr/>
    <w:sdtContent>
      <w:p w:rsidR="00FF5F52" w:rsidRDefault="00DD02B4">
        <w:pPr>
          <w:pStyle w:val="Stopka"/>
          <w:jc w:val="center"/>
        </w:pPr>
        <w:r>
          <w:fldChar w:fldCharType="begin"/>
        </w:r>
        <w:r>
          <w:instrText>PAGE   \* MERGEFORMAT</w:instrText>
        </w:r>
        <w:r>
          <w:fldChar w:fldCharType="separate"/>
        </w:r>
        <w:r w:rsidR="00F66A85">
          <w:rPr>
            <w:noProof/>
          </w:rPr>
          <w:t>5</w:t>
        </w:r>
        <w:r>
          <w:fldChar w:fldCharType="end"/>
        </w:r>
      </w:p>
    </w:sdtContent>
  </w:sdt>
  <w:p w:rsidR="00FF5F52" w:rsidRDefault="004E17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61" w:rsidRDefault="004E1761">
      <w:pPr>
        <w:spacing w:after="0" w:line="240" w:lineRule="auto"/>
      </w:pPr>
      <w:r>
        <w:separator/>
      </w:r>
    </w:p>
  </w:footnote>
  <w:footnote w:type="continuationSeparator" w:id="0">
    <w:p w:rsidR="004E1761" w:rsidRDefault="004E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61E7143B"/>
    <w:multiLevelType w:val="hybridMultilevel"/>
    <w:tmpl w:val="B6705ADC"/>
    <w:lvl w:ilvl="0" w:tplc="395E489A">
      <w:start w:val="18"/>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EC"/>
    <w:rsid w:val="00270BEC"/>
    <w:rsid w:val="0031087D"/>
    <w:rsid w:val="004E1761"/>
    <w:rsid w:val="00583E91"/>
    <w:rsid w:val="0094683A"/>
    <w:rsid w:val="00DD02B4"/>
    <w:rsid w:val="00EC05A2"/>
    <w:rsid w:val="00EE2E37"/>
    <w:rsid w:val="00F66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B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0BEC"/>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270BEC"/>
    <w:rPr>
      <w:rFonts w:eastAsiaTheme="minorEastAsia"/>
      <w:lang w:eastAsia="pl-PL"/>
    </w:rPr>
  </w:style>
  <w:style w:type="table" w:styleId="Tabela-Siatka">
    <w:name w:val="Table Grid"/>
    <w:basedOn w:val="Standardowy"/>
    <w:uiPriority w:val="59"/>
    <w:rsid w:val="0027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70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BEC"/>
    <w:rPr>
      <w:rFonts w:ascii="Tahoma" w:hAnsi="Tahoma" w:cs="Tahoma"/>
      <w:sz w:val="16"/>
      <w:szCs w:val="16"/>
    </w:rPr>
  </w:style>
  <w:style w:type="paragraph" w:styleId="Bezodstpw">
    <w:name w:val="No Spacing"/>
    <w:uiPriority w:val="1"/>
    <w:qFormat/>
    <w:rsid w:val="00270BEC"/>
    <w:pPr>
      <w:spacing w:after="0" w:line="240" w:lineRule="auto"/>
    </w:pPr>
  </w:style>
  <w:style w:type="character" w:styleId="Hipercze">
    <w:name w:val="Hyperlink"/>
    <w:basedOn w:val="Domylnaczcionkaakapitu"/>
    <w:uiPriority w:val="99"/>
    <w:unhideWhenUsed/>
    <w:rsid w:val="0027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B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0BEC"/>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270BEC"/>
    <w:rPr>
      <w:rFonts w:eastAsiaTheme="minorEastAsia"/>
      <w:lang w:eastAsia="pl-PL"/>
    </w:rPr>
  </w:style>
  <w:style w:type="table" w:styleId="Tabela-Siatka">
    <w:name w:val="Table Grid"/>
    <w:basedOn w:val="Standardowy"/>
    <w:uiPriority w:val="59"/>
    <w:rsid w:val="00270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70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BEC"/>
    <w:rPr>
      <w:rFonts w:ascii="Tahoma" w:hAnsi="Tahoma" w:cs="Tahoma"/>
      <w:sz w:val="16"/>
      <w:szCs w:val="16"/>
    </w:rPr>
  </w:style>
  <w:style w:type="paragraph" w:styleId="Bezodstpw">
    <w:name w:val="No Spacing"/>
    <w:uiPriority w:val="1"/>
    <w:qFormat/>
    <w:rsid w:val="00270BEC"/>
    <w:pPr>
      <w:spacing w:after="0" w:line="240" w:lineRule="auto"/>
    </w:pPr>
  </w:style>
  <w:style w:type="character" w:styleId="Hipercze">
    <w:name w:val="Hyperlink"/>
    <w:basedOn w:val="Domylnaczcionkaakapitu"/>
    <w:uiPriority w:val="99"/>
    <w:unhideWhenUsed/>
    <w:rsid w:val="0027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ier.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kier.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analizy-rynkowe.pl/eksperyment-psychologiczny-zakonczeni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44"/>
    </mc:Choice>
    <mc:Fallback>
      <c:style val="4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Arkusz1!$A$1:$A$5</c:f>
              <c:strCache>
                <c:ptCount val="5"/>
                <c:pt idx="0">
                  <c:v>Wykres do przemyślenia</c:v>
                </c:pt>
                <c:pt idx="1">
                  <c:v>sWIG80</c:v>
                </c:pt>
                <c:pt idx="2">
                  <c:v>mWIG40</c:v>
                </c:pt>
                <c:pt idx="3">
                  <c:v>WIG</c:v>
                </c:pt>
                <c:pt idx="4">
                  <c:v>WIG20</c:v>
                </c:pt>
              </c:strCache>
            </c:strRef>
          </c:cat>
          <c:val>
            <c:numRef>
              <c:f>Arkusz1!$B$1:$B$5</c:f>
              <c:numCache>
                <c:formatCode>0.0</c:formatCode>
                <c:ptCount val="5"/>
                <c:pt idx="0">
                  <c:v>12.6</c:v>
                </c:pt>
                <c:pt idx="1">
                  <c:v>4.7</c:v>
                </c:pt>
                <c:pt idx="2">
                  <c:v>0.3</c:v>
                </c:pt>
                <c:pt idx="3">
                  <c:v>-9.4</c:v>
                </c:pt>
                <c:pt idx="4">
                  <c:v>-18.399999999999999</c:v>
                </c:pt>
              </c:numCache>
            </c:numRef>
          </c:val>
        </c:ser>
        <c:dLbls>
          <c:showLegendKey val="0"/>
          <c:showVal val="0"/>
          <c:showCatName val="0"/>
          <c:showSerName val="0"/>
          <c:showPercent val="0"/>
          <c:showBubbleSize val="0"/>
        </c:dLbls>
        <c:gapWidth val="150"/>
        <c:axId val="150004480"/>
        <c:axId val="163100160"/>
      </c:barChart>
      <c:catAx>
        <c:axId val="150004480"/>
        <c:scaling>
          <c:orientation val="minMax"/>
        </c:scaling>
        <c:delete val="0"/>
        <c:axPos val="b"/>
        <c:numFmt formatCode="General" sourceLinked="1"/>
        <c:majorTickMark val="out"/>
        <c:minorTickMark val="none"/>
        <c:tickLblPos val="nextTo"/>
        <c:crossAx val="163100160"/>
        <c:crosses val="autoZero"/>
        <c:auto val="1"/>
        <c:lblAlgn val="ctr"/>
        <c:lblOffset val="100"/>
        <c:noMultiLvlLbl val="0"/>
      </c:catAx>
      <c:valAx>
        <c:axId val="163100160"/>
        <c:scaling>
          <c:orientation val="minMax"/>
        </c:scaling>
        <c:delete val="0"/>
        <c:axPos val="l"/>
        <c:majorGridlines/>
        <c:numFmt formatCode="0.0" sourceLinked="1"/>
        <c:majorTickMark val="out"/>
        <c:minorTickMark val="none"/>
        <c:tickLblPos val="nextTo"/>
        <c:crossAx val="15000448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D15D-9C80-47B2-9430-54863D92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2078</Words>
  <Characters>12473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2016-10-16T06:40:00Z</dcterms:created>
  <dcterms:modified xsi:type="dcterms:W3CDTF">2016-10-16T06:40:00Z</dcterms:modified>
</cp:coreProperties>
</file>