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1" w:rsidRPr="007004E1" w:rsidRDefault="007004E1" w:rsidP="007004E1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004E1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7004E1" w:rsidRPr="007004E1" w:rsidRDefault="007004E1" w:rsidP="007004E1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7004E1" w:rsidRPr="007004E1" w:rsidRDefault="007004E1" w:rsidP="007004E1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sytuacji na</w:t>
      </w:r>
    </w:p>
    <w:p w:rsidR="007004E1" w:rsidRPr="007004E1" w:rsidRDefault="007004E1" w:rsidP="007004E1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 finansowych</w:t>
      </w:r>
    </w:p>
    <w:p w:rsidR="007004E1" w:rsidRPr="007004E1" w:rsidRDefault="007004E1" w:rsidP="007004E1">
      <w:pPr>
        <w:spacing w:after="0" w:line="240" w:lineRule="auto"/>
        <w:jc w:val="center"/>
        <w:rPr>
          <w:sz w:val="48"/>
          <w:szCs w:val="48"/>
        </w:rPr>
      </w:pPr>
    </w:p>
    <w:p w:rsidR="007004E1" w:rsidRPr="007004E1" w:rsidRDefault="007004E1" w:rsidP="007004E1">
      <w:pPr>
        <w:spacing w:after="0" w:line="240" w:lineRule="auto"/>
        <w:jc w:val="center"/>
        <w:rPr>
          <w:sz w:val="48"/>
          <w:szCs w:val="48"/>
        </w:rPr>
      </w:pPr>
    </w:p>
    <w:p w:rsidR="007004E1" w:rsidRPr="007004E1" w:rsidRDefault="007004E1" w:rsidP="007004E1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7004E1" w:rsidRPr="007004E1" w:rsidRDefault="007004E1" w:rsidP="007004E1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7004E1" w:rsidRPr="007004E1" w:rsidRDefault="007004E1" w:rsidP="007004E1">
      <w:pPr>
        <w:spacing w:after="0" w:line="240" w:lineRule="auto"/>
        <w:jc w:val="both"/>
        <w:rPr>
          <w:sz w:val="26"/>
          <w:szCs w:val="26"/>
        </w:rPr>
      </w:pPr>
    </w:p>
    <w:p w:rsidR="007004E1" w:rsidRPr="007004E1" w:rsidRDefault="007004E1" w:rsidP="007004E1">
      <w:pPr>
        <w:spacing w:after="0" w:line="240" w:lineRule="auto"/>
        <w:jc w:val="both"/>
        <w:rPr>
          <w:sz w:val="26"/>
          <w:szCs w:val="26"/>
        </w:rPr>
      </w:pPr>
    </w:p>
    <w:p w:rsidR="007004E1" w:rsidRPr="007004E1" w:rsidRDefault="007004E1" w:rsidP="007004E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 w:rsidR="002D091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7004E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października 2016 roku</w:t>
      </w:r>
    </w:p>
    <w:p w:rsidR="007004E1" w:rsidRPr="007004E1" w:rsidRDefault="007004E1" w:rsidP="0070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004E1">
        <w:t xml:space="preserve">Kurs USD/PLN – perspektywa długoterminowa, kurs </w:t>
      </w:r>
      <w:r w:rsidR="002D0918">
        <w:t>z 30 września 2016 roku = 3,8255</w:t>
      </w:r>
    </w:p>
    <w:p w:rsidR="007004E1" w:rsidRPr="007004E1" w:rsidRDefault="007004E1" w:rsidP="007004E1">
      <w:pPr>
        <w:spacing w:after="0" w:line="240" w:lineRule="auto"/>
        <w:jc w:val="both"/>
      </w:pPr>
      <w:r w:rsidRPr="007004E1">
        <w:rPr>
          <w:noProof/>
          <w:lang w:eastAsia="pl-PL"/>
        </w:rPr>
        <w:drawing>
          <wp:inline distT="0" distB="0" distL="0" distR="0" wp14:anchorId="0AFAF198" wp14:editId="581315EE">
            <wp:extent cx="48291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4E1" w:rsidRPr="007004E1" w:rsidRDefault="007004E1" w:rsidP="007004E1">
      <w:pPr>
        <w:spacing w:after="0" w:line="240" w:lineRule="auto"/>
        <w:jc w:val="both"/>
        <w:rPr>
          <w:b/>
          <w:color w:val="FF0000"/>
        </w:rPr>
      </w:pPr>
      <w:r w:rsidRPr="007004E1">
        <w:t xml:space="preserve">Kurs dolara amerykańskiego (w złotych) przebił zaznaczony na wykresie trend wzrostowy poprowadzony przez dołki z 9 lipca 2014 roku oraz 14 października 2015 roku. </w:t>
      </w:r>
      <w:r w:rsidRPr="007004E1">
        <w:rPr>
          <w:b/>
        </w:rPr>
        <w:t>Pojawiła się szansa na wybicie z na razie tylko hipotetycznej formacji podwójnego szczytu</w:t>
      </w:r>
      <w:r w:rsidRPr="007004E1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7004E1" w:rsidRPr="007004E1" w:rsidRDefault="007004E1" w:rsidP="0070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004E1">
        <w:t xml:space="preserve">Kurs EUR/PLN – perspektywa średniookresowa, kurs </w:t>
      </w:r>
      <w:r w:rsidR="002D0918">
        <w:t>z 30 września 2016 roku = 4,2839</w:t>
      </w:r>
    </w:p>
    <w:p w:rsidR="007004E1" w:rsidRPr="007004E1" w:rsidRDefault="007004E1" w:rsidP="007004E1">
      <w:pPr>
        <w:spacing w:after="0" w:line="240" w:lineRule="auto"/>
        <w:jc w:val="both"/>
      </w:pPr>
      <w:r w:rsidRPr="007004E1">
        <w:rPr>
          <w:noProof/>
          <w:lang w:eastAsia="pl-PL"/>
        </w:rPr>
        <w:drawing>
          <wp:inline distT="0" distB="0" distL="0" distR="0" wp14:anchorId="6F3D30C3" wp14:editId="198498DC">
            <wp:extent cx="4829175" cy="2895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4E1" w:rsidRDefault="007004E1" w:rsidP="007004E1">
      <w:pPr>
        <w:spacing w:after="0" w:line="240" w:lineRule="auto"/>
        <w:jc w:val="both"/>
      </w:pPr>
      <w:r w:rsidRPr="007004E1">
        <w:t xml:space="preserve">Kurs euro amerykańskiego (w złotych) przebił zaznaczony na wykresie trend wzrostowy poprowadzony przez dołki z 27 kwietnia oraz 29 grudnia 2015 roku. </w:t>
      </w:r>
      <w:r w:rsidRPr="007004E1">
        <w:rPr>
          <w:b/>
        </w:rPr>
        <w:t>Pojawiła się szansa na wybicie z na razie tylko hipotetycznej formacji podwójnego szczytu</w:t>
      </w:r>
      <w:r w:rsidRPr="007004E1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384490" w:rsidRDefault="00384490" w:rsidP="0038449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Szansa na napływ kapitału zagranicznego na GPW w Warszawie</w:t>
      </w: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indeks WIG20 urósł o 2,5 %. Co ciekawe w tym samym okresie zniżkowały indeksy małych i średnich spółek. Nie jest wykluczone, że ta </w:t>
      </w:r>
      <w:r w:rsidRPr="00384490">
        <w:rPr>
          <w:b/>
          <w:sz w:val="26"/>
          <w:szCs w:val="26"/>
        </w:rPr>
        <w:t>relatywna siła segmentu spółek o dużej kapitalizacji</w:t>
      </w:r>
      <w:r>
        <w:rPr>
          <w:sz w:val="26"/>
          <w:szCs w:val="26"/>
        </w:rPr>
        <w:t xml:space="preserve"> świadczy o napływie kapitału zagranicznego na polski rynek akcji. </w:t>
      </w: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Z danych historycznych wynika, że generalnie rzecz biorąc okres pomiędzy końcem października roku T a końcem kwietnia roku T+1 jest dla posiadaczy akcji lepszy, niż okres pomiędzy końcem kwietnia a końcem października roku T. Być może wiedząc o tym, część dużych inwestorów już teraz, niejako wyprzedzająco rozpoczęła bardziej śmiałe zakupy polskich akcji z indeksu WIG20.</w:t>
      </w: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Popatrzmy na wykres siły względnej WIG20/USD-PLN. Jest to wykres przedstawiający relację indeksu WIG20 do kursu dolara amerykańskiego (w złotych). Generalnie rzecz biorąc w przeszłości było tak, że wzrost owej siły względnej był oznaką wzrostów indeksu WIG20 wynikających z napływu kapitału zagranicznego na polski rynek akcji. </w:t>
      </w:r>
    </w:p>
    <w:p w:rsidR="00384490" w:rsidRDefault="00384490" w:rsidP="00384490">
      <w:pPr>
        <w:pStyle w:val="Bezodstpw"/>
        <w:jc w:val="both"/>
        <w:rPr>
          <w:sz w:val="26"/>
          <w:szCs w:val="26"/>
        </w:rPr>
      </w:pPr>
    </w:p>
    <w:p w:rsidR="00384490" w:rsidRDefault="00384490" w:rsidP="00384490">
      <w:pPr>
        <w:pStyle w:val="Bezodstpw"/>
        <w:jc w:val="both"/>
        <w:rPr>
          <w:b/>
          <w:sz w:val="26"/>
          <w:szCs w:val="26"/>
          <w:u w:val="single"/>
        </w:rPr>
      </w:pPr>
      <w:r w:rsidRPr="00D80CD9">
        <w:rPr>
          <w:b/>
          <w:sz w:val="26"/>
          <w:szCs w:val="26"/>
          <w:u w:val="single"/>
        </w:rPr>
        <w:t>WIG20/USD-PLN</w:t>
      </w:r>
    </w:p>
    <w:p w:rsidR="00384490" w:rsidRDefault="00384490" w:rsidP="00384490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7D9ED88C" wp14:editId="51E67C47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490" w:rsidRDefault="00384490" w:rsidP="00384490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r w:rsidRPr="00E77DDE">
        <w:rPr>
          <w:noProof/>
          <w:sz w:val="26"/>
          <w:szCs w:val="26"/>
          <w:lang w:eastAsia="pl-PL"/>
        </w:rPr>
        <w:t xml:space="preserve">Warto </w:t>
      </w:r>
      <w:r>
        <w:rPr>
          <w:noProof/>
          <w:sz w:val="26"/>
          <w:szCs w:val="26"/>
          <w:lang w:eastAsia="pl-PL"/>
        </w:rPr>
        <w:t xml:space="preserve">zauważyć, że na powyższym wykresie stworzonym w oparciu o dane kwartalne doszło do bardzo ciekawego wydarzenia. Oto w pobliży zaznaczonej na tym wykresie linii łączącej dolki z 2001 i 2009 roku pojawiła się </w:t>
      </w:r>
      <w:r w:rsidRPr="00384490">
        <w:rPr>
          <w:b/>
          <w:noProof/>
          <w:sz w:val="26"/>
          <w:szCs w:val="26"/>
          <w:lang w:eastAsia="pl-PL"/>
        </w:rPr>
        <w:t>formacja harami</w:t>
      </w:r>
      <w:r>
        <w:rPr>
          <w:noProof/>
          <w:sz w:val="26"/>
          <w:szCs w:val="26"/>
          <w:lang w:eastAsia="pl-PL"/>
        </w:rPr>
        <w:t xml:space="preserve">. Jeżeli formacja ta pojawia się w pobliżu wsparcia oznacza ona </w:t>
      </w:r>
      <w:r w:rsidRPr="00384490">
        <w:rPr>
          <w:b/>
          <w:noProof/>
          <w:sz w:val="26"/>
          <w:szCs w:val="26"/>
          <w:lang w:eastAsia="pl-PL"/>
        </w:rPr>
        <w:t>pojawienie się szansy na wzrost</w:t>
      </w:r>
      <w:r>
        <w:rPr>
          <w:noProof/>
          <w:sz w:val="26"/>
          <w:szCs w:val="26"/>
          <w:lang w:eastAsia="pl-PL"/>
        </w:rPr>
        <w:t xml:space="preserve">. Mamy tu do czynienia z tak zwaną </w:t>
      </w:r>
      <w:r w:rsidRPr="00384490">
        <w:rPr>
          <w:b/>
          <w:noProof/>
          <w:sz w:val="26"/>
          <w:szCs w:val="26"/>
          <w:lang w:eastAsia="pl-PL"/>
        </w:rPr>
        <w:t>pro-wzrostową formacją harami</w:t>
      </w:r>
      <w:r>
        <w:rPr>
          <w:noProof/>
          <w:sz w:val="26"/>
          <w:szCs w:val="26"/>
          <w:lang w:eastAsia="pl-PL"/>
        </w:rPr>
        <w:t xml:space="preserve">. W przypadku takiej formacji pierwszaq świecia jest czarna a druga biała a dodatkowo korpus świecy drugiej zawiera się w korpusie świecy pierwszej. O tym, czym są świece japońsie </w:t>
      </w:r>
      <w:r>
        <w:rPr>
          <w:noProof/>
          <w:sz w:val="26"/>
          <w:szCs w:val="26"/>
          <w:lang w:eastAsia="pl-PL"/>
        </w:rPr>
        <w:lastRenderedPageBreak/>
        <w:t xml:space="preserve">można na przykład przeczytać na strionie Domu Maklerskiego Banku Ochrony Środowiska. </w:t>
      </w: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Default="00DB4961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hyperlink r:id="rId11" w:history="1">
        <w:r w:rsidR="00384490" w:rsidRPr="001F0D1E">
          <w:rPr>
            <w:rStyle w:val="Hipercze"/>
            <w:noProof/>
            <w:sz w:val="26"/>
            <w:szCs w:val="26"/>
            <w:lang w:eastAsia="pl-PL"/>
          </w:rPr>
          <w:t>http://bossa.pl/edukacja/AT/swiecowe/odwrrocenia/</w:t>
        </w:r>
      </w:hyperlink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Na poniższym wykresie zaznaczyłem wspomnianą formację harami w taki sposób, aby była ona dobrzez widoczna. </w:t>
      </w: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Default="00384490" w:rsidP="00384490">
      <w:pPr>
        <w:pStyle w:val="Bezodstpw"/>
        <w:jc w:val="both"/>
        <w:rPr>
          <w:b/>
          <w:sz w:val="26"/>
          <w:szCs w:val="26"/>
          <w:u w:val="single"/>
        </w:rPr>
      </w:pPr>
      <w:r w:rsidRPr="00D80CD9">
        <w:rPr>
          <w:b/>
          <w:sz w:val="26"/>
          <w:szCs w:val="26"/>
          <w:u w:val="single"/>
        </w:rPr>
        <w:t>WIG20/USD-PLN</w:t>
      </w: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AA54CB9" wp14:editId="427D4440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Naturalnie pewności nie ma, ale w świetle powyższych uwarunkowań technicznych rozpoczęcie silnej średnio- lub nawet długookresowej fali wzrostów w przypadku indeksu WIG20 wydaje się być dość prawdopodobne. Oczywiście warto dokonać szerszej analizy fundamentlanej obecnej sytuacji. W tym kontekście warto zauważyć, że poziom wskaźnika </w:t>
      </w:r>
      <w:r w:rsidRPr="00384490">
        <w:rPr>
          <w:b/>
          <w:noProof/>
          <w:sz w:val="26"/>
          <w:szCs w:val="26"/>
          <w:lang w:eastAsia="pl-PL"/>
        </w:rPr>
        <w:t>Cena/Wartość Księgowa</w:t>
      </w:r>
      <w:r>
        <w:rPr>
          <w:noProof/>
          <w:sz w:val="26"/>
          <w:szCs w:val="26"/>
          <w:lang w:eastAsia="pl-PL"/>
        </w:rPr>
        <w:t xml:space="preserve"> dla indeksu </w:t>
      </w:r>
      <w:r w:rsidRPr="00384490">
        <w:rPr>
          <w:b/>
          <w:noProof/>
          <w:sz w:val="26"/>
          <w:szCs w:val="26"/>
          <w:lang w:eastAsia="pl-PL"/>
        </w:rPr>
        <w:t>WIG20</w:t>
      </w:r>
      <w:r>
        <w:rPr>
          <w:noProof/>
          <w:sz w:val="26"/>
          <w:szCs w:val="26"/>
          <w:lang w:eastAsia="pl-PL"/>
        </w:rPr>
        <w:t xml:space="preserve"> wynosi obecnie </w:t>
      </w:r>
      <w:r w:rsidRPr="00384490">
        <w:rPr>
          <w:b/>
          <w:noProof/>
          <w:sz w:val="26"/>
          <w:szCs w:val="26"/>
          <w:lang w:eastAsia="pl-PL"/>
        </w:rPr>
        <w:t>1,1 i</w:t>
      </w:r>
      <w:r>
        <w:rPr>
          <w:noProof/>
          <w:sz w:val="26"/>
          <w:szCs w:val="26"/>
          <w:lang w:eastAsia="pl-PL"/>
        </w:rPr>
        <w:t xml:space="preserve"> jest na tle danych historycznych bardzo niski. Można to zauważyć przeglądajac stronę interentową </w:t>
      </w:r>
      <w:hyperlink r:id="rId13" w:history="1">
        <w:r w:rsidRPr="00C47D2B">
          <w:rPr>
            <w:rStyle w:val="Hipercze"/>
            <w:noProof/>
            <w:sz w:val="26"/>
            <w:szCs w:val="26"/>
            <w:lang w:eastAsia="pl-PL"/>
          </w:rPr>
          <w:t>http://stooq.pl/</w:t>
        </w:r>
      </w:hyperlink>
      <w:r>
        <w:rPr>
          <w:noProof/>
          <w:sz w:val="26"/>
          <w:szCs w:val="26"/>
          <w:lang w:eastAsia="pl-PL"/>
        </w:rPr>
        <w:t>.</w:t>
      </w:r>
    </w:p>
    <w:p w:rsidR="00384490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Default="00DB4961" w:rsidP="00384490">
      <w:pPr>
        <w:pStyle w:val="Bezodstpw"/>
        <w:jc w:val="both"/>
        <w:rPr>
          <w:noProof/>
          <w:sz w:val="26"/>
          <w:szCs w:val="26"/>
          <w:lang w:eastAsia="pl-PL"/>
        </w:rPr>
      </w:pPr>
      <w:hyperlink r:id="rId14" w:history="1">
        <w:r w:rsidR="00384490" w:rsidRPr="00C47D2B">
          <w:rPr>
            <w:rStyle w:val="Hipercze"/>
            <w:noProof/>
            <w:sz w:val="26"/>
            <w:szCs w:val="26"/>
            <w:lang w:eastAsia="pl-PL"/>
          </w:rPr>
          <w:t>http://stooq.pl/q/?s=wig20_pb&amp;c=20y&amp;t=l&amp;a=lg&amp;b=0</w:t>
        </w:r>
      </w:hyperlink>
    </w:p>
    <w:p w:rsidR="00384490" w:rsidRPr="00E77DDE" w:rsidRDefault="00384490" w:rsidP="00384490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384490" w:rsidRPr="00384490" w:rsidRDefault="00384490" w:rsidP="00384490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</w:rPr>
      </w:pPr>
      <w:r w:rsidRPr="00384490">
        <w:rPr>
          <w:noProof/>
          <w:sz w:val="26"/>
          <w:szCs w:val="26"/>
          <w:lang w:eastAsia="pl-PL"/>
        </w:rPr>
        <w:t xml:space="preserve">Wzrostom powinny sprzjać także czynniki psychologiczne. </w:t>
      </w:r>
      <w:r w:rsidRPr="00384490">
        <w:rPr>
          <w:rFonts w:eastAsia="Times New Roman" w:cs="Times New Roman"/>
          <w:color w:val="000000" w:themeColor="text1"/>
          <w:sz w:val="26"/>
          <w:szCs w:val="26"/>
        </w:rPr>
        <w:t xml:space="preserve">Z najnowszego badania Stowarzyszenia Inwestorów Indywidualnych wynika, że odsetek inwestorów spodziewających się wzrostów kursów polskich akcji na przestrzeni najbliższych 6 miesięcy jest większy, niż odsetek inwestorów oczekujących spadków cen owych akcji. Zgodnie z zasadą </w:t>
      </w:r>
      <w:r w:rsidRPr="00384490">
        <w:rPr>
          <w:rFonts w:eastAsia="Times New Roman" w:cs="Times New Roman"/>
          <w:b/>
          <w:color w:val="000000" w:themeColor="text1"/>
          <w:sz w:val="26"/>
          <w:szCs w:val="26"/>
        </w:rPr>
        <w:t>,,kupuj pesymizm, sprzedawaj optymizm”</w:t>
      </w:r>
      <w:r w:rsidRPr="00384490">
        <w:rPr>
          <w:rFonts w:eastAsia="Times New Roman" w:cs="Times New Roman"/>
          <w:color w:val="000000" w:themeColor="text1"/>
          <w:sz w:val="26"/>
          <w:szCs w:val="26"/>
        </w:rPr>
        <w:t xml:space="preserve"> stanowi to sygnał kupna.</w:t>
      </w:r>
    </w:p>
    <w:p w:rsidR="00384490" w:rsidRDefault="00DB4961" w:rsidP="00384490">
      <w:pPr>
        <w:pStyle w:val="Bezodstpw"/>
        <w:jc w:val="both"/>
        <w:rPr>
          <w:rStyle w:val="Hipercze"/>
          <w:noProof/>
          <w:sz w:val="26"/>
          <w:szCs w:val="26"/>
          <w:lang w:eastAsia="pl-PL"/>
        </w:rPr>
      </w:pPr>
      <w:hyperlink r:id="rId15" w:history="1">
        <w:r w:rsidR="00384490" w:rsidRPr="00C47D2B">
          <w:rPr>
            <w:rStyle w:val="Hipercze"/>
            <w:noProof/>
            <w:sz w:val="26"/>
            <w:szCs w:val="26"/>
            <w:lang w:eastAsia="pl-PL"/>
          </w:rPr>
          <w:t>http://www.sii.org.pl/3438/edukacja-i-analizy/indeks-nastrojow-inwestorow.html</w:t>
        </w:r>
      </w:hyperlink>
    </w:p>
    <w:p w:rsidR="00384490" w:rsidRPr="00384490" w:rsidRDefault="00384490" w:rsidP="0038449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lastRenderedPageBreak/>
        <w:t>,,Kupuj ciszę, sprzedawaj rozgłos” – refleksja</w:t>
      </w:r>
    </w:p>
    <w:p w:rsidR="00384490" w:rsidRDefault="00384490" w:rsidP="00384490">
      <w:pPr>
        <w:pStyle w:val="Bezodstpw"/>
        <w:jc w:val="center"/>
        <w:rPr>
          <w:rStyle w:val="Hipercze"/>
          <w:noProof/>
          <w:color w:val="000000" w:themeColor="text1"/>
          <w:sz w:val="26"/>
          <w:szCs w:val="26"/>
          <w:lang w:eastAsia="pl-PL"/>
        </w:rPr>
      </w:pP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W analizach zamieszczanych na stronie internetowej </w:t>
      </w:r>
      <w:hyperlink r:id="rId16" w:history="1">
        <w:r w:rsidRPr="00384490">
          <w:rPr>
            <w:rStyle w:val="Hipercze"/>
            <w:noProof/>
            <w:sz w:val="26"/>
            <w:szCs w:val="26"/>
            <w:u w:val="none"/>
            <w:lang w:eastAsia="pl-PL"/>
          </w:rPr>
          <w:t>http://analizy-rynkowe.pl/</w:t>
        </w:r>
      </w:hyperlink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 często odwołuje się do zasady ,,kupuj ciszę, sprzedawaj rozłos”. Generalnie wychodzę z zalożenia, że kursy akcji, tych spółek o których mało się mówi się w mediach mają szasnę zachowywać się w okresie kolejnych 12 miesięcy lepiej, niż kursy akcji tych spółek o których dużo mówi się w mediach. </w:t>
      </w: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18 listopada 2015 roku zamiesćiłem artykuł ,,</w:t>
      </w:r>
      <w:r w:rsidRPr="00384490">
        <w:rPr>
          <w:rStyle w:val="Hipercze"/>
          <w:b/>
          <w:noProof/>
          <w:color w:val="FF0000"/>
          <w:sz w:val="26"/>
          <w:szCs w:val="26"/>
          <w:u w:val="none"/>
          <w:lang w:eastAsia="pl-PL"/>
        </w:rPr>
        <w:t>W jaki sposób można połączyć metodę typowego lub nietypowego podwójnego dna z metodą wyszukiwania spółek, które przebiły swe 52-tygodniowe maksimum oraz metodą ,,psychologiczną</w:t>
      </w: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” ?. W artykule tych zaprezentowałem wykresy </w:t>
      </w:r>
      <w:r w:rsidR="0038162C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kursów akcji </w:t>
      </w: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4 spółek, które spelnialy jednocześnie 2 kryteria:</w:t>
      </w: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</w:p>
    <w:p w:rsidR="00384490" w:rsidRPr="00384490" w:rsidRDefault="00384490" w:rsidP="00384490">
      <w:pPr>
        <w:pStyle w:val="Bezodstpw"/>
        <w:numPr>
          <w:ilvl w:val="0"/>
          <w:numId w:val="2"/>
        </w:numPr>
        <w:jc w:val="both"/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Ich kurs </w:t>
      </w:r>
      <w:r w:rsidRPr="00384490"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  <w:t>przebil 52-tygodniowe maksimum</w:t>
      </w:r>
    </w:p>
    <w:p w:rsidR="00384490" w:rsidRPr="00384490" w:rsidRDefault="00384490" w:rsidP="00384490">
      <w:pPr>
        <w:pStyle w:val="Bezodstpw"/>
        <w:numPr>
          <w:ilvl w:val="0"/>
          <w:numId w:val="2"/>
        </w:numPr>
        <w:jc w:val="both"/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mało się mówiło o tych spólkach w mediach (</w:t>
      </w:r>
      <w:r w:rsidRPr="00384490"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  <w:t>liczba wpisów</w:t>
      </w: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 na temat spółki na forum portalu bankier.pl była w okresie ostatnich 30 dni </w:t>
      </w:r>
      <w:r w:rsidRPr="00384490"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  <w:t>niższa od 10</w:t>
      </w:r>
      <w:r w:rsidR="0038162C">
        <w:rPr>
          <w:rStyle w:val="Hipercze"/>
          <w:b/>
          <w:noProof/>
          <w:color w:val="000000" w:themeColor="text1"/>
          <w:sz w:val="26"/>
          <w:szCs w:val="26"/>
          <w:u w:val="none"/>
          <w:lang w:eastAsia="pl-PL"/>
        </w:rPr>
        <w:t>)</w:t>
      </w: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</w:p>
    <w:p w:rsidR="00384490" w:rsidRP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 xml:space="preserve">W ten sposób zostały wytypowane 4 spółki: Agora, Efekt, Ivmx oraz Transpol. </w:t>
      </w:r>
    </w:p>
    <w:p w:rsid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lang w:eastAsia="pl-PL"/>
        </w:rPr>
      </w:pPr>
    </w:p>
    <w:p w:rsidR="00384490" w:rsidRPr="00156ADE" w:rsidRDefault="00384490" w:rsidP="00384490">
      <w:pPr>
        <w:pStyle w:val="Bezodstpw"/>
        <w:jc w:val="both"/>
        <w:rPr>
          <w:color w:val="000000" w:themeColor="text1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ADE">
        <w:rPr>
          <w:color w:val="000000" w:themeColor="text1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4 spółek w okresie pomiędzy 18 listopada 2015 roku a 7 października 2016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384490" w:rsidTr="00AE720A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18.11.2015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07.10.2016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384490" w:rsidTr="00AE720A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</w:tcPr>
          <w:p w:rsidR="00384490" w:rsidRPr="0082322B" w:rsidRDefault="00384490" w:rsidP="00AE720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-14,4</w:t>
            </w:r>
          </w:p>
        </w:tc>
      </w:tr>
      <w:tr w:rsidR="00384490" w:rsidTr="00AE720A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</w:tcPr>
          <w:p w:rsidR="00384490" w:rsidRPr="0082322B" w:rsidRDefault="00384490" w:rsidP="00AE720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+49,2</w:t>
            </w:r>
          </w:p>
        </w:tc>
      </w:tr>
      <w:tr w:rsidR="00384490" w:rsidTr="00AE720A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</w:tcPr>
          <w:p w:rsidR="00384490" w:rsidRPr="0082322B" w:rsidRDefault="00384490" w:rsidP="00AE720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IVMX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5,93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38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5,99 zł.*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</w:tr>
      <w:tr w:rsidR="00384490" w:rsidTr="00AE720A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</w:tcPr>
          <w:p w:rsidR="00384490" w:rsidRPr="0082322B" w:rsidRDefault="00384490" w:rsidP="00AE72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Transpol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-13,1</w:t>
            </w:r>
          </w:p>
        </w:tc>
      </w:tr>
      <w:tr w:rsidR="00384490" w:rsidTr="00AE720A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Pr="0082322B" w:rsidRDefault="00384490" w:rsidP="00AE720A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90" w:rsidRDefault="00384490" w:rsidP="00AE720A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90" w:rsidRDefault="00384490" w:rsidP="00AE720A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+5,7</w:t>
            </w:r>
          </w:p>
        </w:tc>
      </w:tr>
      <w:tr w:rsidR="00384490" w:rsidTr="00AE720A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0" w:rsidRPr="003E16C9" w:rsidRDefault="00384490" w:rsidP="00AE720A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023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98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0" w:rsidRPr="003E16C9" w:rsidRDefault="00384490" w:rsidP="00AE72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1 751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72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0" w:rsidRDefault="00384490" w:rsidP="00AE720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-13,5</w:t>
            </w:r>
          </w:p>
        </w:tc>
      </w:tr>
    </w:tbl>
    <w:p w:rsid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lang w:eastAsia="pl-PL"/>
        </w:rPr>
      </w:pPr>
    </w:p>
    <w:p w:rsid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lang w:eastAsia="pl-PL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* z uwagi na to, że akcje spółki IVMX notowane były tylko do 18 grudnia 2015 roku w tabeli zaprezentowano kurs z 18 grudnia 2015 roku (5 złotych i 99 groszy).</w:t>
      </w:r>
      <w:r>
        <w:rPr>
          <w:rStyle w:val="Hipercze"/>
          <w:noProof/>
          <w:color w:val="000000" w:themeColor="text1"/>
          <w:sz w:val="26"/>
          <w:szCs w:val="26"/>
          <w:lang w:eastAsia="pl-PL"/>
        </w:rPr>
        <w:t xml:space="preserve"> </w:t>
      </w:r>
      <w:hyperlink r:id="rId17" w:history="1">
        <w:r w:rsidRPr="00ED1E4F">
          <w:rPr>
            <w:rStyle w:val="Hipercze"/>
            <w:noProof/>
            <w:sz w:val="26"/>
            <w:szCs w:val="26"/>
            <w:lang w:eastAsia="pl-PL"/>
          </w:rPr>
          <w:t>http://analizy-rynkowe.pl/w-jaki-sposob-mozna-polaczyc-metode-typowego-lub-nietypowego-podwojnego-dna-z-metoda-wyszukiwania-spolek-ktore-przebily-swe-52-tygodniowe-maksimum-oraz-metoda-psychologiczna/</w:t>
        </w:r>
      </w:hyperlink>
    </w:p>
    <w:p w:rsidR="00384490" w:rsidRDefault="00384490" w:rsidP="00384490">
      <w:pPr>
        <w:pStyle w:val="Bezodstpw"/>
        <w:jc w:val="both"/>
        <w:rPr>
          <w:rStyle w:val="Hipercze"/>
          <w:noProof/>
          <w:color w:val="000000" w:themeColor="text1"/>
          <w:sz w:val="26"/>
          <w:szCs w:val="26"/>
          <w:lang w:eastAsia="pl-PL"/>
        </w:rPr>
      </w:pPr>
    </w:p>
    <w:p w:rsidR="007004E1" w:rsidRPr="00384490" w:rsidRDefault="00384490" w:rsidP="00384490">
      <w:pPr>
        <w:pStyle w:val="Bezodstpw"/>
        <w:jc w:val="both"/>
        <w:rPr>
          <w:b/>
          <w:sz w:val="26"/>
          <w:szCs w:val="26"/>
        </w:rPr>
      </w:pPr>
      <w:r w:rsidRPr="00384490"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Powyższy przykład stanowi argument na rzecz tezy, że warto lączyć analizę psych</w:t>
      </w:r>
      <w:r>
        <w:rPr>
          <w:rStyle w:val="Hipercze"/>
          <w:noProof/>
          <w:color w:val="000000" w:themeColor="text1"/>
          <w:sz w:val="26"/>
          <w:szCs w:val="26"/>
          <w:u w:val="none"/>
          <w:lang w:eastAsia="pl-PL"/>
        </w:rPr>
        <w:t>ologiczną z analizą techniczną.</w:t>
      </w:r>
    </w:p>
    <w:p w:rsidR="007004E1" w:rsidRPr="007004E1" w:rsidRDefault="007004E1" w:rsidP="007004E1">
      <w:pPr>
        <w:shd w:val="clear" w:color="auto" w:fill="FFFF00"/>
      </w:pPr>
      <w:r w:rsidRPr="007004E1">
        <w:rPr>
          <w:noProof/>
          <w:lang w:eastAsia="pl-PL"/>
        </w:rPr>
        <w:lastRenderedPageBreak/>
        <w:drawing>
          <wp:inline distT="0" distB="0" distL="0" distR="0" wp14:anchorId="5D0E76DB" wp14:editId="0EF29038">
            <wp:extent cx="923925" cy="1318133"/>
            <wp:effectExtent l="0" t="0" r="0" b="0"/>
            <wp:docPr id="5" name="Obraz 5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E1" w:rsidRPr="007004E1" w:rsidRDefault="007004E1" w:rsidP="007004E1">
      <w:pPr>
        <w:shd w:val="clear" w:color="auto" w:fill="FFFF00"/>
      </w:pPr>
    </w:p>
    <w:p w:rsidR="007004E1" w:rsidRPr="007004E1" w:rsidRDefault="007004E1" w:rsidP="007004E1">
      <w:pPr>
        <w:shd w:val="clear" w:color="auto" w:fill="FFFF00"/>
        <w:jc w:val="center"/>
        <w:rPr>
          <w:sz w:val="140"/>
          <w:szCs w:val="140"/>
        </w:rPr>
      </w:pPr>
      <w:r w:rsidRPr="007004E1">
        <w:rPr>
          <w:sz w:val="140"/>
          <w:szCs w:val="140"/>
        </w:rPr>
        <w:t>Rubryka</w:t>
      </w:r>
    </w:p>
    <w:p w:rsidR="007004E1" w:rsidRPr="007004E1" w:rsidRDefault="007004E1" w:rsidP="007004E1">
      <w:pPr>
        <w:shd w:val="clear" w:color="auto" w:fill="FFFF00"/>
        <w:jc w:val="center"/>
        <w:rPr>
          <w:sz w:val="90"/>
          <w:szCs w:val="90"/>
        </w:rPr>
      </w:pPr>
      <w:r w:rsidRPr="007004E1">
        <w:rPr>
          <w:sz w:val="140"/>
          <w:szCs w:val="140"/>
        </w:rPr>
        <w:t>,,Wykres do przemyślenia”</w:t>
      </w:r>
    </w:p>
    <w:p w:rsidR="007004E1" w:rsidRPr="007004E1" w:rsidRDefault="007004E1" w:rsidP="007004E1">
      <w:pPr>
        <w:shd w:val="clear" w:color="auto" w:fill="FFFF00"/>
        <w:jc w:val="center"/>
        <w:rPr>
          <w:sz w:val="50"/>
          <w:szCs w:val="50"/>
        </w:rPr>
      </w:pPr>
      <w:r w:rsidRPr="007004E1">
        <w:rPr>
          <w:sz w:val="50"/>
          <w:szCs w:val="50"/>
        </w:rPr>
        <w:t>Sławomir Kłusek</w:t>
      </w:r>
    </w:p>
    <w:p w:rsidR="007004E1" w:rsidRPr="007004E1" w:rsidRDefault="007004E1" w:rsidP="007004E1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r w:rsidRPr="007004E1">
        <w:rPr>
          <w:smallCaps/>
          <w:color w:val="FFFFFF" w:themeColor="background1"/>
          <w:sz w:val="90"/>
          <w:szCs w:val="90"/>
        </w:rPr>
        <w:t>analizy-rynkowe.pl</w:t>
      </w:r>
    </w:p>
    <w:p w:rsidR="007004E1" w:rsidRPr="007004E1" w:rsidRDefault="007004E1" w:rsidP="007004E1">
      <w:pPr>
        <w:shd w:val="clear" w:color="auto" w:fill="FFFF00"/>
        <w:jc w:val="center"/>
        <w:rPr>
          <w:sz w:val="50"/>
          <w:szCs w:val="50"/>
        </w:rPr>
      </w:pPr>
    </w:p>
    <w:p w:rsidR="007004E1" w:rsidRPr="007004E1" w:rsidRDefault="007004E1" w:rsidP="007004E1">
      <w:pPr>
        <w:shd w:val="clear" w:color="auto" w:fill="FFFF00"/>
        <w:jc w:val="center"/>
        <w:rPr>
          <w:sz w:val="50"/>
          <w:szCs w:val="50"/>
        </w:rPr>
      </w:pPr>
    </w:p>
    <w:p w:rsidR="007004E1" w:rsidRPr="007004E1" w:rsidRDefault="007004E1" w:rsidP="007004E1">
      <w:pPr>
        <w:shd w:val="clear" w:color="auto" w:fill="FFFF00"/>
        <w:jc w:val="center"/>
        <w:rPr>
          <w:sz w:val="50"/>
          <w:szCs w:val="50"/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,,Wykres do przemyślenia” w okresie 12 pierwszych miesięcy po jej wprowadzeniu do tej rubryki była dotychczas </w:t>
      </w:r>
      <w:r w:rsidRPr="007004E1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21,6 punku procentowego od WIG-u</w:t>
      </w: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</w:t>
      </w: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stanu </w:t>
      </w: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384490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października </w:t>
      </w: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roku  </w:t>
      </w: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Dla 3</w:t>
      </w:r>
      <w:r w:rsidR="000C2D18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 wprowadzenia spółki do rubryki ,,Wykres do przemyślenia” można już obliczyć poziom 12-miesięcznej procentowej zmiany kursu akcji po wprowadzeniu danej spółki do rubryki ,,Wykres do przemyślenia”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 lista tych 3</w:t>
      </w:r>
      <w:r w:rsidR="000C2D18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przypadków: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ELEKTROTIM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7004E1" w:rsidRPr="002D09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7004E1" w:rsidRPr="000C2D18" w:rsidRDefault="007004E1" w:rsidP="007004E1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0C2D18" w:rsidRPr="000C2D18" w:rsidRDefault="000C2D18" w:rsidP="007004E1">
      <w:pPr>
        <w:spacing w:after="0" w:line="240" w:lineRule="auto"/>
        <w:jc w:val="both"/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NETMEDIA </w:t>
      </w:r>
      <w:r w:rsidRPr="000C2D18"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 raz drugi) </w:t>
      </w:r>
    </w:p>
    <w:p w:rsidR="000C2D18" w:rsidRPr="007004E1" w:rsidRDefault="000C2D18" w:rsidP="007004E1">
      <w:pPr>
        <w:spacing w:after="0" w:line="240" w:lineRule="auto"/>
        <w:jc w:val="both"/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STALPRODUKT </w:t>
      </w:r>
      <w:r w:rsidRPr="000C2D18"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 raz drugi)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,,Wykres do przemyślenia” oraz zmiana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7004E1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7004E1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>Nazwa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04E1" w:rsidRPr="007004E1" w:rsidRDefault="007004E1" w:rsidP="007004E1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7004E1" w:rsidRPr="007004E1" w:rsidRDefault="007004E1" w:rsidP="007004E1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AGORA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 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</w:t>
            </w:r>
            <w:r w:rsidR="000C2D18">
              <w:rPr>
                <w:sz w:val="24"/>
                <w:szCs w:val="24"/>
              </w:rPr>
              <w:t xml:space="preserve"> </w:t>
            </w:r>
            <w:r w:rsidRPr="007004E1">
              <w:rPr>
                <w:sz w:val="24"/>
                <w:szCs w:val="24"/>
              </w:rPr>
              <w:t>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8,1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BZWBK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>-18,0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 -7,0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</w:t>
            </w:r>
            <w:r w:rsidR="000C2D18">
              <w:rPr>
                <w:sz w:val="24"/>
                <w:szCs w:val="24"/>
              </w:rPr>
              <w:t xml:space="preserve"> </w:t>
            </w:r>
            <w:r w:rsidRPr="007004E1">
              <w:rPr>
                <w:sz w:val="24"/>
                <w:szCs w:val="24"/>
              </w:rPr>
              <w:t>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1" w:rsidRPr="007004E1" w:rsidRDefault="007004E1" w:rsidP="007004E1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6,8</w:t>
            </w:r>
          </w:p>
        </w:tc>
      </w:tr>
      <w:tr w:rsidR="000C2D18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-17,6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0,1</w:t>
            </w:r>
          </w:p>
        </w:tc>
      </w:tr>
      <w:tr w:rsidR="000C2D18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30,8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-17,6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8" w:rsidRPr="000C2D18" w:rsidRDefault="000C2D18" w:rsidP="000C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0,1</w:t>
            </w:r>
          </w:p>
        </w:tc>
      </w:tr>
      <w:tr w:rsidR="007004E1" w:rsidRPr="007004E1" w:rsidTr="00AE720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7004E1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0C2D1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12,</w:t>
            </w:r>
            <w:r w:rsidR="000C2D18">
              <w:rPr>
                <w:rFonts w:eastAsiaTheme="minorEastAsia"/>
                <w:b/>
                <w:sz w:val="40"/>
                <w:szCs w:val="40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7004E1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-18,4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0C2D1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-9,</w:t>
            </w:r>
            <w:r w:rsidR="000C2D18">
              <w:rPr>
                <w:rFonts w:eastAsiaTheme="minorEastAsia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7004E1" w:rsidP="000C2D1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0,</w:t>
            </w:r>
            <w:r w:rsidR="000C2D18">
              <w:rPr>
                <w:rFonts w:eastAsiaTheme="minorEastAsia"/>
                <w:b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1" w:rsidRPr="007004E1" w:rsidRDefault="000C2D18" w:rsidP="000C2D1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4</w:t>
            </w:r>
            <w:r w:rsidR="007004E1"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7</w:t>
            </w:r>
          </w:p>
        </w:tc>
      </w:tr>
    </w:tbl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7004E1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,,Wykres do przemyślenia” w okresie 12 pierwszych miesięcy po jej wprowadzeniu do tej rubryki wynosiła średnio </w:t>
      </w:r>
      <w:r w:rsidRPr="007004E1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</w:t>
      </w:r>
      <w:r w:rsidR="00526BA1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004E1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18,4 %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minus 9,</w:t>
      </w:r>
      <w:r w:rsidR="00526BA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%,  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mWIG 20 </w:t>
      </w:r>
      <w:r w:rsidR="00526BA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0,</w:t>
      </w:r>
      <w:r w:rsidR="00526BA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a  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sWIG80 plus </w:t>
      </w:r>
      <w:r w:rsidR="00526BA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26BA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7004E1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 xml:space="preserve">Dodatek graficzny: Średnia procentowa zmiana kursu akcji spółki po wprowadzeniu jej do rubryki ,,Wykres do przemyślenia” w okresie 12 pierwszych miesięcy po jej wprowadzeniu do tej rubryki oraz średnia procentowa zmiana 4 kluczowych indeksów polskiego rynku akcji w tym okresie </w:t>
      </w: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7004E1">
        <w:rPr>
          <w:rFonts w:eastAsiaTheme="minorEastAsia"/>
          <w:noProof/>
          <w:lang w:eastAsia="pl-PL"/>
        </w:rPr>
        <w:drawing>
          <wp:inline distT="0" distB="0" distL="0" distR="0" wp14:anchorId="3865BCE9" wp14:editId="320D0F36">
            <wp:extent cx="5572125" cy="76485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04E1" w:rsidRPr="007004E1" w:rsidRDefault="007004E1" w:rsidP="0070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Generalny wniosek:</w:t>
      </w:r>
    </w:p>
    <w:p w:rsidR="007004E1" w:rsidRPr="007004E1" w:rsidRDefault="007004E1" w:rsidP="0070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kursy akcji spółki po wprowadzeniu jej do rubryki ,,Wykres do przemyślenia” zasadniczo rzecz biorąc wykazują relatywną przewagę nad indeksami:  WIG20, WIG, WIG40 oraz sWIG80</w:t>
      </w:r>
    </w:p>
    <w:p w:rsidR="007004E1" w:rsidRPr="007004E1" w:rsidRDefault="007004E1" w:rsidP="007004E1">
      <w:pPr>
        <w:rPr>
          <w:rFonts w:eastAsiaTheme="minorEastAsia"/>
          <w:lang w:eastAsia="pl-PL"/>
        </w:rPr>
      </w:pPr>
    </w:p>
    <w:p w:rsidR="007004E1" w:rsidRPr="007004E1" w:rsidRDefault="007004E1" w:rsidP="007004E1">
      <w:pPr>
        <w:rPr>
          <w:rFonts w:eastAsiaTheme="minorEastAsia"/>
          <w:lang w:eastAsia="pl-PL"/>
        </w:rPr>
      </w:pPr>
    </w:p>
    <w:p w:rsidR="007004E1" w:rsidRPr="007004E1" w:rsidRDefault="007004E1" w:rsidP="0070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7004E1">
        <w:rPr>
          <w:rFonts w:eastAsiaTheme="minorEastAsia"/>
          <w:sz w:val="110"/>
          <w:szCs w:val="110"/>
          <w:lang w:eastAsia="pl-PL"/>
        </w:rPr>
        <w:t xml:space="preserve">Aby dowiedzieć się które spółki będą umieszczane w rubryce ,,Wykres do przemyślenia” warto często odwiedzać stronę internetową </w:t>
      </w:r>
      <w:r w:rsidRPr="007004E1">
        <w:rPr>
          <w:rFonts w:eastAsiaTheme="minorEastAsia"/>
          <w:color w:val="FF0000"/>
          <w:sz w:val="110"/>
          <w:szCs w:val="110"/>
          <w:lang w:eastAsia="pl-PL"/>
        </w:rPr>
        <w:t>analizy-rynkowe.pl</w:t>
      </w:r>
    </w:p>
    <w:p w:rsidR="007004E1" w:rsidRPr="007004E1" w:rsidRDefault="007004E1" w:rsidP="007004E1">
      <w:pPr>
        <w:rPr>
          <w:rFonts w:eastAsiaTheme="minorEastAsia"/>
          <w:lang w:eastAsia="pl-PL"/>
        </w:rPr>
      </w:pPr>
    </w:p>
    <w:p w:rsidR="007004E1" w:rsidRPr="007004E1" w:rsidRDefault="007004E1" w:rsidP="007004E1">
      <w:pPr>
        <w:rPr>
          <w:rFonts w:eastAsiaTheme="minorEastAsia"/>
          <w:lang w:eastAsia="pl-PL"/>
        </w:rPr>
      </w:pPr>
    </w:p>
    <w:p w:rsidR="007004E1" w:rsidRPr="007004E1" w:rsidRDefault="007004E1" w:rsidP="007004E1">
      <w:pPr>
        <w:spacing w:after="0" w:line="240" w:lineRule="auto"/>
        <w:jc w:val="both"/>
      </w:pPr>
    </w:p>
    <w:p w:rsidR="007004E1" w:rsidRPr="007004E1" w:rsidRDefault="007004E1" w:rsidP="007004E1">
      <w:pPr>
        <w:spacing w:after="0" w:line="240" w:lineRule="auto"/>
        <w:jc w:val="both"/>
      </w:pPr>
    </w:p>
    <w:p w:rsidR="007004E1" w:rsidRPr="007004E1" w:rsidRDefault="007004E1" w:rsidP="007004E1">
      <w:pPr>
        <w:spacing w:after="0" w:line="240" w:lineRule="auto"/>
        <w:jc w:val="both"/>
      </w:pPr>
    </w:p>
    <w:p w:rsidR="007004E1" w:rsidRPr="007004E1" w:rsidRDefault="007004E1" w:rsidP="007004E1">
      <w:pPr>
        <w:spacing w:after="0" w:line="240" w:lineRule="auto"/>
        <w:jc w:val="both"/>
        <w:rPr>
          <w:rFonts w:eastAsia="Times New Roman" w:cs="Times New Roman"/>
          <w:b/>
        </w:rPr>
      </w:pPr>
      <w:r w:rsidRPr="007004E1">
        <w:rPr>
          <w:rFonts w:eastAsia="Times New Roman" w:cs="Times New Roman"/>
          <w:b/>
        </w:rPr>
        <w:t>Wnioski końcowe</w:t>
      </w:r>
    </w:p>
    <w:p w:rsidR="007004E1" w:rsidRPr="007004E1" w:rsidRDefault="007004E1" w:rsidP="007004E1">
      <w:pPr>
        <w:spacing w:after="0" w:line="240" w:lineRule="auto"/>
        <w:jc w:val="both"/>
        <w:rPr>
          <w:rFonts w:eastAsia="Times New Roman" w:cs="Times New Roman"/>
        </w:rPr>
      </w:pPr>
    </w:p>
    <w:p w:rsidR="007004E1" w:rsidRPr="007004E1" w:rsidRDefault="007004E1" w:rsidP="007004E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7004E1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7004E1">
        <w:rPr>
          <w:rFonts w:eastAsia="Times New Roman" w:cs="Times New Roman"/>
          <w:b/>
          <w:color w:val="FF0000"/>
        </w:rPr>
        <w:t>3,7230 zł</w:t>
      </w:r>
      <w:r w:rsidRPr="007004E1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7004E1" w:rsidRPr="007004E1" w:rsidRDefault="007004E1" w:rsidP="007004E1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7004E1" w:rsidRPr="007004E1" w:rsidRDefault="007004E1" w:rsidP="007004E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7004E1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7004E1">
        <w:rPr>
          <w:rFonts w:eastAsia="Times New Roman" w:cs="Times New Roman"/>
          <w:b/>
          <w:color w:val="FF0000"/>
        </w:rPr>
        <w:t>4,2409 zł</w:t>
      </w:r>
      <w:r w:rsidRPr="007004E1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7004E1" w:rsidRPr="007004E1" w:rsidRDefault="007004E1" w:rsidP="007004E1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7004E1" w:rsidRPr="007004E1" w:rsidRDefault="007004E1" w:rsidP="007004E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7004E1">
        <w:rPr>
          <w:rFonts w:eastAsia="Times New Roman" w:cs="Times New Roman"/>
          <w:color w:val="000000" w:themeColor="text1"/>
        </w:rPr>
        <w:t xml:space="preserve">Początkowo </w:t>
      </w:r>
      <w:r w:rsidRPr="007004E1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7004E1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7004E1">
        <w:rPr>
          <w:rFonts w:eastAsia="Times New Roman" w:cs="Times New Roman"/>
          <w:b/>
          <w:color w:val="000000" w:themeColor="text1"/>
        </w:rPr>
        <w:t>doszło do ,,spalenia” formacji podwójnego szczytu.</w:t>
      </w:r>
      <w:r w:rsidRPr="007004E1">
        <w:rPr>
          <w:rFonts w:eastAsia="Times New Roman" w:cs="Times New Roman"/>
          <w:color w:val="000000" w:themeColor="text1"/>
        </w:rPr>
        <w:t xml:space="preserve"> Pojawił się wiec bardzo </w:t>
      </w:r>
      <w:r w:rsidRPr="007004E1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7004E1" w:rsidRPr="007004E1" w:rsidRDefault="007004E1" w:rsidP="007004E1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7004E1" w:rsidRPr="00384490" w:rsidRDefault="00384490" w:rsidP="00384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384490">
        <w:rPr>
          <w:rFonts w:eastAsia="Times New Roman" w:cs="Times New Roman"/>
          <w:color w:val="000000" w:themeColor="text1"/>
        </w:rPr>
        <w:t>Na wykresie siły względnej WIG20/USD-PLN stworzonej w oparciu o dane kwartalne w pobliżu ważnej linii wsparcia pojawiła się formacja harami, co stwarza szansę na wzrosty indeksu WIG20 związane z realną napływu kapitału zagranicznego.</w:t>
      </w:r>
      <w:r w:rsidR="007004E1" w:rsidRPr="00384490">
        <w:rPr>
          <w:rFonts w:eastAsia="Times New Roman" w:cs="Times New Roman"/>
          <w:color w:val="000000" w:themeColor="text1"/>
        </w:rPr>
        <w:t xml:space="preserve"> </w:t>
      </w:r>
      <w:r w:rsidR="007004E1" w:rsidRPr="00384490">
        <w:rPr>
          <w:rFonts w:eastAsia="Times New Roman" w:cs="Times New Roman"/>
          <w:b/>
          <w:color w:val="000000" w:themeColor="text1"/>
        </w:rPr>
        <w:t>Wskaźnik C/WK dla indeksu WIG20 jest bardzo niski i wynosi 1,1</w:t>
      </w:r>
      <w:r w:rsidR="007004E1" w:rsidRPr="00384490">
        <w:rPr>
          <w:rFonts w:eastAsia="Times New Roman" w:cs="Times New Roman"/>
          <w:color w:val="000000" w:themeColor="text1"/>
        </w:rPr>
        <w:t xml:space="preserve">. </w:t>
      </w:r>
      <w:r w:rsidRPr="00384490">
        <w:rPr>
          <w:rFonts w:eastAsia="Times New Roman" w:cs="Times New Roman"/>
          <w:color w:val="000000" w:themeColor="text1"/>
        </w:rPr>
        <w:t>Z najnowszego badania Sto</w:t>
      </w:r>
      <w:r>
        <w:rPr>
          <w:rFonts w:eastAsia="Times New Roman" w:cs="Times New Roman"/>
          <w:color w:val="000000" w:themeColor="text1"/>
        </w:rPr>
        <w:t>wa</w:t>
      </w:r>
      <w:r w:rsidRPr="00384490">
        <w:rPr>
          <w:rFonts w:eastAsia="Times New Roman" w:cs="Times New Roman"/>
          <w:color w:val="000000" w:themeColor="text1"/>
        </w:rPr>
        <w:t>rzyszenia Inwestorów Indywidualnych wynika, że odsetek inwestorów spodziewających się wzrostów kursów polskich akcji na przestrzeni najbliższych 6 miesi</w:t>
      </w:r>
      <w:r>
        <w:rPr>
          <w:rFonts w:eastAsia="Times New Roman" w:cs="Times New Roman"/>
          <w:color w:val="000000" w:themeColor="text1"/>
        </w:rPr>
        <w:t>ęcy</w:t>
      </w:r>
      <w:r w:rsidRPr="00384490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j</w:t>
      </w:r>
      <w:r w:rsidRPr="00384490">
        <w:rPr>
          <w:rFonts w:eastAsia="Times New Roman" w:cs="Times New Roman"/>
          <w:color w:val="000000" w:themeColor="text1"/>
        </w:rPr>
        <w:t>est większy, niż odset</w:t>
      </w:r>
      <w:r>
        <w:rPr>
          <w:rFonts w:eastAsia="Times New Roman" w:cs="Times New Roman"/>
          <w:color w:val="000000" w:themeColor="text1"/>
        </w:rPr>
        <w:t>e</w:t>
      </w:r>
      <w:r w:rsidRPr="00384490">
        <w:rPr>
          <w:rFonts w:eastAsia="Times New Roman" w:cs="Times New Roman"/>
          <w:color w:val="000000" w:themeColor="text1"/>
        </w:rPr>
        <w:t>k inw</w:t>
      </w:r>
      <w:r>
        <w:rPr>
          <w:rFonts w:eastAsia="Times New Roman" w:cs="Times New Roman"/>
          <w:color w:val="000000" w:themeColor="text1"/>
        </w:rPr>
        <w:t xml:space="preserve">estorów </w:t>
      </w:r>
      <w:r w:rsidRPr="00384490">
        <w:rPr>
          <w:rFonts w:eastAsia="Times New Roman" w:cs="Times New Roman"/>
          <w:color w:val="000000" w:themeColor="text1"/>
        </w:rPr>
        <w:t>oczekujących spadków cen owych akcji. Zgodnie z zasadą ,,kupuj pesymizm, sprzedawaj optymizm” stanowi to sygnał kupna.</w:t>
      </w:r>
    </w:p>
    <w:p w:rsidR="00384490" w:rsidRPr="00384490" w:rsidRDefault="00384490" w:rsidP="00384490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="Times New Roman" w:cs="Times New Roman"/>
        </w:rPr>
      </w:pPr>
      <w:r w:rsidRPr="007004E1">
        <w:rPr>
          <w:rFonts w:eastAsia="Times New Roman" w:cs="Times New Roman"/>
        </w:rPr>
        <w:t xml:space="preserve">Opracował: Sławomir Kłusek, </w:t>
      </w:r>
      <w:r w:rsidR="00384490">
        <w:rPr>
          <w:rFonts w:eastAsia="Times New Roman" w:cs="Times New Roman"/>
        </w:rPr>
        <w:t>10</w:t>
      </w:r>
      <w:r w:rsidRPr="007004E1">
        <w:rPr>
          <w:rFonts w:eastAsia="Times New Roman" w:cs="Times New Roman"/>
        </w:rPr>
        <w:t xml:space="preserve"> października 2016 roku</w:t>
      </w:r>
    </w:p>
    <w:p w:rsidR="007004E1" w:rsidRPr="007004E1" w:rsidRDefault="007004E1" w:rsidP="007004E1">
      <w:pPr>
        <w:spacing w:after="0" w:line="240" w:lineRule="auto"/>
        <w:jc w:val="both"/>
        <w:rPr>
          <w:rFonts w:eastAsia="Times New Roman" w:cs="Times New Roman"/>
        </w:rPr>
      </w:pPr>
    </w:p>
    <w:p w:rsidR="007004E1" w:rsidRPr="007004E1" w:rsidRDefault="007004E1" w:rsidP="007004E1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</w:rPr>
      </w:pPr>
      <w:r w:rsidRPr="007004E1">
        <w:rPr>
          <w:rFonts w:eastAsia="Times New Roman" w:cs="Times New Roman"/>
          <w:i/>
        </w:rPr>
        <w:t xml:space="preserve">Powyższy raport stanowi wyłącznie wyraz osobistych opinii autora. Treści zawarte na stronie internetowej </w:t>
      </w:r>
      <w:r w:rsidRPr="007004E1">
        <w:rPr>
          <w:rFonts w:eastAsia="Times New Roman" w:cs="Times New Roman"/>
          <w:b/>
          <w:i/>
        </w:rPr>
        <w:t>analizy-rynkowe.pl</w:t>
      </w:r>
      <w:r w:rsidRPr="007004E1">
        <w:rPr>
          <w:rFonts w:eastAsia="Times New Roman" w:cs="Times New Roman"/>
          <w:i/>
        </w:rPr>
        <w:t xml:space="preserve">  stanowią „rekomendacji” w rozumieniu przepisów Rozporządzenia Ministra Finansów z dnia 19 października 2005 r. w sprawie informacji stanowiących rekomendacje dotyczące instrumentów finansowych, lub ich emitentów (Dz.U. z 2005 r. Nr 206, poz. 1715). Autor nie ponosi odpowiedzialności za jakiekolwiek decyzje inwestycyjne podjęte na podstawie treści zawartych na stronie internetowej </w:t>
      </w:r>
      <w:r w:rsidRPr="007004E1">
        <w:rPr>
          <w:rFonts w:eastAsia="Times New Roman" w:cs="Times New Roman"/>
          <w:b/>
          <w:i/>
          <w:color w:val="000000" w:themeColor="text1"/>
        </w:rPr>
        <w:t>analizy-rynkowe.pl</w:t>
      </w:r>
      <w:r w:rsidRPr="007004E1">
        <w:rPr>
          <w:rFonts w:eastAsia="Times New Roman" w:cs="Times New Roman"/>
          <w:i/>
          <w:color w:val="000000" w:themeColor="text1"/>
        </w:rPr>
        <w:t>.</w:t>
      </w:r>
    </w:p>
    <w:p w:rsidR="007004E1" w:rsidRPr="007004E1" w:rsidRDefault="007004E1" w:rsidP="007004E1">
      <w:pPr>
        <w:spacing w:after="0" w:line="240" w:lineRule="auto"/>
        <w:jc w:val="both"/>
        <w:rPr>
          <w:b/>
        </w:rPr>
      </w:pPr>
    </w:p>
    <w:p w:rsidR="007004E1" w:rsidRPr="007004E1" w:rsidRDefault="007004E1" w:rsidP="007004E1">
      <w:pPr>
        <w:spacing w:after="0" w:line="240" w:lineRule="auto"/>
        <w:jc w:val="both"/>
        <w:rPr>
          <w:sz w:val="26"/>
          <w:szCs w:val="26"/>
        </w:rPr>
      </w:pPr>
    </w:p>
    <w:p w:rsidR="007004E1" w:rsidRPr="007004E1" w:rsidRDefault="007004E1" w:rsidP="007004E1"/>
    <w:p w:rsidR="007004E1" w:rsidRPr="007004E1" w:rsidRDefault="007004E1" w:rsidP="007004E1"/>
    <w:p w:rsidR="00A72173" w:rsidRDefault="00A72173"/>
    <w:sectPr w:rsidR="00A72173" w:rsidSect="00FF5F52">
      <w:footerReference w:type="defaul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61" w:rsidRDefault="00DB4961">
      <w:pPr>
        <w:spacing w:after="0" w:line="240" w:lineRule="auto"/>
      </w:pPr>
      <w:r>
        <w:separator/>
      </w:r>
    </w:p>
  </w:endnote>
  <w:endnote w:type="continuationSeparator" w:id="0">
    <w:p w:rsidR="00DB4961" w:rsidRDefault="00DB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526B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B7B">
          <w:rPr>
            <w:noProof/>
          </w:rPr>
          <w:t>10</w:t>
        </w:r>
        <w:r>
          <w:fldChar w:fldCharType="end"/>
        </w:r>
      </w:p>
    </w:sdtContent>
  </w:sdt>
  <w:p w:rsidR="00FF5F52" w:rsidRDefault="00DB4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61" w:rsidRDefault="00DB4961">
      <w:pPr>
        <w:spacing w:after="0" w:line="240" w:lineRule="auto"/>
      </w:pPr>
      <w:r>
        <w:separator/>
      </w:r>
    </w:p>
  </w:footnote>
  <w:footnote w:type="continuationSeparator" w:id="0">
    <w:p w:rsidR="00DB4961" w:rsidRDefault="00DB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7143B"/>
    <w:multiLevelType w:val="hybridMultilevel"/>
    <w:tmpl w:val="B6705ADC"/>
    <w:lvl w:ilvl="0" w:tplc="395E489A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1"/>
    <w:rsid w:val="000C2D18"/>
    <w:rsid w:val="002D0918"/>
    <w:rsid w:val="0038162C"/>
    <w:rsid w:val="00384490"/>
    <w:rsid w:val="0043667A"/>
    <w:rsid w:val="004D351A"/>
    <w:rsid w:val="00526BA1"/>
    <w:rsid w:val="007004E1"/>
    <w:rsid w:val="007633C2"/>
    <w:rsid w:val="00A72173"/>
    <w:rsid w:val="00C81B7B"/>
    <w:rsid w:val="00D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04E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04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0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4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44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44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04E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04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0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4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44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44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tooq.pl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analizy-rynkowe.pl/w-jaki-sposob-mozna-polaczyc-metode-typowego-lub-nietypowego-podwojnego-dna-z-metoda-wyszukiwania-spolek-ktore-przebily-swe-52-tygodniowe-maksimum-oraz-metoda-psychologicz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izy-rynkowe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ssa.pl/edukacja/AT/swiecowe/odwrroce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i.org.pl/3438/edukacja-i-analizy/indeks-nastrojow-inwestorow.html" TargetMode="External"/><Relationship Id="rId10" Type="http://schemas.openxmlformats.org/officeDocument/2006/relationships/image" Target="media/image3.gif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stooq.pl/q/?s=wig20_pb&amp;c=20y&amp;t=l&amp;a=lg&amp;b=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12.6</c:v>
                </c:pt>
                <c:pt idx="1">
                  <c:v>4.7</c:v>
                </c:pt>
                <c:pt idx="2">
                  <c:v>0.3</c:v>
                </c:pt>
                <c:pt idx="3">
                  <c:v>-9.4</c:v>
                </c:pt>
                <c:pt idx="4">
                  <c:v>-18.399999999999999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63936"/>
        <c:axId val="132341760"/>
      </c:barChart>
      <c:catAx>
        <c:axId val="1322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341760"/>
        <c:crosses val="autoZero"/>
        <c:auto val="1"/>
        <c:lblAlgn val="ctr"/>
        <c:lblOffset val="100"/>
        <c:noMultiLvlLbl val="0"/>
      </c:catAx>
      <c:valAx>
        <c:axId val="1323417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2263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2016-10-09T12:36:00Z</dcterms:created>
  <dcterms:modified xsi:type="dcterms:W3CDTF">2016-10-09T12:36:00Z</dcterms:modified>
</cp:coreProperties>
</file>