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27" w:rsidRPr="00EF7224" w:rsidRDefault="00222D27" w:rsidP="00222D27">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bookmarkStart w:id="0" w:name="_GoBack"/>
      <w:bookmarkEnd w:id="0"/>
      <w:r w:rsidRPr="00EF7224">
        <w:rPr>
          <w:color w:val="FF0000"/>
          <w:sz w:val="180"/>
          <w:szCs w:val="180"/>
          <w14:shadow w14:blurRad="50800" w14:dist="38100" w14:dir="2700000" w14:sx="100000" w14:sy="100000" w14:kx="0" w14:ky="0" w14:algn="tl">
            <w14:srgbClr w14:val="000000">
              <w14:alpha w14:val="60000"/>
            </w14:srgbClr>
          </w14:shadow>
        </w:rPr>
        <w:t>Raport</w:t>
      </w:r>
    </w:p>
    <w:p w:rsidR="00222D27" w:rsidRPr="00EF7224" w:rsidRDefault="00222D27" w:rsidP="00222D27">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r w:rsidRPr="00EF7224">
        <w:rPr>
          <w:color w:val="FF0000"/>
          <w:sz w:val="180"/>
          <w:szCs w:val="180"/>
          <w14:shadow w14:blurRad="50800" w14:dist="38100" w14:dir="2700000" w14:sx="100000" w14:sy="100000" w14:kx="0" w14:ky="0" w14:algn="tl">
            <w14:srgbClr w14:val="000000">
              <w14:alpha w14:val="60000"/>
            </w14:srgbClr>
          </w14:shadow>
        </w:rPr>
        <w:t>Tygodniowy</w:t>
      </w:r>
    </w:p>
    <w:p w:rsidR="00222D27" w:rsidRPr="00EF7224" w:rsidRDefault="00222D27" w:rsidP="00222D27">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proofErr w:type="gramStart"/>
      <w:r w:rsidRPr="00EF7224">
        <w:rPr>
          <w:color w:val="FF0000"/>
          <w:sz w:val="100"/>
          <w:szCs w:val="100"/>
          <w14:shadow w14:blurRad="50800" w14:dist="38100" w14:dir="2700000" w14:sx="100000" w14:sy="100000" w14:kx="0" w14:ky="0" w14:algn="tl">
            <w14:srgbClr w14:val="000000">
              <w14:alpha w14:val="60000"/>
            </w14:srgbClr>
          </w14:shadow>
        </w:rPr>
        <w:t>o</w:t>
      </w:r>
      <w:proofErr w:type="gramEnd"/>
      <w:r w:rsidRPr="00EF7224">
        <w:rPr>
          <w:color w:val="FF0000"/>
          <w:sz w:val="100"/>
          <w:szCs w:val="100"/>
          <w14:shadow w14:blurRad="50800" w14:dist="38100" w14:dir="2700000" w14:sx="100000" w14:sy="100000" w14:kx="0" w14:ky="0" w14:algn="tl">
            <w14:srgbClr w14:val="000000">
              <w14:alpha w14:val="60000"/>
            </w14:srgbClr>
          </w14:shadow>
        </w:rPr>
        <w:t xml:space="preserve"> sytuacji na</w:t>
      </w:r>
    </w:p>
    <w:p w:rsidR="00222D27" w:rsidRPr="00EF7224" w:rsidRDefault="00222D27" w:rsidP="00222D27">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proofErr w:type="gramStart"/>
      <w:r w:rsidRPr="00EF7224">
        <w:rPr>
          <w:color w:val="FF0000"/>
          <w:sz w:val="100"/>
          <w:szCs w:val="100"/>
          <w14:shadow w14:blurRad="50800" w14:dist="38100" w14:dir="2700000" w14:sx="100000" w14:sy="100000" w14:kx="0" w14:ky="0" w14:algn="tl">
            <w14:srgbClr w14:val="000000">
              <w14:alpha w14:val="60000"/>
            </w14:srgbClr>
          </w14:shadow>
        </w:rPr>
        <w:t>rynkach</w:t>
      </w:r>
      <w:proofErr w:type="gramEnd"/>
      <w:r w:rsidRPr="00EF7224">
        <w:rPr>
          <w:color w:val="FF0000"/>
          <w:sz w:val="100"/>
          <w:szCs w:val="100"/>
          <w14:shadow w14:blurRad="50800" w14:dist="38100" w14:dir="2700000" w14:sx="100000" w14:sy="100000" w14:kx="0" w14:ky="0" w14:algn="tl">
            <w14:srgbClr w14:val="000000">
              <w14:alpha w14:val="60000"/>
            </w14:srgbClr>
          </w14:shadow>
        </w:rPr>
        <w:t xml:space="preserve"> finansowych</w:t>
      </w:r>
    </w:p>
    <w:p w:rsidR="00222D27" w:rsidRPr="00EF7224" w:rsidRDefault="00222D27" w:rsidP="00222D27">
      <w:pPr>
        <w:spacing w:after="0" w:line="240" w:lineRule="auto"/>
        <w:jc w:val="center"/>
        <w:rPr>
          <w:sz w:val="48"/>
          <w:szCs w:val="48"/>
        </w:rPr>
      </w:pPr>
    </w:p>
    <w:p w:rsidR="00222D27" w:rsidRPr="00EF7224" w:rsidRDefault="00222D27" w:rsidP="00222D27">
      <w:pPr>
        <w:spacing w:after="0" w:line="240" w:lineRule="auto"/>
        <w:jc w:val="center"/>
        <w:rPr>
          <w:sz w:val="48"/>
          <w:szCs w:val="48"/>
        </w:rPr>
      </w:pPr>
    </w:p>
    <w:p w:rsidR="00222D27" w:rsidRPr="00EF7224" w:rsidRDefault="00222D27" w:rsidP="00222D27">
      <w:pPr>
        <w:spacing w:after="0" w:line="240" w:lineRule="auto"/>
        <w:jc w:val="center"/>
        <w:rPr>
          <w:sz w:val="100"/>
          <w:szCs w:val="100"/>
          <w:u w:val="single"/>
          <w14:shadow w14:blurRad="50800" w14:dist="38100" w14:dir="2700000" w14:sx="100000" w14:sy="100000" w14:kx="0" w14:ky="0" w14:algn="tl">
            <w14:srgbClr w14:val="000000">
              <w14:alpha w14:val="60000"/>
            </w14:srgbClr>
          </w14:shadow>
        </w:rPr>
      </w:pPr>
      <w:r w:rsidRPr="00EF7224">
        <w:rPr>
          <w:sz w:val="100"/>
          <w:szCs w:val="100"/>
          <w:u w:val="single"/>
          <w14:shadow w14:blurRad="50800" w14:dist="38100" w14:dir="2700000" w14:sx="100000" w14:sy="100000" w14:kx="0" w14:ky="0" w14:algn="tl">
            <w14:srgbClr w14:val="000000">
              <w14:alpha w14:val="60000"/>
            </w14:srgbClr>
          </w14:shadow>
        </w:rPr>
        <w:t>Rynek walutowy</w:t>
      </w:r>
    </w:p>
    <w:p w:rsidR="00222D27" w:rsidRPr="00EF7224" w:rsidRDefault="00222D27" w:rsidP="00222D27">
      <w:pPr>
        <w:spacing w:after="0" w:line="240" w:lineRule="auto"/>
        <w:jc w:val="center"/>
        <w:rPr>
          <w:sz w:val="100"/>
          <w:szCs w:val="100"/>
          <w14:shadow w14:blurRad="50800" w14:dist="38100" w14:dir="2700000" w14:sx="100000" w14:sy="100000" w14:kx="0" w14:ky="0" w14:algn="tl">
            <w14:srgbClr w14:val="000000">
              <w14:alpha w14:val="60000"/>
            </w14:srgbClr>
          </w14:shadow>
        </w:rPr>
      </w:pPr>
    </w:p>
    <w:p w:rsidR="00222D27" w:rsidRPr="00EF7224" w:rsidRDefault="00222D27" w:rsidP="00222D27">
      <w:pPr>
        <w:jc w:val="center"/>
        <w:rPr>
          <w:sz w:val="100"/>
          <w:szCs w:val="100"/>
          <w:u w:val="single"/>
          <w14:shadow w14:blurRad="50800" w14:dist="38100" w14:dir="2700000" w14:sx="100000" w14:sy="100000" w14:kx="0" w14:ky="0" w14:algn="tl">
            <w14:srgbClr w14:val="000000">
              <w14:alpha w14:val="60000"/>
            </w14:srgbClr>
          </w14:shadow>
        </w:rPr>
      </w:pPr>
      <w:r w:rsidRPr="00EF7224">
        <w:rPr>
          <w:sz w:val="100"/>
          <w:szCs w:val="100"/>
          <w:u w:val="single"/>
          <w14:shadow w14:blurRad="50800" w14:dist="38100" w14:dir="2700000" w14:sx="100000" w14:sy="100000" w14:kx="0" w14:ky="0" w14:algn="tl">
            <w14:srgbClr w14:val="000000">
              <w14:alpha w14:val="60000"/>
            </w14:srgbClr>
          </w14:shadow>
        </w:rPr>
        <w:t>Rynek akcji</w:t>
      </w:r>
    </w:p>
    <w:p w:rsidR="00222D27" w:rsidRPr="00EF7224" w:rsidRDefault="00222D27" w:rsidP="00222D27">
      <w:pPr>
        <w:spacing w:after="0" w:line="240" w:lineRule="auto"/>
        <w:jc w:val="both"/>
        <w:rPr>
          <w:sz w:val="26"/>
          <w:szCs w:val="26"/>
        </w:rPr>
      </w:pPr>
    </w:p>
    <w:p w:rsidR="00222D27" w:rsidRDefault="00222D27" w:rsidP="00632E72">
      <w:pPr>
        <w:spacing w:after="0" w:line="240" w:lineRule="auto"/>
        <w:jc w:val="both"/>
        <w:rPr>
          <w:sz w:val="24"/>
          <w:szCs w:val="24"/>
          <w14:shadow w14:blurRad="50800" w14:dist="38100" w14:dir="2700000" w14:sx="100000" w14:sy="100000" w14:kx="0" w14:ky="0" w14:algn="tl">
            <w14:srgbClr w14:val="000000">
              <w14:alpha w14:val="60000"/>
            </w14:srgbClr>
          </w14:shadow>
        </w:rPr>
      </w:pPr>
    </w:p>
    <w:p w:rsidR="00632E72" w:rsidRPr="00EF7224" w:rsidRDefault="00632E72" w:rsidP="00632E72">
      <w:pPr>
        <w:spacing w:after="0" w:line="240" w:lineRule="auto"/>
        <w:jc w:val="both"/>
        <w:rPr>
          <w:sz w:val="24"/>
          <w:szCs w:val="24"/>
          <w14:shadow w14:blurRad="50800" w14:dist="38100" w14:dir="2700000" w14:sx="100000" w14:sy="100000" w14:kx="0" w14:ky="0" w14:algn="tl">
            <w14:srgbClr w14:val="000000">
              <w14:alpha w14:val="60000"/>
            </w14:srgbClr>
          </w14:shadow>
        </w:rPr>
      </w:pPr>
      <w:r w:rsidRPr="00EF7224">
        <w:rPr>
          <w:sz w:val="24"/>
          <w:szCs w:val="24"/>
          <w14:shadow w14:blurRad="50800" w14:dist="38100" w14:dir="2700000" w14:sx="100000" w14:sy="100000" w14:kx="0" w14:ky="0" w14:algn="tl">
            <w14:srgbClr w14:val="000000">
              <w14:alpha w14:val="60000"/>
            </w14:srgbClr>
          </w14:shadow>
        </w:rPr>
        <w:lastRenderedPageBreak/>
        <w:t xml:space="preserve">Poniedziałek, </w:t>
      </w:r>
      <w:r>
        <w:rPr>
          <w:sz w:val="24"/>
          <w:szCs w:val="24"/>
          <w14:shadow w14:blurRad="50800" w14:dist="38100" w14:dir="2700000" w14:sx="100000" w14:sy="100000" w14:kx="0" w14:ky="0" w14:algn="tl">
            <w14:srgbClr w14:val="000000">
              <w14:alpha w14:val="60000"/>
            </w14:srgbClr>
          </w14:shadow>
        </w:rPr>
        <w:t xml:space="preserve">12 września </w:t>
      </w:r>
      <w:r w:rsidRPr="00EF7224">
        <w:rPr>
          <w:sz w:val="24"/>
          <w:szCs w:val="24"/>
          <w14:shadow w14:blurRad="50800" w14:dist="38100" w14:dir="2700000" w14:sx="100000" w14:sy="100000" w14:kx="0" w14:ky="0" w14:algn="tl">
            <w14:srgbClr w14:val="000000">
              <w14:alpha w14:val="60000"/>
            </w14:srgbClr>
          </w14:shadow>
        </w:rPr>
        <w:t>2016 roku</w:t>
      </w:r>
    </w:p>
    <w:p w:rsidR="00632E72" w:rsidRPr="00EF7224" w:rsidRDefault="00632E72" w:rsidP="00632E72">
      <w:pPr>
        <w:pBdr>
          <w:top w:val="single" w:sz="4" w:space="1" w:color="auto"/>
          <w:left w:val="single" w:sz="4" w:space="4" w:color="auto"/>
          <w:bottom w:val="single" w:sz="4" w:space="1" w:color="auto"/>
          <w:right w:val="single" w:sz="4" w:space="4" w:color="auto"/>
        </w:pBdr>
        <w:spacing w:after="0" w:line="240" w:lineRule="auto"/>
        <w:jc w:val="center"/>
      </w:pPr>
      <w:r w:rsidRPr="00EF7224">
        <w:t xml:space="preserve">Kurs USD/PLN – perspektywa długoterminowa, kurs z </w:t>
      </w:r>
      <w:r>
        <w:t>9 września 2016 roku = 3,8649</w:t>
      </w:r>
    </w:p>
    <w:p w:rsidR="00632E72" w:rsidRPr="00EF7224" w:rsidRDefault="00632E72" w:rsidP="00632E72">
      <w:pPr>
        <w:spacing w:after="0" w:line="240" w:lineRule="auto"/>
        <w:jc w:val="both"/>
      </w:pPr>
      <w:r>
        <w:rPr>
          <w:noProof/>
          <w:lang w:eastAsia="pl-PL"/>
        </w:rPr>
        <w:drawing>
          <wp:inline distT="0" distB="0" distL="0" distR="0" wp14:anchorId="72A10DBA" wp14:editId="279899E6">
            <wp:extent cx="4829175" cy="29051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632E72" w:rsidRPr="00EF7224" w:rsidRDefault="00632E72" w:rsidP="00632E72">
      <w:pPr>
        <w:spacing w:after="0" w:line="240" w:lineRule="auto"/>
        <w:jc w:val="both"/>
        <w:rPr>
          <w:b/>
          <w:color w:val="FF0000"/>
        </w:rPr>
      </w:pPr>
      <w:r w:rsidRPr="00EF7224">
        <w:t xml:space="preserve">Kurs dolara amerykańskiego (w złotych) przebił zaznaczony na wykresie trend wzrostowy poprowadzony przez dołki z 9 lipca 2014 roku oraz 14 października 2015 roku. </w:t>
      </w:r>
      <w:r w:rsidRPr="00EF7224">
        <w:rPr>
          <w:b/>
        </w:rPr>
        <w:t>Pojawiła się szansa na wybicie z na razie tylko hipotetycznej formacji podwójnego szczytu</w:t>
      </w:r>
      <w:r w:rsidRPr="00EF7224">
        <w:t xml:space="preserve">. Dojdzie do tego wybicia, gdy kurs USD/PLN osiągnie (na zamknięciu notowań) poziom dołka z 4 kwietnia 2016 roku (3,7230 zł.). Realna perspektywa zmiany trendu ze wzrostowego na spadkowy może być związana z perspektywą napływu kapitału zagranicznego na polski rynek akcji. Średnia ruchoma z 200 sesji próbuje zmienić trend na spadkowy. </w:t>
      </w:r>
    </w:p>
    <w:p w:rsidR="00632E72" w:rsidRPr="00EF7224" w:rsidRDefault="00632E72" w:rsidP="00632E72">
      <w:pPr>
        <w:pBdr>
          <w:top w:val="single" w:sz="4" w:space="1" w:color="auto"/>
          <w:left w:val="single" w:sz="4" w:space="4" w:color="auto"/>
          <w:bottom w:val="single" w:sz="4" w:space="1" w:color="auto"/>
          <w:right w:val="single" w:sz="4" w:space="4" w:color="auto"/>
        </w:pBdr>
        <w:spacing w:after="0" w:line="240" w:lineRule="auto"/>
        <w:jc w:val="center"/>
      </w:pPr>
      <w:r w:rsidRPr="00EF7224">
        <w:t xml:space="preserve">Kurs EUR/PLN – perspektywa średniookresowa, kurs z </w:t>
      </w:r>
      <w:r>
        <w:t>9 września 2016 roku = 4,3389</w:t>
      </w:r>
    </w:p>
    <w:p w:rsidR="00632E72" w:rsidRPr="00EF7224" w:rsidRDefault="00632E72" w:rsidP="00632E72">
      <w:pPr>
        <w:spacing w:after="0" w:line="240" w:lineRule="auto"/>
        <w:jc w:val="both"/>
      </w:pPr>
      <w:r>
        <w:rPr>
          <w:noProof/>
          <w:lang w:eastAsia="pl-PL"/>
        </w:rPr>
        <w:drawing>
          <wp:inline distT="0" distB="0" distL="0" distR="0" wp14:anchorId="488D50E2" wp14:editId="7064B7E7">
            <wp:extent cx="4829175" cy="289560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895600"/>
                    </a:xfrm>
                    <a:prstGeom prst="rect">
                      <a:avLst/>
                    </a:prstGeom>
                    <a:noFill/>
                  </pic:spPr>
                </pic:pic>
              </a:graphicData>
            </a:graphic>
          </wp:inline>
        </w:drawing>
      </w:r>
    </w:p>
    <w:p w:rsidR="00632E72" w:rsidRDefault="00632E72" w:rsidP="00632E72">
      <w:pPr>
        <w:spacing w:after="0" w:line="240" w:lineRule="auto"/>
        <w:jc w:val="both"/>
      </w:pPr>
      <w:r w:rsidRPr="00EF7224">
        <w:t xml:space="preserve">Kurs euro amerykańskiego (w złotych) przebił zaznaczony na wykresie trend wzrostowy poprowadzony przez dołki z 27 kwietnia oraz 29 grudnia 2015 roku. </w:t>
      </w:r>
      <w:r w:rsidRPr="00EF7224">
        <w:rPr>
          <w:b/>
        </w:rPr>
        <w:t>Pojawiła się szansa na wybicie z na razie tylko hipotetycznej formacji podwójnego szczytu</w:t>
      </w:r>
      <w:r w:rsidRPr="00EF7224">
        <w:t xml:space="preserve">. Dojdzie do tego wybicia, gdy kurs USD/PLN osiągnie (na zamknięciu notowań) poziom dołka z 4 kwietnia 2016 roku (4,2409 zł.). Realna perspektywa zmiany trendu ze wzrostowego na spadkowy może być związana z perspektywą napływu kapitału zagranicznego na polski rynek akcji. Średnia ruchoma z 200 sesji próbuje zmienić trend na spadkowy. </w:t>
      </w:r>
    </w:p>
    <w:p w:rsidR="00222D27" w:rsidRDefault="00222D27" w:rsidP="00222D27">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4B3622">
        <w:rPr>
          <w:sz w:val="26"/>
          <w:szCs w:val="26"/>
        </w:rPr>
        <w:lastRenderedPageBreak/>
        <w:t>Formacja podwójnego dna w przypadku indeksu WIG20 wciąż niewypełniona</w:t>
      </w:r>
    </w:p>
    <w:p w:rsidR="00222D27" w:rsidRDefault="00222D27" w:rsidP="00222D27">
      <w:pPr>
        <w:pStyle w:val="Bezodstpw"/>
        <w:jc w:val="center"/>
        <w:rPr>
          <w:sz w:val="26"/>
          <w:szCs w:val="26"/>
        </w:rPr>
      </w:pPr>
    </w:p>
    <w:p w:rsidR="00222D27" w:rsidRDefault="00222D27" w:rsidP="00222D27">
      <w:pPr>
        <w:pStyle w:val="Bezodstpw"/>
        <w:jc w:val="both"/>
        <w:rPr>
          <w:sz w:val="26"/>
          <w:szCs w:val="26"/>
        </w:rPr>
      </w:pPr>
      <w:r>
        <w:rPr>
          <w:sz w:val="26"/>
          <w:szCs w:val="26"/>
        </w:rPr>
        <w:t xml:space="preserve">W poprzednim tygodniu indeks WIG20 stracił na wartości 0,8 %. Skala spadku nie </w:t>
      </w:r>
      <w:proofErr w:type="gramStart"/>
      <w:r>
        <w:rPr>
          <w:sz w:val="26"/>
          <w:szCs w:val="26"/>
        </w:rPr>
        <w:t>była więc</w:t>
      </w:r>
      <w:proofErr w:type="gramEnd"/>
      <w:r>
        <w:rPr>
          <w:sz w:val="26"/>
          <w:szCs w:val="26"/>
        </w:rPr>
        <w:t xml:space="preserve"> dramatyczna. Co więcej spadek ten był niższy, niż w przypadku indeksów z Niemiec, Francji, czy też USA. Nadal w przypadku indeksu WIG20 nie wypełniła się formacja podwójnego </w:t>
      </w:r>
      <w:proofErr w:type="gramStart"/>
      <w:r>
        <w:rPr>
          <w:sz w:val="26"/>
          <w:szCs w:val="26"/>
        </w:rPr>
        <w:t xml:space="preserve">dna. </w:t>
      </w:r>
      <w:proofErr w:type="gramEnd"/>
      <w:r>
        <w:rPr>
          <w:sz w:val="26"/>
          <w:szCs w:val="26"/>
        </w:rPr>
        <w:t xml:space="preserve">Gdyby formacja ta miała się wypełnić powinno dojść do wzrostu indeksu </w:t>
      </w:r>
      <w:r w:rsidRPr="00222D27">
        <w:rPr>
          <w:b/>
          <w:sz w:val="26"/>
          <w:szCs w:val="26"/>
        </w:rPr>
        <w:t>WIG20 do 1982,28 pkt</w:t>
      </w:r>
      <w:r>
        <w:rPr>
          <w:sz w:val="26"/>
          <w:szCs w:val="26"/>
        </w:rPr>
        <w:t xml:space="preserve">. Wciąż jest na to szansa. Co więcej z długoterminowego punktu widzenia wiele przemawia za tym, że rozpoczniemy niedługo w przypadku indeksu WIG20 silne, dłuższe </w:t>
      </w:r>
      <w:proofErr w:type="gramStart"/>
      <w:r>
        <w:rPr>
          <w:sz w:val="26"/>
          <w:szCs w:val="26"/>
        </w:rPr>
        <w:t xml:space="preserve">wzrosty. </w:t>
      </w:r>
      <w:proofErr w:type="gramEnd"/>
    </w:p>
    <w:p w:rsidR="00222D27" w:rsidRDefault="00222D27" w:rsidP="00222D27">
      <w:pPr>
        <w:pStyle w:val="Bezodstpw"/>
        <w:jc w:val="both"/>
        <w:rPr>
          <w:sz w:val="26"/>
          <w:szCs w:val="26"/>
        </w:rPr>
      </w:pPr>
    </w:p>
    <w:p w:rsidR="00222D27" w:rsidRDefault="00222D27" w:rsidP="00222D27">
      <w:pPr>
        <w:pStyle w:val="Bezodstpw"/>
        <w:jc w:val="both"/>
        <w:rPr>
          <w:b/>
          <w:sz w:val="26"/>
          <w:szCs w:val="26"/>
          <w:u w:val="single"/>
        </w:rPr>
      </w:pPr>
      <w:r w:rsidRPr="002C274F">
        <w:rPr>
          <w:b/>
          <w:sz w:val="26"/>
          <w:szCs w:val="26"/>
          <w:u w:val="single"/>
        </w:rPr>
        <w:t>WIG20</w:t>
      </w:r>
    </w:p>
    <w:p w:rsidR="00222D27" w:rsidRPr="002C274F" w:rsidRDefault="00222D27" w:rsidP="00222D27">
      <w:pPr>
        <w:pStyle w:val="Bezodstpw"/>
        <w:jc w:val="both"/>
        <w:rPr>
          <w:b/>
          <w:sz w:val="26"/>
          <w:szCs w:val="26"/>
          <w:u w:val="single"/>
        </w:rPr>
      </w:pPr>
      <w:r>
        <w:rPr>
          <w:b/>
          <w:noProof/>
          <w:sz w:val="26"/>
          <w:szCs w:val="26"/>
          <w:u w:val="single"/>
          <w:lang w:eastAsia="pl-PL"/>
        </w:rPr>
        <w:drawing>
          <wp:inline distT="0" distB="0" distL="0" distR="0" wp14:anchorId="0A849F27" wp14:editId="1CDA42BC">
            <wp:extent cx="5429250" cy="32575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222D27" w:rsidRPr="004B3622" w:rsidRDefault="00222D27" w:rsidP="00222D27">
      <w:pPr>
        <w:pStyle w:val="Bezodstpw"/>
        <w:jc w:val="both"/>
        <w:rPr>
          <w:sz w:val="26"/>
          <w:szCs w:val="26"/>
        </w:rPr>
      </w:pPr>
    </w:p>
    <w:p w:rsidR="00222D27" w:rsidRDefault="00222D27" w:rsidP="00222D27">
      <w:pPr>
        <w:pStyle w:val="Bezodstpw"/>
        <w:jc w:val="both"/>
        <w:rPr>
          <w:sz w:val="26"/>
          <w:szCs w:val="26"/>
        </w:rPr>
      </w:pPr>
      <w:r w:rsidRPr="004F1333">
        <w:rPr>
          <w:sz w:val="26"/>
          <w:szCs w:val="26"/>
        </w:rPr>
        <w:t xml:space="preserve">Przede wszystkim warto zauważyć, że akcje spółek z indeksu WIG20 są nisko wycenione </w:t>
      </w:r>
      <w:r>
        <w:rPr>
          <w:sz w:val="26"/>
          <w:szCs w:val="26"/>
        </w:rPr>
        <w:t xml:space="preserve">z punktu widzenia wskaźnika </w:t>
      </w:r>
      <w:r w:rsidRPr="00222D27">
        <w:rPr>
          <w:b/>
          <w:sz w:val="26"/>
          <w:szCs w:val="26"/>
        </w:rPr>
        <w:t>Cena/Wartość Księgowa</w:t>
      </w:r>
      <w:r>
        <w:rPr>
          <w:sz w:val="26"/>
          <w:szCs w:val="26"/>
        </w:rPr>
        <w:t>. Oto dane o tym wskaźniku z lat 2007-2016.</w:t>
      </w:r>
    </w:p>
    <w:p w:rsidR="00222D27" w:rsidRDefault="00222D27" w:rsidP="00222D27">
      <w:pPr>
        <w:pStyle w:val="Bezodstpw"/>
        <w:jc w:val="both"/>
        <w:rPr>
          <w:sz w:val="26"/>
          <w:szCs w:val="26"/>
        </w:rPr>
      </w:pPr>
    </w:p>
    <w:tbl>
      <w:tblPr>
        <w:tblStyle w:val="Tabela-Siatka"/>
        <w:tblW w:w="0" w:type="auto"/>
        <w:tblLook w:val="04A0" w:firstRow="1" w:lastRow="0" w:firstColumn="1" w:lastColumn="0" w:noHBand="0" w:noVBand="1"/>
      </w:tblPr>
      <w:tblGrid>
        <w:gridCol w:w="4606"/>
        <w:gridCol w:w="4606"/>
      </w:tblGrid>
      <w:tr w:rsidR="00222D27" w:rsidTr="00951B14">
        <w:tc>
          <w:tcPr>
            <w:tcW w:w="4606" w:type="dxa"/>
          </w:tcPr>
          <w:p w:rsidR="00222D27" w:rsidRDefault="00222D27" w:rsidP="00951B14">
            <w:pPr>
              <w:pStyle w:val="Bezodstpw"/>
              <w:jc w:val="center"/>
              <w:rPr>
                <w:sz w:val="26"/>
                <w:szCs w:val="26"/>
              </w:rPr>
            </w:pPr>
            <w:r>
              <w:rPr>
                <w:sz w:val="26"/>
                <w:szCs w:val="26"/>
              </w:rPr>
              <w:t>2007</w:t>
            </w:r>
          </w:p>
        </w:tc>
        <w:tc>
          <w:tcPr>
            <w:tcW w:w="4606" w:type="dxa"/>
          </w:tcPr>
          <w:p w:rsidR="00222D27" w:rsidRDefault="00222D27" w:rsidP="00951B14">
            <w:pPr>
              <w:pStyle w:val="Bezodstpw"/>
              <w:jc w:val="center"/>
              <w:rPr>
                <w:sz w:val="26"/>
                <w:szCs w:val="26"/>
              </w:rPr>
            </w:pPr>
            <w:r>
              <w:rPr>
                <w:sz w:val="26"/>
                <w:szCs w:val="26"/>
              </w:rPr>
              <w:t>2,8</w:t>
            </w:r>
          </w:p>
        </w:tc>
      </w:tr>
      <w:tr w:rsidR="00222D27" w:rsidTr="00951B14">
        <w:tc>
          <w:tcPr>
            <w:tcW w:w="4606" w:type="dxa"/>
          </w:tcPr>
          <w:p w:rsidR="00222D27" w:rsidRDefault="00222D27" w:rsidP="00951B14">
            <w:pPr>
              <w:pStyle w:val="Bezodstpw"/>
              <w:jc w:val="center"/>
              <w:rPr>
                <w:sz w:val="26"/>
                <w:szCs w:val="26"/>
              </w:rPr>
            </w:pPr>
            <w:r>
              <w:rPr>
                <w:sz w:val="26"/>
                <w:szCs w:val="26"/>
              </w:rPr>
              <w:t>2008</w:t>
            </w:r>
          </w:p>
        </w:tc>
        <w:tc>
          <w:tcPr>
            <w:tcW w:w="4606" w:type="dxa"/>
          </w:tcPr>
          <w:p w:rsidR="00222D27" w:rsidRDefault="00222D27" w:rsidP="00951B14">
            <w:pPr>
              <w:pStyle w:val="Bezodstpw"/>
              <w:jc w:val="center"/>
              <w:rPr>
                <w:sz w:val="26"/>
                <w:szCs w:val="26"/>
              </w:rPr>
            </w:pPr>
            <w:r>
              <w:rPr>
                <w:sz w:val="26"/>
                <w:szCs w:val="26"/>
              </w:rPr>
              <w:t>1,2</w:t>
            </w:r>
          </w:p>
        </w:tc>
      </w:tr>
      <w:tr w:rsidR="00222D27" w:rsidTr="00951B14">
        <w:tc>
          <w:tcPr>
            <w:tcW w:w="4606" w:type="dxa"/>
          </w:tcPr>
          <w:p w:rsidR="00222D27" w:rsidRDefault="00222D27" w:rsidP="00951B14">
            <w:pPr>
              <w:pStyle w:val="Bezodstpw"/>
              <w:jc w:val="center"/>
              <w:rPr>
                <w:sz w:val="26"/>
                <w:szCs w:val="26"/>
              </w:rPr>
            </w:pPr>
            <w:r>
              <w:rPr>
                <w:sz w:val="26"/>
                <w:szCs w:val="26"/>
              </w:rPr>
              <w:t>2009</w:t>
            </w:r>
          </w:p>
        </w:tc>
        <w:tc>
          <w:tcPr>
            <w:tcW w:w="4606" w:type="dxa"/>
          </w:tcPr>
          <w:p w:rsidR="00222D27" w:rsidRDefault="00222D27" w:rsidP="00951B14">
            <w:pPr>
              <w:pStyle w:val="Bezodstpw"/>
              <w:jc w:val="center"/>
              <w:rPr>
                <w:sz w:val="26"/>
                <w:szCs w:val="26"/>
              </w:rPr>
            </w:pPr>
            <w:r>
              <w:rPr>
                <w:sz w:val="26"/>
                <w:szCs w:val="26"/>
              </w:rPr>
              <w:t>1,7</w:t>
            </w:r>
          </w:p>
        </w:tc>
      </w:tr>
      <w:tr w:rsidR="00222D27" w:rsidTr="00951B14">
        <w:tc>
          <w:tcPr>
            <w:tcW w:w="4606" w:type="dxa"/>
          </w:tcPr>
          <w:p w:rsidR="00222D27" w:rsidRDefault="00222D27" w:rsidP="00951B14">
            <w:pPr>
              <w:pStyle w:val="Bezodstpw"/>
              <w:jc w:val="center"/>
              <w:rPr>
                <w:sz w:val="26"/>
                <w:szCs w:val="26"/>
              </w:rPr>
            </w:pPr>
            <w:r>
              <w:rPr>
                <w:sz w:val="26"/>
                <w:szCs w:val="26"/>
              </w:rPr>
              <w:t>2010</w:t>
            </w:r>
          </w:p>
        </w:tc>
        <w:tc>
          <w:tcPr>
            <w:tcW w:w="4606" w:type="dxa"/>
          </w:tcPr>
          <w:p w:rsidR="00222D27" w:rsidRDefault="00222D27" w:rsidP="00951B14">
            <w:pPr>
              <w:pStyle w:val="Bezodstpw"/>
              <w:jc w:val="center"/>
              <w:rPr>
                <w:sz w:val="26"/>
                <w:szCs w:val="26"/>
              </w:rPr>
            </w:pPr>
            <w:r>
              <w:rPr>
                <w:sz w:val="26"/>
                <w:szCs w:val="26"/>
              </w:rPr>
              <w:t>1,7</w:t>
            </w:r>
          </w:p>
        </w:tc>
      </w:tr>
      <w:tr w:rsidR="00222D27" w:rsidTr="00951B14">
        <w:tc>
          <w:tcPr>
            <w:tcW w:w="4606" w:type="dxa"/>
          </w:tcPr>
          <w:p w:rsidR="00222D27" w:rsidRDefault="00222D27" w:rsidP="00951B14">
            <w:pPr>
              <w:pStyle w:val="Bezodstpw"/>
              <w:jc w:val="center"/>
              <w:rPr>
                <w:sz w:val="26"/>
                <w:szCs w:val="26"/>
              </w:rPr>
            </w:pPr>
            <w:r>
              <w:rPr>
                <w:sz w:val="26"/>
                <w:szCs w:val="26"/>
              </w:rPr>
              <w:t>2011</w:t>
            </w:r>
          </w:p>
        </w:tc>
        <w:tc>
          <w:tcPr>
            <w:tcW w:w="4606" w:type="dxa"/>
          </w:tcPr>
          <w:p w:rsidR="00222D27" w:rsidRDefault="00222D27" w:rsidP="00951B14">
            <w:pPr>
              <w:pStyle w:val="Bezodstpw"/>
              <w:jc w:val="center"/>
              <w:rPr>
                <w:sz w:val="26"/>
                <w:szCs w:val="26"/>
              </w:rPr>
            </w:pPr>
            <w:r>
              <w:rPr>
                <w:sz w:val="26"/>
                <w:szCs w:val="26"/>
              </w:rPr>
              <w:t>1,1</w:t>
            </w:r>
          </w:p>
        </w:tc>
      </w:tr>
      <w:tr w:rsidR="00222D27" w:rsidTr="00951B14">
        <w:tc>
          <w:tcPr>
            <w:tcW w:w="4606" w:type="dxa"/>
          </w:tcPr>
          <w:p w:rsidR="00222D27" w:rsidRDefault="00222D27" w:rsidP="00951B14">
            <w:pPr>
              <w:pStyle w:val="Bezodstpw"/>
              <w:jc w:val="center"/>
              <w:rPr>
                <w:sz w:val="26"/>
                <w:szCs w:val="26"/>
              </w:rPr>
            </w:pPr>
            <w:r>
              <w:rPr>
                <w:sz w:val="26"/>
                <w:szCs w:val="26"/>
              </w:rPr>
              <w:t>2012</w:t>
            </w:r>
          </w:p>
        </w:tc>
        <w:tc>
          <w:tcPr>
            <w:tcW w:w="4606" w:type="dxa"/>
          </w:tcPr>
          <w:p w:rsidR="00222D27" w:rsidRDefault="00222D27" w:rsidP="00951B14">
            <w:pPr>
              <w:pStyle w:val="Bezodstpw"/>
              <w:jc w:val="center"/>
              <w:rPr>
                <w:sz w:val="26"/>
                <w:szCs w:val="26"/>
              </w:rPr>
            </w:pPr>
            <w:r>
              <w:rPr>
                <w:sz w:val="26"/>
                <w:szCs w:val="26"/>
              </w:rPr>
              <w:t>1,3</w:t>
            </w:r>
          </w:p>
        </w:tc>
      </w:tr>
      <w:tr w:rsidR="00222D27" w:rsidTr="00951B14">
        <w:tc>
          <w:tcPr>
            <w:tcW w:w="4606" w:type="dxa"/>
          </w:tcPr>
          <w:p w:rsidR="00222D27" w:rsidRDefault="00222D27" w:rsidP="00951B14">
            <w:pPr>
              <w:pStyle w:val="Bezodstpw"/>
              <w:jc w:val="center"/>
              <w:rPr>
                <w:sz w:val="26"/>
                <w:szCs w:val="26"/>
              </w:rPr>
            </w:pPr>
            <w:r>
              <w:rPr>
                <w:sz w:val="26"/>
                <w:szCs w:val="26"/>
              </w:rPr>
              <w:t>2013</w:t>
            </w:r>
          </w:p>
        </w:tc>
        <w:tc>
          <w:tcPr>
            <w:tcW w:w="4606" w:type="dxa"/>
          </w:tcPr>
          <w:p w:rsidR="00222D27" w:rsidRDefault="00222D27" w:rsidP="00951B14">
            <w:pPr>
              <w:pStyle w:val="Bezodstpw"/>
              <w:jc w:val="center"/>
              <w:rPr>
                <w:sz w:val="26"/>
                <w:szCs w:val="26"/>
              </w:rPr>
            </w:pPr>
            <w:r>
              <w:rPr>
                <w:sz w:val="26"/>
                <w:szCs w:val="26"/>
              </w:rPr>
              <w:t>1,3</w:t>
            </w:r>
          </w:p>
        </w:tc>
      </w:tr>
      <w:tr w:rsidR="00222D27" w:rsidTr="00951B14">
        <w:tc>
          <w:tcPr>
            <w:tcW w:w="4606" w:type="dxa"/>
          </w:tcPr>
          <w:p w:rsidR="00222D27" w:rsidRDefault="00222D27" w:rsidP="00951B14">
            <w:pPr>
              <w:pStyle w:val="Bezodstpw"/>
              <w:jc w:val="center"/>
              <w:rPr>
                <w:sz w:val="26"/>
                <w:szCs w:val="26"/>
              </w:rPr>
            </w:pPr>
            <w:r>
              <w:rPr>
                <w:sz w:val="26"/>
                <w:szCs w:val="26"/>
              </w:rPr>
              <w:t>2014</w:t>
            </w:r>
          </w:p>
        </w:tc>
        <w:tc>
          <w:tcPr>
            <w:tcW w:w="4606" w:type="dxa"/>
          </w:tcPr>
          <w:p w:rsidR="00222D27" w:rsidRDefault="00222D27" w:rsidP="00951B14">
            <w:pPr>
              <w:pStyle w:val="Bezodstpw"/>
              <w:jc w:val="center"/>
              <w:rPr>
                <w:sz w:val="26"/>
                <w:szCs w:val="26"/>
              </w:rPr>
            </w:pPr>
            <w:r>
              <w:rPr>
                <w:sz w:val="26"/>
                <w:szCs w:val="26"/>
              </w:rPr>
              <w:t>1,3</w:t>
            </w:r>
          </w:p>
        </w:tc>
      </w:tr>
      <w:tr w:rsidR="00222D27" w:rsidTr="00951B14">
        <w:tc>
          <w:tcPr>
            <w:tcW w:w="4606" w:type="dxa"/>
          </w:tcPr>
          <w:p w:rsidR="00222D27" w:rsidRDefault="00222D27" w:rsidP="00951B14">
            <w:pPr>
              <w:pStyle w:val="Bezodstpw"/>
              <w:jc w:val="center"/>
              <w:rPr>
                <w:sz w:val="26"/>
                <w:szCs w:val="26"/>
              </w:rPr>
            </w:pPr>
            <w:r>
              <w:rPr>
                <w:sz w:val="26"/>
                <w:szCs w:val="26"/>
              </w:rPr>
              <w:t>2015</w:t>
            </w:r>
          </w:p>
        </w:tc>
        <w:tc>
          <w:tcPr>
            <w:tcW w:w="4606" w:type="dxa"/>
          </w:tcPr>
          <w:p w:rsidR="00222D27" w:rsidRDefault="00222D27" w:rsidP="00951B14">
            <w:pPr>
              <w:pStyle w:val="Bezodstpw"/>
              <w:jc w:val="center"/>
              <w:rPr>
                <w:sz w:val="26"/>
                <w:szCs w:val="26"/>
              </w:rPr>
            </w:pPr>
            <w:r>
              <w:rPr>
                <w:sz w:val="26"/>
                <w:szCs w:val="26"/>
              </w:rPr>
              <w:t>1,3</w:t>
            </w:r>
          </w:p>
        </w:tc>
      </w:tr>
      <w:tr w:rsidR="00222D27" w:rsidTr="00951B14">
        <w:tc>
          <w:tcPr>
            <w:tcW w:w="4606" w:type="dxa"/>
          </w:tcPr>
          <w:p w:rsidR="00222D27" w:rsidRDefault="00222D27" w:rsidP="00951B14">
            <w:pPr>
              <w:pStyle w:val="Bezodstpw"/>
              <w:jc w:val="center"/>
              <w:rPr>
                <w:sz w:val="26"/>
                <w:szCs w:val="26"/>
              </w:rPr>
            </w:pPr>
            <w:r>
              <w:rPr>
                <w:sz w:val="26"/>
                <w:szCs w:val="26"/>
              </w:rPr>
              <w:t>2016</w:t>
            </w:r>
          </w:p>
        </w:tc>
        <w:tc>
          <w:tcPr>
            <w:tcW w:w="4606" w:type="dxa"/>
          </w:tcPr>
          <w:p w:rsidR="00222D27" w:rsidRDefault="00222D27" w:rsidP="00951B14">
            <w:pPr>
              <w:pStyle w:val="Bezodstpw"/>
              <w:jc w:val="center"/>
              <w:rPr>
                <w:sz w:val="26"/>
                <w:szCs w:val="26"/>
              </w:rPr>
            </w:pPr>
            <w:r>
              <w:rPr>
                <w:sz w:val="26"/>
                <w:szCs w:val="26"/>
              </w:rPr>
              <w:t>1,1</w:t>
            </w:r>
          </w:p>
        </w:tc>
      </w:tr>
    </w:tbl>
    <w:p w:rsidR="00222D27" w:rsidRDefault="00222D27" w:rsidP="00222D27">
      <w:pPr>
        <w:pStyle w:val="Bezodstpw"/>
        <w:jc w:val="both"/>
        <w:rPr>
          <w:sz w:val="26"/>
          <w:szCs w:val="26"/>
        </w:rPr>
      </w:pPr>
    </w:p>
    <w:p w:rsidR="00222D27" w:rsidRDefault="00222D27" w:rsidP="00222D27">
      <w:pPr>
        <w:pStyle w:val="Bezodstpw"/>
        <w:jc w:val="both"/>
        <w:rPr>
          <w:sz w:val="26"/>
          <w:szCs w:val="26"/>
        </w:rPr>
      </w:pPr>
      <w:r>
        <w:rPr>
          <w:sz w:val="26"/>
          <w:szCs w:val="26"/>
        </w:rPr>
        <w:lastRenderedPageBreak/>
        <w:t>Teraz warto przyjrzeć się dokładniej powiązaniu poziomu tego wskaźnika z zachowaniem indeksu WIG20 w roku następnym</w:t>
      </w:r>
    </w:p>
    <w:p w:rsidR="00222D27" w:rsidRDefault="00222D27" w:rsidP="00222D27">
      <w:pPr>
        <w:pStyle w:val="Bezodstpw"/>
        <w:jc w:val="both"/>
        <w:rPr>
          <w:sz w:val="26"/>
          <w:szCs w:val="26"/>
        </w:rPr>
      </w:pPr>
    </w:p>
    <w:tbl>
      <w:tblPr>
        <w:tblStyle w:val="Tabela-Siatka"/>
        <w:tblW w:w="0" w:type="auto"/>
        <w:tblLook w:val="04A0" w:firstRow="1" w:lastRow="0" w:firstColumn="1" w:lastColumn="0" w:noHBand="0" w:noVBand="1"/>
      </w:tblPr>
      <w:tblGrid>
        <w:gridCol w:w="2303"/>
        <w:gridCol w:w="2303"/>
        <w:gridCol w:w="2303"/>
        <w:gridCol w:w="2303"/>
      </w:tblGrid>
      <w:tr w:rsidR="00222D27" w:rsidTr="00951B14">
        <w:tc>
          <w:tcPr>
            <w:tcW w:w="2303" w:type="dxa"/>
          </w:tcPr>
          <w:p w:rsidR="00222D27" w:rsidRPr="004F1333" w:rsidRDefault="00222D27" w:rsidP="00951B14">
            <w:pPr>
              <w:pStyle w:val="Bezodstpw"/>
              <w:jc w:val="center"/>
              <w:rPr>
                <w:sz w:val="26"/>
                <w:szCs w:val="26"/>
              </w:rPr>
            </w:pPr>
            <w:r w:rsidRPr="004F1333">
              <w:rPr>
                <w:sz w:val="26"/>
                <w:szCs w:val="26"/>
              </w:rPr>
              <w:t>Rok</w:t>
            </w:r>
          </w:p>
        </w:tc>
        <w:tc>
          <w:tcPr>
            <w:tcW w:w="2303" w:type="dxa"/>
          </w:tcPr>
          <w:p w:rsidR="00222D27" w:rsidRPr="004F1333" w:rsidRDefault="00222D27" w:rsidP="00951B14">
            <w:pPr>
              <w:pStyle w:val="Bezodstpw"/>
              <w:jc w:val="center"/>
              <w:rPr>
                <w:sz w:val="26"/>
                <w:szCs w:val="26"/>
              </w:rPr>
            </w:pPr>
            <w:r w:rsidRPr="004F1333">
              <w:rPr>
                <w:sz w:val="26"/>
                <w:szCs w:val="26"/>
              </w:rPr>
              <w:t>Poziom wskaźnika C/WK</w:t>
            </w:r>
          </w:p>
        </w:tc>
        <w:tc>
          <w:tcPr>
            <w:tcW w:w="2303" w:type="dxa"/>
          </w:tcPr>
          <w:p w:rsidR="00222D27" w:rsidRPr="004F1333" w:rsidRDefault="00222D27" w:rsidP="00951B14">
            <w:pPr>
              <w:pStyle w:val="Bezodstpw"/>
              <w:jc w:val="center"/>
              <w:rPr>
                <w:sz w:val="26"/>
                <w:szCs w:val="26"/>
              </w:rPr>
            </w:pPr>
            <w:r w:rsidRPr="004F1333">
              <w:rPr>
                <w:sz w:val="26"/>
                <w:szCs w:val="26"/>
              </w:rPr>
              <w:t>Rok</w:t>
            </w:r>
          </w:p>
        </w:tc>
        <w:tc>
          <w:tcPr>
            <w:tcW w:w="2303" w:type="dxa"/>
          </w:tcPr>
          <w:p w:rsidR="00222D27" w:rsidRPr="004F1333" w:rsidRDefault="00222D27" w:rsidP="00951B14">
            <w:pPr>
              <w:pStyle w:val="Bezodstpw"/>
              <w:jc w:val="center"/>
              <w:rPr>
                <w:sz w:val="26"/>
                <w:szCs w:val="26"/>
              </w:rPr>
            </w:pPr>
            <w:r w:rsidRPr="004F1333">
              <w:rPr>
                <w:sz w:val="26"/>
                <w:szCs w:val="26"/>
              </w:rPr>
              <w:t>Zmiana indeksu WIG20 (w %)</w:t>
            </w:r>
          </w:p>
        </w:tc>
      </w:tr>
      <w:tr w:rsidR="00222D27" w:rsidTr="00951B14">
        <w:tc>
          <w:tcPr>
            <w:tcW w:w="2303" w:type="dxa"/>
          </w:tcPr>
          <w:p w:rsidR="00222D27" w:rsidRPr="004F1333" w:rsidRDefault="00222D27" w:rsidP="00951B14">
            <w:pPr>
              <w:pStyle w:val="Bezodstpw"/>
              <w:jc w:val="center"/>
              <w:rPr>
                <w:sz w:val="26"/>
                <w:szCs w:val="26"/>
              </w:rPr>
            </w:pPr>
            <w:r w:rsidRPr="004F1333">
              <w:rPr>
                <w:sz w:val="26"/>
                <w:szCs w:val="26"/>
              </w:rPr>
              <w:t>2007</w:t>
            </w:r>
          </w:p>
        </w:tc>
        <w:tc>
          <w:tcPr>
            <w:tcW w:w="2303" w:type="dxa"/>
          </w:tcPr>
          <w:p w:rsidR="00222D27" w:rsidRPr="004F1333" w:rsidRDefault="00222D27" w:rsidP="00951B14">
            <w:pPr>
              <w:jc w:val="center"/>
              <w:rPr>
                <w:sz w:val="26"/>
                <w:szCs w:val="26"/>
              </w:rPr>
            </w:pPr>
            <w:r w:rsidRPr="004F1333">
              <w:rPr>
                <w:sz w:val="26"/>
                <w:szCs w:val="26"/>
              </w:rPr>
              <w:t>2,8</w:t>
            </w:r>
          </w:p>
        </w:tc>
        <w:tc>
          <w:tcPr>
            <w:tcW w:w="2303" w:type="dxa"/>
          </w:tcPr>
          <w:p w:rsidR="00222D27" w:rsidRPr="004F1333" w:rsidRDefault="00222D27" w:rsidP="00951B14">
            <w:pPr>
              <w:pStyle w:val="Bezodstpw"/>
              <w:jc w:val="center"/>
              <w:rPr>
                <w:sz w:val="26"/>
                <w:szCs w:val="26"/>
              </w:rPr>
            </w:pPr>
            <w:r w:rsidRPr="004F1333">
              <w:rPr>
                <w:sz w:val="26"/>
                <w:szCs w:val="26"/>
              </w:rPr>
              <w:t>2008</w:t>
            </w:r>
          </w:p>
        </w:tc>
        <w:tc>
          <w:tcPr>
            <w:tcW w:w="2303" w:type="dxa"/>
          </w:tcPr>
          <w:p w:rsidR="00222D27" w:rsidRPr="004F1333" w:rsidRDefault="00222D27" w:rsidP="00951B14">
            <w:pPr>
              <w:jc w:val="center"/>
              <w:rPr>
                <w:sz w:val="26"/>
                <w:szCs w:val="26"/>
              </w:rPr>
            </w:pPr>
            <w:r w:rsidRPr="004F1333">
              <w:rPr>
                <w:sz w:val="26"/>
                <w:szCs w:val="26"/>
              </w:rPr>
              <w:t>-48,2</w:t>
            </w:r>
          </w:p>
        </w:tc>
      </w:tr>
      <w:tr w:rsidR="00222D27" w:rsidTr="00951B14">
        <w:tc>
          <w:tcPr>
            <w:tcW w:w="2303" w:type="dxa"/>
          </w:tcPr>
          <w:p w:rsidR="00222D27" w:rsidRPr="004F1333" w:rsidRDefault="00222D27" w:rsidP="00951B14">
            <w:pPr>
              <w:pStyle w:val="Bezodstpw"/>
              <w:jc w:val="center"/>
              <w:rPr>
                <w:sz w:val="26"/>
                <w:szCs w:val="26"/>
              </w:rPr>
            </w:pPr>
            <w:r w:rsidRPr="004F1333">
              <w:rPr>
                <w:sz w:val="26"/>
                <w:szCs w:val="26"/>
              </w:rPr>
              <w:t>2008</w:t>
            </w:r>
          </w:p>
        </w:tc>
        <w:tc>
          <w:tcPr>
            <w:tcW w:w="2303" w:type="dxa"/>
          </w:tcPr>
          <w:p w:rsidR="00222D27" w:rsidRPr="004F1333" w:rsidRDefault="00222D27" w:rsidP="00951B14">
            <w:pPr>
              <w:jc w:val="center"/>
              <w:rPr>
                <w:sz w:val="26"/>
                <w:szCs w:val="26"/>
              </w:rPr>
            </w:pPr>
            <w:r w:rsidRPr="004F1333">
              <w:rPr>
                <w:sz w:val="26"/>
                <w:szCs w:val="26"/>
              </w:rPr>
              <w:t>1,2</w:t>
            </w:r>
          </w:p>
        </w:tc>
        <w:tc>
          <w:tcPr>
            <w:tcW w:w="2303" w:type="dxa"/>
          </w:tcPr>
          <w:p w:rsidR="00222D27" w:rsidRPr="004F1333" w:rsidRDefault="00222D27" w:rsidP="00951B14">
            <w:pPr>
              <w:pStyle w:val="Bezodstpw"/>
              <w:jc w:val="center"/>
              <w:rPr>
                <w:sz w:val="26"/>
                <w:szCs w:val="26"/>
              </w:rPr>
            </w:pPr>
            <w:r w:rsidRPr="004F1333">
              <w:rPr>
                <w:sz w:val="26"/>
                <w:szCs w:val="26"/>
              </w:rPr>
              <w:t>2009</w:t>
            </w:r>
          </w:p>
        </w:tc>
        <w:tc>
          <w:tcPr>
            <w:tcW w:w="2303" w:type="dxa"/>
          </w:tcPr>
          <w:p w:rsidR="00222D27" w:rsidRPr="004F1333" w:rsidRDefault="00222D27" w:rsidP="00951B14">
            <w:pPr>
              <w:jc w:val="center"/>
              <w:rPr>
                <w:sz w:val="26"/>
                <w:szCs w:val="26"/>
              </w:rPr>
            </w:pPr>
            <w:r>
              <w:rPr>
                <w:sz w:val="26"/>
                <w:szCs w:val="26"/>
              </w:rPr>
              <w:t xml:space="preserve"> </w:t>
            </w:r>
            <w:r w:rsidRPr="004F1333">
              <w:rPr>
                <w:sz w:val="26"/>
                <w:szCs w:val="26"/>
              </w:rPr>
              <w:t>33,5</w:t>
            </w:r>
          </w:p>
        </w:tc>
      </w:tr>
      <w:tr w:rsidR="00222D27" w:rsidTr="00951B14">
        <w:tc>
          <w:tcPr>
            <w:tcW w:w="2303" w:type="dxa"/>
          </w:tcPr>
          <w:p w:rsidR="00222D27" w:rsidRPr="004F1333" w:rsidRDefault="00222D27" w:rsidP="00951B14">
            <w:pPr>
              <w:pStyle w:val="Bezodstpw"/>
              <w:jc w:val="center"/>
              <w:rPr>
                <w:sz w:val="26"/>
                <w:szCs w:val="26"/>
              </w:rPr>
            </w:pPr>
            <w:r w:rsidRPr="004F1333">
              <w:rPr>
                <w:sz w:val="26"/>
                <w:szCs w:val="26"/>
              </w:rPr>
              <w:t>2009</w:t>
            </w:r>
          </w:p>
        </w:tc>
        <w:tc>
          <w:tcPr>
            <w:tcW w:w="2303" w:type="dxa"/>
          </w:tcPr>
          <w:p w:rsidR="00222D27" w:rsidRPr="004F1333" w:rsidRDefault="00222D27" w:rsidP="00951B14">
            <w:pPr>
              <w:jc w:val="center"/>
              <w:rPr>
                <w:sz w:val="26"/>
                <w:szCs w:val="26"/>
              </w:rPr>
            </w:pPr>
            <w:r w:rsidRPr="004F1333">
              <w:rPr>
                <w:sz w:val="26"/>
                <w:szCs w:val="26"/>
              </w:rPr>
              <w:t>1,7</w:t>
            </w:r>
          </w:p>
        </w:tc>
        <w:tc>
          <w:tcPr>
            <w:tcW w:w="2303" w:type="dxa"/>
          </w:tcPr>
          <w:p w:rsidR="00222D27" w:rsidRPr="004F1333" w:rsidRDefault="00222D27" w:rsidP="00951B14">
            <w:pPr>
              <w:pStyle w:val="Bezodstpw"/>
              <w:jc w:val="center"/>
              <w:rPr>
                <w:sz w:val="26"/>
                <w:szCs w:val="26"/>
              </w:rPr>
            </w:pPr>
            <w:r w:rsidRPr="004F1333">
              <w:rPr>
                <w:sz w:val="26"/>
                <w:szCs w:val="26"/>
              </w:rPr>
              <w:t>2010</w:t>
            </w:r>
          </w:p>
        </w:tc>
        <w:tc>
          <w:tcPr>
            <w:tcW w:w="2303" w:type="dxa"/>
          </w:tcPr>
          <w:p w:rsidR="00222D27" w:rsidRPr="004F1333" w:rsidRDefault="00222D27" w:rsidP="00951B14">
            <w:pPr>
              <w:jc w:val="center"/>
              <w:rPr>
                <w:sz w:val="26"/>
                <w:szCs w:val="26"/>
              </w:rPr>
            </w:pPr>
            <w:r>
              <w:rPr>
                <w:sz w:val="26"/>
                <w:szCs w:val="26"/>
              </w:rPr>
              <w:t xml:space="preserve"> </w:t>
            </w:r>
            <w:r w:rsidRPr="004F1333">
              <w:rPr>
                <w:sz w:val="26"/>
                <w:szCs w:val="26"/>
              </w:rPr>
              <w:t>14,9</w:t>
            </w:r>
          </w:p>
        </w:tc>
      </w:tr>
      <w:tr w:rsidR="00222D27" w:rsidTr="00951B14">
        <w:tc>
          <w:tcPr>
            <w:tcW w:w="2303" w:type="dxa"/>
          </w:tcPr>
          <w:p w:rsidR="00222D27" w:rsidRPr="004F1333" w:rsidRDefault="00222D27" w:rsidP="00951B14">
            <w:pPr>
              <w:pStyle w:val="Bezodstpw"/>
              <w:jc w:val="center"/>
              <w:rPr>
                <w:sz w:val="26"/>
                <w:szCs w:val="26"/>
              </w:rPr>
            </w:pPr>
            <w:r w:rsidRPr="004F1333">
              <w:rPr>
                <w:sz w:val="26"/>
                <w:szCs w:val="26"/>
              </w:rPr>
              <w:t>2010</w:t>
            </w:r>
          </w:p>
        </w:tc>
        <w:tc>
          <w:tcPr>
            <w:tcW w:w="2303" w:type="dxa"/>
          </w:tcPr>
          <w:p w:rsidR="00222D27" w:rsidRPr="004F1333" w:rsidRDefault="00222D27" w:rsidP="00951B14">
            <w:pPr>
              <w:jc w:val="center"/>
              <w:rPr>
                <w:sz w:val="26"/>
                <w:szCs w:val="26"/>
              </w:rPr>
            </w:pPr>
            <w:r w:rsidRPr="004F1333">
              <w:rPr>
                <w:sz w:val="26"/>
                <w:szCs w:val="26"/>
              </w:rPr>
              <w:t>1,7</w:t>
            </w:r>
          </w:p>
        </w:tc>
        <w:tc>
          <w:tcPr>
            <w:tcW w:w="2303" w:type="dxa"/>
          </w:tcPr>
          <w:p w:rsidR="00222D27" w:rsidRPr="004F1333" w:rsidRDefault="00222D27" w:rsidP="00951B14">
            <w:pPr>
              <w:pStyle w:val="Bezodstpw"/>
              <w:jc w:val="center"/>
              <w:rPr>
                <w:sz w:val="26"/>
                <w:szCs w:val="26"/>
              </w:rPr>
            </w:pPr>
            <w:r w:rsidRPr="004F1333">
              <w:rPr>
                <w:sz w:val="26"/>
                <w:szCs w:val="26"/>
              </w:rPr>
              <w:t>2011</w:t>
            </w:r>
          </w:p>
        </w:tc>
        <w:tc>
          <w:tcPr>
            <w:tcW w:w="2303" w:type="dxa"/>
          </w:tcPr>
          <w:p w:rsidR="00222D27" w:rsidRPr="004F1333" w:rsidRDefault="00222D27" w:rsidP="00951B14">
            <w:pPr>
              <w:jc w:val="center"/>
              <w:rPr>
                <w:sz w:val="26"/>
                <w:szCs w:val="26"/>
              </w:rPr>
            </w:pPr>
            <w:r w:rsidRPr="004F1333">
              <w:rPr>
                <w:sz w:val="26"/>
                <w:szCs w:val="26"/>
              </w:rPr>
              <w:t>-21,9</w:t>
            </w:r>
          </w:p>
        </w:tc>
      </w:tr>
      <w:tr w:rsidR="00222D27" w:rsidTr="00951B14">
        <w:tc>
          <w:tcPr>
            <w:tcW w:w="2303" w:type="dxa"/>
          </w:tcPr>
          <w:p w:rsidR="00222D27" w:rsidRPr="004F1333" w:rsidRDefault="00222D27" w:rsidP="00951B14">
            <w:pPr>
              <w:pStyle w:val="Bezodstpw"/>
              <w:jc w:val="center"/>
              <w:rPr>
                <w:sz w:val="26"/>
                <w:szCs w:val="26"/>
              </w:rPr>
            </w:pPr>
            <w:r w:rsidRPr="004F1333">
              <w:rPr>
                <w:sz w:val="26"/>
                <w:szCs w:val="26"/>
              </w:rPr>
              <w:t>2011</w:t>
            </w:r>
          </w:p>
        </w:tc>
        <w:tc>
          <w:tcPr>
            <w:tcW w:w="2303" w:type="dxa"/>
          </w:tcPr>
          <w:p w:rsidR="00222D27" w:rsidRPr="004F1333" w:rsidRDefault="00222D27" w:rsidP="00951B14">
            <w:pPr>
              <w:jc w:val="center"/>
              <w:rPr>
                <w:sz w:val="26"/>
                <w:szCs w:val="26"/>
              </w:rPr>
            </w:pPr>
            <w:r w:rsidRPr="004F1333">
              <w:rPr>
                <w:sz w:val="26"/>
                <w:szCs w:val="26"/>
              </w:rPr>
              <w:t>1,1</w:t>
            </w:r>
          </w:p>
        </w:tc>
        <w:tc>
          <w:tcPr>
            <w:tcW w:w="2303" w:type="dxa"/>
          </w:tcPr>
          <w:p w:rsidR="00222D27" w:rsidRPr="004F1333" w:rsidRDefault="00222D27" w:rsidP="00951B14">
            <w:pPr>
              <w:pStyle w:val="Bezodstpw"/>
              <w:jc w:val="center"/>
              <w:rPr>
                <w:sz w:val="26"/>
                <w:szCs w:val="26"/>
              </w:rPr>
            </w:pPr>
            <w:r w:rsidRPr="004F1333">
              <w:rPr>
                <w:sz w:val="26"/>
                <w:szCs w:val="26"/>
              </w:rPr>
              <w:t>2012</w:t>
            </w:r>
          </w:p>
        </w:tc>
        <w:tc>
          <w:tcPr>
            <w:tcW w:w="2303" w:type="dxa"/>
          </w:tcPr>
          <w:p w:rsidR="00222D27" w:rsidRPr="004F1333" w:rsidRDefault="00222D27" w:rsidP="00951B14">
            <w:pPr>
              <w:jc w:val="center"/>
              <w:rPr>
                <w:sz w:val="26"/>
                <w:szCs w:val="26"/>
              </w:rPr>
            </w:pPr>
            <w:r>
              <w:rPr>
                <w:sz w:val="26"/>
                <w:szCs w:val="26"/>
              </w:rPr>
              <w:t xml:space="preserve"> </w:t>
            </w:r>
            <w:r w:rsidRPr="004F1333">
              <w:rPr>
                <w:sz w:val="26"/>
                <w:szCs w:val="26"/>
              </w:rPr>
              <w:t>20,4</w:t>
            </w:r>
          </w:p>
        </w:tc>
      </w:tr>
      <w:tr w:rsidR="00222D27" w:rsidTr="00951B14">
        <w:tc>
          <w:tcPr>
            <w:tcW w:w="2303" w:type="dxa"/>
          </w:tcPr>
          <w:p w:rsidR="00222D27" w:rsidRPr="004F1333" w:rsidRDefault="00222D27" w:rsidP="00951B14">
            <w:pPr>
              <w:pStyle w:val="Bezodstpw"/>
              <w:jc w:val="center"/>
              <w:rPr>
                <w:sz w:val="26"/>
                <w:szCs w:val="26"/>
              </w:rPr>
            </w:pPr>
            <w:r w:rsidRPr="004F1333">
              <w:rPr>
                <w:sz w:val="26"/>
                <w:szCs w:val="26"/>
              </w:rPr>
              <w:t>2012</w:t>
            </w:r>
          </w:p>
        </w:tc>
        <w:tc>
          <w:tcPr>
            <w:tcW w:w="2303" w:type="dxa"/>
          </w:tcPr>
          <w:p w:rsidR="00222D27" w:rsidRPr="004F1333" w:rsidRDefault="00222D27" w:rsidP="00951B14">
            <w:pPr>
              <w:jc w:val="center"/>
              <w:rPr>
                <w:sz w:val="26"/>
                <w:szCs w:val="26"/>
              </w:rPr>
            </w:pPr>
            <w:r w:rsidRPr="004F1333">
              <w:rPr>
                <w:sz w:val="26"/>
                <w:szCs w:val="26"/>
              </w:rPr>
              <w:t>1,3</w:t>
            </w:r>
          </w:p>
        </w:tc>
        <w:tc>
          <w:tcPr>
            <w:tcW w:w="2303" w:type="dxa"/>
          </w:tcPr>
          <w:p w:rsidR="00222D27" w:rsidRPr="004F1333" w:rsidRDefault="00222D27" w:rsidP="00951B14">
            <w:pPr>
              <w:pStyle w:val="Bezodstpw"/>
              <w:jc w:val="center"/>
              <w:rPr>
                <w:sz w:val="26"/>
                <w:szCs w:val="26"/>
              </w:rPr>
            </w:pPr>
            <w:r w:rsidRPr="004F1333">
              <w:rPr>
                <w:sz w:val="26"/>
                <w:szCs w:val="26"/>
              </w:rPr>
              <w:t>2013</w:t>
            </w:r>
          </w:p>
        </w:tc>
        <w:tc>
          <w:tcPr>
            <w:tcW w:w="2303" w:type="dxa"/>
          </w:tcPr>
          <w:p w:rsidR="00222D27" w:rsidRPr="004F1333" w:rsidRDefault="00222D27" w:rsidP="00951B14">
            <w:pPr>
              <w:jc w:val="center"/>
              <w:rPr>
                <w:sz w:val="26"/>
                <w:szCs w:val="26"/>
              </w:rPr>
            </w:pPr>
            <w:r>
              <w:rPr>
                <w:sz w:val="26"/>
                <w:szCs w:val="26"/>
              </w:rPr>
              <w:t xml:space="preserve">  </w:t>
            </w:r>
            <w:r w:rsidRPr="004F1333">
              <w:rPr>
                <w:sz w:val="26"/>
                <w:szCs w:val="26"/>
              </w:rPr>
              <w:t>-7,1</w:t>
            </w:r>
          </w:p>
        </w:tc>
      </w:tr>
      <w:tr w:rsidR="00222D27" w:rsidTr="00951B14">
        <w:tc>
          <w:tcPr>
            <w:tcW w:w="2303" w:type="dxa"/>
          </w:tcPr>
          <w:p w:rsidR="00222D27" w:rsidRPr="004F1333" w:rsidRDefault="00222D27" w:rsidP="00951B14">
            <w:pPr>
              <w:pStyle w:val="Bezodstpw"/>
              <w:jc w:val="center"/>
              <w:rPr>
                <w:sz w:val="26"/>
                <w:szCs w:val="26"/>
              </w:rPr>
            </w:pPr>
            <w:r w:rsidRPr="004F1333">
              <w:rPr>
                <w:sz w:val="26"/>
                <w:szCs w:val="26"/>
              </w:rPr>
              <w:t>2013</w:t>
            </w:r>
          </w:p>
        </w:tc>
        <w:tc>
          <w:tcPr>
            <w:tcW w:w="2303" w:type="dxa"/>
          </w:tcPr>
          <w:p w:rsidR="00222D27" w:rsidRPr="004F1333" w:rsidRDefault="00222D27" w:rsidP="00951B14">
            <w:pPr>
              <w:jc w:val="center"/>
              <w:rPr>
                <w:sz w:val="26"/>
                <w:szCs w:val="26"/>
              </w:rPr>
            </w:pPr>
            <w:r w:rsidRPr="004F1333">
              <w:rPr>
                <w:sz w:val="26"/>
                <w:szCs w:val="26"/>
              </w:rPr>
              <w:t>1,3</w:t>
            </w:r>
          </w:p>
        </w:tc>
        <w:tc>
          <w:tcPr>
            <w:tcW w:w="2303" w:type="dxa"/>
          </w:tcPr>
          <w:p w:rsidR="00222D27" w:rsidRPr="004F1333" w:rsidRDefault="00222D27" w:rsidP="00951B14">
            <w:pPr>
              <w:pStyle w:val="Bezodstpw"/>
              <w:jc w:val="center"/>
              <w:rPr>
                <w:sz w:val="26"/>
                <w:szCs w:val="26"/>
              </w:rPr>
            </w:pPr>
            <w:r w:rsidRPr="004F1333">
              <w:rPr>
                <w:sz w:val="26"/>
                <w:szCs w:val="26"/>
              </w:rPr>
              <w:t>2014</w:t>
            </w:r>
          </w:p>
        </w:tc>
        <w:tc>
          <w:tcPr>
            <w:tcW w:w="2303" w:type="dxa"/>
          </w:tcPr>
          <w:p w:rsidR="00222D27" w:rsidRPr="004F1333" w:rsidRDefault="00222D27" w:rsidP="00951B14">
            <w:pPr>
              <w:jc w:val="center"/>
              <w:rPr>
                <w:sz w:val="26"/>
                <w:szCs w:val="26"/>
              </w:rPr>
            </w:pPr>
            <w:r>
              <w:rPr>
                <w:sz w:val="26"/>
                <w:szCs w:val="26"/>
              </w:rPr>
              <w:t xml:space="preserve">  </w:t>
            </w:r>
            <w:r w:rsidRPr="004F1333">
              <w:rPr>
                <w:sz w:val="26"/>
                <w:szCs w:val="26"/>
              </w:rPr>
              <w:t>-3,5</w:t>
            </w:r>
          </w:p>
        </w:tc>
      </w:tr>
      <w:tr w:rsidR="00222D27" w:rsidTr="00951B14">
        <w:tc>
          <w:tcPr>
            <w:tcW w:w="2303" w:type="dxa"/>
          </w:tcPr>
          <w:p w:rsidR="00222D27" w:rsidRPr="004F1333" w:rsidRDefault="00222D27" w:rsidP="00951B14">
            <w:pPr>
              <w:pStyle w:val="Bezodstpw"/>
              <w:jc w:val="center"/>
              <w:rPr>
                <w:sz w:val="26"/>
                <w:szCs w:val="26"/>
              </w:rPr>
            </w:pPr>
            <w:r w:rsidRPr="004F1333">
              <w:rPr>
                <w:sz w:val="26"/>
                <w:szCs w:val="26"/>
              </w:rPr>
              <w:t>2014</w:t>
            </w:r>
          </w:p>
        </w:tc>
        <w:tc>
          <w:tcPr>
            <w:tcW w:w="2303" w:type="dxa"/>
          </w:tcPr>
          <w:p w:rsidR="00222D27" w:rsidRPr="004F1333" w:rsidRDefault="00222D27" w:rsidP="00951B14">
            <w:pPr>
              <w:jc w:val="center"/>
              <w:rPr>
                <w:sz w:val="26"/>
                <w:szCs w:val="26"/>
              </w:rPr>
            </w:pPr>
            <w:r w:rsidRPr="004F1333">
              <w:rPr>
                <w:sz w:val="26"/>
                <w:szCs w:val="26"/>
              </w:rPr>
              <w:t>1,3</w:t>
            </w:r>
          </w:p>
        </w:tc>
        <w:tc>
          <w:tcPr>
            <w:tcW w:w="2303" w:type="dxa"/>
          </w:tcPr>
          <w:p w:rsidR="00222D27" w:rsidRPr="004F1333" w:rsidRDefault="00222D27" w:rsidP="00951B14">
            <w:pPr>
              <w:pStyle w:val="Bezodstpw"/>
              <w:jc w:val="center"/>
              <w:rPr>
                <w:sz w:val="26"/>
                <w:szCs w:val="26"/>
              </w:rPr>
            </w:pPr>
            <w:r w:rsidRPr="004F1333">
              <w:rPr>
                <w:sz w:val="26"/>
                <w:szCs w:val="26"/>
              </w:rPr>
              <w:t>2015</w:t>
            </w:r>
          </w:p>
        </w:tc>
        <w:tc>
          <w:tcPr>
            <w:tcW w:w="2303" w:type="dxa"/>
          </w:tcPr>
          <w:p w:rsidR="00222D27" w:rsidRPr="004F1333" w:rsidRDefault="00222D27" w:rsidP="00951B14">
            <w:pPr>
              <w:jc w:val="center"/>
              <w:rPr>
                <w:sz w:val="26"/>
                <w:szCs w:val="26"/>
              </w:rPr>
            </w:pPr>
            <w:r w:rsidRPr="004F1333">
              <w:rPr>
                <w:sz w:val="26"/>
                <w:szCs w:val="26"/>
              </w:rPr>
              <w:t>-19,7</w:t>
            </w:r>
          </w:p>
        </w:tc>
      </w:tr>
    </w:tbl>
    <w:p w:rsidR="00222D27" w:rsidRDefault="00222D27" w:rsidP="00222D27">
      <w:pPr>
        <w:pStyle w:val="Bezodstpw"/>
        <w:jc w:val="both"/>
        <w:rPr>
          <w:sz w:val="26"/>
          <w:szCs w:val="26"/>
        </w:rPr>
      </w:pPr>
    </w:p>
    <w:p w:rsidR="00222D27" w:rsidRPr="00B429BF" w:rsidRDefault="00222D27" w:rsidP="00222D27">
      <w:pPr>
        <w:pStyle w:val="Bezodstpw"/>
        <w:jc w:val="both"/>
        <w:rPr>
          <w:sz w:val="26"/>
          <w:szCs w:val="26"/>
        </w:rPr>
      </w:pPr>
      <w:r w:rsidRPr="00B429BF">
        <w:rPr>
          <w:sz w:val="26"/>
          <w:szCs w:val="26"/>
        </w:rPr>
        <w:t>Związek ten można pokazać za pomocą na przykład współczynnika korelacji liniowej Pearsona. Pokazuje on siłę i kierunek związku pomiędzy dwoma zmiennymi. Współczynnik ten może przyjmować wartości od minus 1,0 do plus 1,0.</w:t>
      </w:r>
    </w:p>
    <w:p w:rsidR="00222D27" w:rsidRPr="00B429BF" w:rsidRDefault="00222D27" w:rsidP="00222D27">
      <w:pPr>
        <w:pStyle w:val="Bezodstpw"/>
        <w:jc w:val="both"/>
        <w:rPr>
          <w:sz w:val="26"/>
          <w:szCs w:val="26"/>
        </w:rPr>
      </w:pPr>
    </w:p>
    <w:p w:rsidR="00222D27" w:rsidRPr="00B429BF" w:rsidRDefault="00222D27" w:rsidP="00222D27">
      <w:pPr>
        <w:pStyle w:val="Bezodstpw"/>
        <w:jc w:val="both"/>
        <w:rPr>
          <w:sz w:val="26"/>
          <w:szCs w:val="26"/>
        </w:rPr>
      </w:pPr>
      <w:r w:rsidRPr="00B429BF">
        <w:rPr>
          <w:sz w:val="26"/>
          <w:szCs w:val="26"/>
        </w:rPr>
        <w:t>Jeżeli przyjmuje on wartości wyraźnie dodatnie (na przykład plus 0,93, plus 0,84, plus 0,65 itd.) to można powiedzieć, że powiązanie pomiędzy dwoma zmiennymi ma charakter dodatni. Im wyższy poziom pierwszej zmiennej X tym wyższy poziom zmiennej drugiej.</w:t>
      </w:r>
    </w:p>
    <w:p w:rsidR="00222D27" w:rsidRPr="00B429BF" w:rsidRDefault="00222D27" w:rsidP="00222D27">
      <w:pPr>
        <w:pStyle w:val="Bezodstpw"/>
        <w:jc w:val="both"/>
        <w:rPr>
          <w:sz w:val="26"/>
          <w:szCs w:val="26"/>
        </w:rPr>
      </w:pPr>
    </w:p>
    <w:p w:rsidR="00222D27" w:rsidRPr="00B429BF" w:rsidRDefault="00222D27" w:rsidP="00222D27">
      <w:pPr>
        <w:pStyle w:val="Bezodstpw"/>
        <w:jc w:val="both"/>
        <w:rPr>
          <w:sz w:val="26"/>
          <w:szCs w:val="26"/>
        </w:rPr>
      </w:pPr>
      <w:r w:rsidRPr="00B429BF">
        <w:rPr>
          <w:sz w:val="26"/>
          <w:szCs w:val="26"/>
        </w:rPr>
        <w:t>Jeżeli współczynnik ten przyjmuje wartości wyraźnie ujemne (na przykład minus 0,91, minus 0,74, minus 0,51 itd.) to można powiedzieć, że powiązanie pomiędzy dwoma zmiennymi ma charakter ujemny. Im wyższy poziom pierwszej zmiennej tym niższy poziom zmiennej drugiej.</w:t>
      </w:r>
      <w:r>
        <w:rPr>
          <w:sz w:val="26"/>
          <w:szCs w:val="26"/>
        </w:rPr>
        <w:t xml:space="preserve"> </w:t>
      </w:r>
      <w:r w:rsidRPr="00B429BF">
        <w:rPr>
          <w:sz w:val="26"/>
          <w:szCs w:val="26"/>
        </w:rPr>
        <w:t>Jeżeli współczynnik ten przyjmuje wartości bliskie zeru (na przykład minus 0,05, plus 0,12, plus 0,07) to można powiedzieć, że powiązania pomiędzy oboma zmiennymi praktycznie nie ma, bądź, że jest ono minimalne.</w:t>
      </w:r>
    </w:p>
    <w:p w:rsidR="00222D27" w:rsidRPr="00B429BF" w:rsidRDefault="00222D27" w:rsidP="00222D27">
      <w:pPr>
        <w:pStyle w:val="Bezodstpw"/>
        <w:jc w:val="both"/>
        <w:rPr>
          <w:sz w:val="26"/>
          <w:szCs w:val="26"/>
        </w:rPr>
      </w:pPr>
    </w:p>
    <w:p w:rsidR="00222D27" w:rsidRPr="00B429BF" w:rsidRDefault="00222D27" w:rsidP="00222D27">
      <w:pPr>
        <w:pStyle w:val="Bezodstpw"/>
        <w:jc w:val="both"/>
        <w:rPr>
          <w:sz w:val="26"/>
          <w:szCs w:val="26"/>
        </w:rPr>
      </w:pPr>
      <w:r w:rsidRPr="00B429BF">
        <w:rPr>
          <w:sz w:val="26"/>
          <w:szCs w:val="26"/>
        </w:rPr>
        <w:t xml:space="preserve">Policzyłem poziom współczynnika korelacji liniowej Pearsona dla związku pomiędzy </w:t>
      </w:r>
      <w:r>
        <w:rPr>
          <w:sz w:val="26"/>
          <w:szCs w:val="26"/>
        </w:rPr>
        <w:t>poziomem wskaźnika C/WK dla indeksu WIG20 w roku T</w:t>
      </w:r>
      <w:r w:rsidRPr="00B429BF">
        <w:rPr>
          <w:sz w:val="26"/>
          <w:szCs w:val="26"/>
        </w:rPr>
        <w:t xml:space="preserve"> a stopą zwrotu z indeksu WIG 20 w roku T</w:t>
      </w:r>
      <w:r>
        <w:rPr>
          <w:sz w:val="26"/>
          <w:szCs w:val="26"/>
        </w:rPr>
        <w:t>+1</w:t>
      </w:r>
      <w:r w:rsidRPr="00B429BF">
        <w:rPr>
          <w:sz w:val="26"/>
          <w:szCs w:val="26"/>
        </w:rPr>
        <w:t xml:space="preserve"> dla lat </w:t>
      </w:r>
      <w:r>
        <w:rPr>
          <w:sz w:val="26"/>
          <w:szCs w:val="26"/>
        </w:rPr>
        <w:t>2007-2015</w:t>
      </w:r>
      <w:r w:rsidRPr="00B429BF">
        <w:rPr>
          <w:sz w:val="26"/>
          <w:szCs w:val="26"/>
        </w:rPr>
        <w:t>.</w:t>
      </w:r>
      <w:r>
        <w:rPr>
          <w:sz w:val="26"/>
          <w:szCs w:val="26"/>
        </w:rPr>
        <w:t xml:space="preserve"> Wykorzystałem dane z portalu </w:t>
      </w:r>
      <w:hyperlink r:id="rId9" w:history="1">
        <w:r w:rsidRPr="00CA6F77">
          <w:rPr>
            <w:rStyle w:val="Hipercze"/>
            <w:sz w:val="26"/>
            <w:szCs w:val="26"/>
          </w:rPr>
          <w:t>http://stooq.pl/</w:t>
        </w:r>
      </w:hyperlink>
      <w:r>
        <w:rPr>
          <w:sz w:val="26"/>
          <w:szCs w:val="26"/>
        </w:rPr>
        <w:t xml:space="preserve">. </w:t>
      </w:r>
    </w:p>
    <w:p w:rsidR="00222D27" w:rsidRPr="00B429BF" w:rsidRDefault="00222D27" w:rsidP="00222D27">
      <w:pPr>
        <w:pStyle w:val="Bezodstpw"/>
        <w:jc w:val="both"/>
        <w:rPr>
          <w:sz w:val="26"/>
          <w:szCs w:val="26"/>
        </w:rPr>
      </w:pPr>
      <w:r w:rsidRPr="00B429BF">
        <w:rPr>
          <w:sz w:val="26"/>
          <w:szCs w:val="26"/>
        </w:rPr>
        <w:t xml:space="preserve">Okazało się, że poziom tego współczynnika wyniósł </w:t>
      </w:r>
      <w:r>
        <w:rPr>
          <w:sz w:val="26"/>
          <w:szCs w:val="26"/>
        </w:rPr>
        <w:t>minus 0,73</w:t>
      </w:r>
      <w:r w:rsidRPr="00B429BF">
        <w:rPr>
          <w:sz w:val="26"/>
          <w:szCs w:val="26"/>
        </w:rPr>
        <w:t>.</w:t>
      </w:r>
    </w:p>
    <w:p w:rsidR="00222D27" w:rsidRPr="00B429BF" w:rsidRDefault="00222D27" w:rsidP="00222D27">
      <w:pPr>
        <w:pStyle w:val="Bezodstpw"/>
        <w:jc w:val="both"/>
        <w:rPr>
          <w:sz w:val="26"/>
          <w:szCs w:val="26"/>
        </w:rPr>
      </w:pPr>
    </w:p>
    <w:p w:rsidR="00222D27" w:rsidRDefault="00222D27" w:rsidP="00222D27">
      <w:pPr>
        <w:pStyle w:val="Bezodstpw"/>
        <w:jc w:val="both"/>
        <w:rPr>
          <w:sz w:val="26"/>
          <w:szCs w:val="26"/>
        </w:rPr>
      </w:pPr>
      <w:r w:rsidRPr="00B429BF">
        <w:rPr>
          <w:sz w:val="26"/>
          <w:szCs w:val="26"/>
        </w:rPr>
        <w:t xml:space="preserve">Oznacza to, że powiązanie pomiędzy tymi dwoma zmiennymi ma charakter </w:t>
      </w:r>
      <w:proofErr w:type="gramStart"/>
      <w:r>
        <w:rPr>
          <w:sz w:val="26"/>
          <w:szCs w:val="26"/>
        </w:rPr>
        <w:t xml:space="preserve">ujemny </w:t>
      </w:r>
      <w:r w:rsidRPr="00B429BF">
        <w:rPr>
          <w:sz w:val="26"/>
          <w:szCs w:val="26"/>
        </w:rPr>
        <w:t xml:space="preserve"> </w:t>
      </w:r>
      <w:r w:rsidRPr="00222D27">
        <w:rPr>
          <w:b/>
          <w:sz w:val="26"/>
          <w:szCs w:val="26"/>
        </w:rPr>
        <w:t>Im</w:t>
      </w:r>
      <w:proofErr w:type="gramEnd"/>
      <w:r w:rsidRPr="00222D27">
        <w:rPr>
          <w:b/>
          <w:sz w:val="26"/>
          <w:szCs w:val="26"/>
        </w:rPr>
        <w:t xml:space="preserve"> niższy poziom</w:t>
      </w:r>
      <w:r w:rsidRPr="00B429BF">
        <w:rPr>
          <w:sz w:val="26"/>
          <w:szCs w:val="26"/>
        </w:rPr>
        <w:t xml:space="preserve"> zmiennej pierwszej (</w:t>
      </w:r>
      <w:r>
        <w:rPr>
          <w:sz w:val="26"/>
          <w:szCs w:val="26"/>
        </w:rPr>
        <w:t xml:space="preserve">poziom wskaźnika </w:t>
      </w:r>
      <w:r w:rsidRPr="00222D27">
        <w:rPr>
          <w:b/>
          <w:sz w:val="26"/>
          <w:szCs w:val="26"/>
        </w:rPr>
        <w:t>C/WK dla indeksu WIG20 w roku T</w:t>
      </w:r>
      <w:r>
        <w:rPr>
          <w:sz w:val="26"/>
          <w:szCs w:val="26"/>
        </w:rPr>
        <w:t>)</w:t>
      </w:r>
      <w:r w:rsidRPr="00B429BF">
        <w:rPr>
          <w:sz w:val="26"/>
          <w:szCs w:val="26"/>
        </w:rPr>
        <w:t xml:space="preserve"> </w:t>
      </w:r>
      <w:r w:rsidRPr="00222D27">
        <w:rPr>
          <w:b/>
          <w:sz w:val="26"/>
          <w:szCs w:val="26"/>
        </w:rPr>
        <w:t>tym wyższy poziom</w:t>
      </w:r>
      <w:r w:rsidRPr="00B429BF">
        <w:rPr>
          <w:sz w:val="26"/>
          <w:szCs w:val="26"/>
        </w:rPr>
        <w:t xml:space="preserve"> zmiennej drugiej (</w:t>
      </w:r>
      <w:r w:rsidRPr="00222D27">
        <w:rPr>
          <w:b/>
          <w:sz w:val="26"/>
          <w:szCs w:val="26"/>
        </w:rPr>
        <w:t>stopa zwrotu z indeksu giełdowego WIG 20 w roku T+1</w:t>
      </w:r>
      <w:r w:rsidRPr="00B429BF">
        <w:rPr>
          <w:sz w:val="26"/>
          <w:szCs w:val="26"/>
        </w:rPr>
        <w:t>)</w:t>
      </w:r>
    </w:p>
    <w:p w:rsidR="00222D27" w:rsidRDefault="00222D27" w:rsidP="00222D27">
      <w:pPr>
        <w:pStyle w:val="Bezodstpw"/>
        <w:jc w:val="both"/>
        <w:rPr>
          <w:sz w:val="26"/>
          <w:szCs w:val="26"/>
        </w:rPr>
      </w:pPr>
    </w:p>
    <w:p w:rsidR="00222D27" w:rsidRDefault="00222D27" w:rsidP="00222D27">
      <w:pPr>
        <w:pStyle w:val="Bezodstpw"/>
        <w:jc w:val="both"/>
        <w:rPr>
          <w:sz w:val="26"/>
          <w:szCs w:val="26"/>
        </w:rPr>
      </w:pPr>
      <w:r>
        <w:rPr>
          <w:sz w:val="26"/>
          <w:szCs w:val="26"/>
        </w:rPr>
        <w:t xml:space="preserve">Warto zauważyć, że obecnie (według stanu na 9 września 2016 roku) poziom wskaźnika C/WK dla indeksu WIG20 wynosi 1,1. </w:t>
      </w:r>
      <w:proofErr w:type="gramStart"/>
      <w:r>
        <w:rPr>
          <w:sz w:val="26"/>
          <w:szCs w:val="26"/>
        </w:rPr>
        <w:t>Jest więc</w:t>
      </w:r>
      <w:proofErr w:type="gramEnd"/>
      <w:r>
        <w:rPr>
          <w:sz w:val="26"/>
          <w:szCs w:val="26"/>
        </w:rPr>
        <w:t xml:space="preserve"> bardzo niski. To optymistyczne. Stwarza to szansę na to, że lada moment większy kapitał zainteresuje </w:t>
      </w:r>
      <w:r>
        <w:rPr>
          <w:sz w:val="26"/>
          <w:szCs w:val="26"/>
        </w:rPr>
        <w:lastRenderedPageBreak/>
        <w:t xml:space="preserve">się akcjami spółek o dużej kapitalizacji notowanymi na giełdzie warszawskiej. Należy ponadto pamiętać o tym, że na długoterminowym wykresie indeksu WIG20 znajdujemy się </w:t>
      </w:r>
      <w:r w:rsidRPr="00222D27">
        <w:rPr>
          <w:b/>
          <w:sz w:val="26"/>
          <w:szCs w:val="26"/>
        </w:rPr>
        <w:t>w pobliżu wsparcia w postaci lekko wzrostowej linii trendu</w:t>
      </w:r>
      <w:r>
        <w:rPr>
          <w:sz w:val="26"/>
          <w:szCs w:val="26"/>
        </w:rPr>
        <w:t xml:space="preserve"> a oscylator stochastyczny stworzony na podstawie danych kwartalnych na temat indeksu WIG20 znajduje się </w:t>
      </w:r>
      <w:r w:rsidRPr="00222D27">
        <w:rPr>
          <w:b/>
          <w:sz w:val="26"/>
          <w:szCs w:val="26"/>
        </w:rPr>
        <w:t>w strefie wyprzedania</w:t>
      </w:r>
      <w:r>
        <w:rPr>
          <w:sz w:val="26"/>
          <w:szCs w:val="26"/>
        </w:rPr>
        <w:t xml:space="preserve">. </w:t>
      </w:r>
    </w:p>
    <w:p w:rsidR="00222D27" w:rsidRDefault="00222D27" w:rsidP="00222D27">
      <w:pPr>
        <w:pStyle w:val="Bezodstpw"/>
        <w:jc w:val="both"/>
        <w:rPr>
          <w:sz w:val="26"/>
          <w:szCs w:val="26"/>
        </w:rPr>
      </w:pPr>
    </w:p>
    <w:p w:rsidR="00222D27" w:rsidRDefault="00222D27" w:rsidP="00222D27">
      <w:pPr>
        <w:pStyle w:val="Bezodstpw"/>
        <w:jc w:val="both"/>
        <w:rPr>
          <w:b/>
          <w:sz w:val="26"/>
          <w:szCs w:val="26"/>
          <w:u w:val="single"/>
        </w:rPr>
      </w:pPr>
      <w:r w:rsidRPr="00256E7F">
        <w:rPr>
          <w:b/>
          <w:sz w:val="26"/>
          <w:szCs w:val="26"/>
          <w:u w:val="single"/>
        </w:rPr>
        <w:t>WIG20</w:t>
      </w:r>
    </w:p>
    <w:p w:rsidR="00222D27" w:rsidRPr="00256E7F" w:rsidRDefault="00222D27" w:rsidP="00222D27">
      <w:pPr>
        <w:pStyle w:val="Bezodstpw"/>
        <w:jc w:val="both"/>
        <w:rPr>
          <w:b/>
          <w:sz w:val="26"/>
          <w:szCs w:val="26"/>
          <w:u w:val="single"/>
        </w:rPr>
      </w:pPr>
      <w:r>
        <w:rPr>
          <w:b/>
          <w:noProof/>
          <w:sz w:val="26"/>
          <w:szCs w:val="26"/>
          <w:u w:val="single"/>
          <w:lang w:eastAsia="pl-PL"/>
        </w:rPr>
        <w:drawing>
          <wp:inline distT="0" distB="0" distL="0" distR="0" wp14:anchorId="7C3ED62C" wp14:editId="11AB58D0">
            <wp:extent cx="5448300" cy="32670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3267075"/>
                    </a:xfrm>
                    <a:prstGeom prst="rect">
                      <a:avLst/>
                    </a:prstGeom>
                    <a:noFill/>
                  </pic:spPr>
                </pic:pic>
              </a:graphicData>
            </a:graphic>
          </wp:inline>
        </w:drawing>
      </w:r>
    </w:p>
    <w:p w:rsidR="00222D27" w:rsidRDefault="00222D27" w:rsidP="00222D27">
      <w:pPr>
        <w:pStyle w:val="Bezodstpw"/>
        <w:jc w:val="both"/>
        <w:rPr>
          <w:sz w:val="26"/>
          <w:szCs w:val="26"/>
        </w:rPr>
      </w:pPr>
    </w:p>
    <w:p w:rsidR="00222D27" w:rsidRDefault="00222D27" w:rsidP="00222D27">
      <w:pPr>
        <w:pStyle w:val="Bezodstpw"/>
        <w:jc w:val="both"/>
        <w:rPr>
          <w:sz w:val="26"/>
          <w:szCs w:val="26"/>
        </w:rPr>
      </w:pPr>
      <w:r>
        <w:rPr>
          <w:sz w:val="26"/>
          <w:szCs w:val="26"/>
        </w:rPr>
        <w:t xml:space="preserve">W piątek agencja </w:t>
      </w:r>
      <w:proofErr w:type="spellStart"/>
      <w:r w:rsidRPr="00CA749A">
        <w:rPr>
          <w:sz w:val="26"/>
          <w:szCs w:val="26"/>
        </w:rPr>
        <w:t>Agencja</w:t>
      </w:r>
      <w:proofErr w:type="spellEnd"/>
      <w:r w:rsidRPr="00CA749A">
        <w:rPr>
          <w:sz w:val="26"/>
          <w:szCs w:val="26"/>
        </w:rPr>
        <w:t xml:space="preserve"> </w:t>
      </w:r>
      <w:proofErr w:type="spellStart"/>
      <w:r w:rsidRPr="00CA749A">
        <w:rPr>
          <w:sz w:val="26"/>
          <w:szCs w:val="26"/>
        </w:rPr>
        <w:t>Moody's</w:t>
      </w:r>
      <w:proofErr w:type="spellEnd"/>
      <w:r w:rsidRPr="00CA749A">
        <w:rPr>
          <w:sz w:val="26"/>
          <w:szCs w:val="26"/>
        </w:rPr>
        <w:t xml:space="preserve"> opublikowała komunikat w sprawie polskiego ratingu</w:t>
      </w:r>
      <w:r>
        <w:rPr>
          <w:sz w:val="26"/>
          <w:szCs w:val="26"/>
        </w:rPr>
        <w:t xml:space="preserve">. Okazało się, że </w:t>
      </w:r>
      <w:r w:rsidRPr="00222D27">
        <w:rPr>
          <w:b/>
          <w:sz w:val="26"/>
          <w:szCs w:val="26"/>
        </w:rPr>
        <w:t>dotychczasowa ocena została podtrzymana</w:t>
      </w:r>
      <w:r>
        <w:rPr>
          <w:sz w:val="26"/>
          <w:szCs w:val="26"/>
        </w:rPr>
        <w:t xml:space="preserve">. Nie jest wykluczone, że inwestorzy giełdowi dysponujący dużymi aktywami przyjmą tą wiadomość pozytywnie. Jak </w:t>
      </w:r>
      <w:proofErr w:type="gramStart"/>
      <w:r>
        <w:rPr>
          <w:sz w:val="26"/>
          <w:szCs w:val="26"/>
        </w:rPr>
        <w:t xml:space="preserve">będzie ?. </w:t>
      </w:r>
      <w:proofErr w:type="gramEnd"/>
      <w:r>
        <w:rPr>
          <w:sz w:val="26"/>
          <w:szCs w:val="26"/>
        </w:rPr>
        <w:t>Czas pokaże. W każdym razie z punktu widzenia zarówno uwarunkowań technicznych jak i wskaźnika wyceny C/WK można oczekiwać w perspektywie najbliższych miesięcy raczej zwyżek.</w:t>
      </w:r>
    </w:p>
    <w:p w:rsidR="00222D27" w:rsidRDefault="00222D27" w:rsidP="00222D27">
      <w:pPr>
        <w:pStyle w:val="Bezodstpw"/>
        <w:jc w:val="both"/>
        <w:rPr>
          <w:sz w:val="26"/>
          <w:szCs w:val="26"/>
        </w:rPr>
      </w:pPr>
    </w:p>
    <w:p w:rsidR="00222D27" w:rsidRPr="00222D27" w:rsidRDefault="00222D27" w:rsidP="00222D27">
      <w:pPr>
        <w:pStyle w:val="Bezodstpw"/>
        <w:jc w:val="both"/>
        <w:rPr>
          <w:b/>
          <w:color w:val="FF0000"/>
          <w:sz w:val="26"/>
          <w:szCs w:val="26"/>
        </w:rPr>
      </w:pPr>
      <w:r>
        <w:rPr>
          <w:sz w:val="26"/>
          <w:szCs w:val="26"/>
        </w:rPr>
        <w:t xml:space="preserve">Oczywiście zawsze powstaje pytanie: które akcje spółek z indeksu WIG20 zachowają się szczególnie </w:t>
      </w:r>
      <w:proofErr w:type="gramStart"/>
      <w:r>
        <w:rPr>
          <w:sz w:val="26"/>
          <w:szCs w:val="26"/>
        </w:rPr>
        <w:t xml:space="preserve">mocno ? </w:t>
      </w:r>
      <w:proofErr w:type="gramEnd"/>
      <w:r>
        <w:rPr>
          <w:sz w:val="26"/>
          <w:szCs w:val="26"/>
        </w:rPr>
        <w:t xml:space="preserve">Nie wnikając w szczegółu mogę ogólnie powiedzieć, że rozważając ten problem warto brać pod uwagę zarówno czynniki </w:t>
      </w:r>
      <w:r w:rsidRPr="00222D27">
        <w:rPr>
          <w:b/>
          <w:color w:val="FF0000"/>
          <w:sz w:val="26"/>
          <w:szCs w:val="26"/>
        </w:rPr>
        <w:t xml:space="preserve">techniczne, jak również psychologiczne oraz fundamentalne. </w:t>
      </w:r>
    </w:p>
    <w:p w:rsidR="00222D27" w:rsidRDefault="00222D27" w:rsidP="00222D27">
      <w:pPr>
        <w:pStyle w:val="Bezodstpw"/>
        <w:jc w:val="both"/>
        <w:rPr>
          <w:sz w:val="26"/>
          <w:szCs w:val="26"/>
        </w:rPr>
      </w:pPr>
    </w:p>
    <w:p w:rsidR="00222D27" w:rsidRDefault="00222D27" w:rsidP="00222D27">
      <w:pPr>
        <w:pStyle w:val="Bezodstpw"/>
        <w:jc w:val="both"/>
        <w:rPr>
          <w:sz w:val="26"/>
          <w:szCs w:val="26"/>
        </w:rPr>
      </w:pPr>
      <w:r>
        <w:rPr>
          <w:sz w:val="26"/>
          <w:szCs w:val="26"/>
        </w:rPr>
        <w:t xml:space="preserve">Być może </w:t>
      </w:r>
      <w:r w:rsidRPr="00222D27">
        <w:rPr>
          <w:b/>
          <w:color w:val="FF0000"/>
          <w:sz w:val="26"/>
          <w:szCs w:val="26"/>
        </w:rPr>
        <w:t>pomocą metodologiczną</w:t>
      </w:r>
      <w:r w:rsidRPr="00222D27">
        <w:rPr>
          <w:color w:val="FF0000"/>
          <w:sz w:val="26"/>
          <w:szCs w:val="26"/>
        </w:rPr>
        <w:t xml:space="preserve"> </w:t>
      </w:r>
      <w:r>
        <w:rPr>
          <w:sz w:val="26"/>
          <w:szCs w:val="26"/>
        </w:rPr>
        <w:t xml:space="preserve">do przeprowadzenie w tej mierze samodzielnych badań porównawczych (w zakresie akcji spółek z indeksu WIG20) będzie na przykład lektura analizy branży materiałów budowlanych. </w:t>
      </w:r>
    </w:p>
    <w:p w:rsidR="00222D27" w:rsidRDefault="00222D27" w:rsidP="00222D27">
      <w:pPr>
        <w:pStyle w:val="Bezodstpw"/>
        <w:jc w:val="both"/>
        <w:rPr>
          <w:sz w:val="26"/>
          <w:szCs w:val="26"/>
        </w:rPr>
      </w:pPr>
    </w:p>
    <w:p w:rsidR="00222D27" w:rsidRDefault="00222D27" w:rsidP="00222D27">
      <w:pPr>
        <w:pStyle w:val="Bezodstpw"/>
        <w:jc w:val="both"/>
      </w:pPr>
      <w:hyperlink r:id="rId11" w:history="1">
        <w:r w:rsidRPr="007E2A17">
          <w:rPr>
            <w:rStyle w:val="Hipercze"/>
            <w:sz w:val="26"/>
            <w:szCs w:val="26"/>
          </w:rPr>
          <w:t>http://analizy-rynkowe.pl/w-jaki-sposob-mozna-przeprowadzic-uproszczona-analize-branzowa-w-oparciu-o-kryteria-techniczne-fundamentalne-i-psychologiczne-na-przykladzie-analizy-branzy-materialow-budowlanych/</w:t>
        </w:r>
      </w:hyperlink>
    </w:p>
    <w:p w:rsidR="00632E72" w:rsidRPr="00EF7224" w:rsidRDefault="00632E72" w:rsidP="00632E72">
      <w:pPr>
        <w:shd w:val="clear" w:color="auto" w:fill="FFFF00"/>
      </w:pPr>
      <w:r w:rsidRPr="00EF7224">
        <w:rPr>
          <w:noProof/>
          <w:lang w:eastAsia="pl-PL"/>
        </w:rPr>
        <w:lastRenderedPageBreak/>
        <w:drawing>
          <wp:inline distT="0" distB="0" distL="0" distR="0" wp14:anchorId="1A315FEB" wp14:editId="7339787C">
            <wp:extent cx="923925" cy="1318133"/>
            <wp:effectExtent l="0" t="0" r="0" b="0"/>
            <wp:docPr id="14" name="Obraz 14" descr="http://mistrzowierynkow.pl/wp-content/uploads/2015/07/slawomir-klusek-e1436975188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trzowierynkow.pl/wp-content/uploads/2015/07/slawomir-klusek-e143697518875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945" cy="1322442"/>
                    </a:xfrm>
                    <a:prstGeom prst="rect">
                      <a:avLst/>
                    </a:prstGeom>
                    <a:noFill/>
                    <a:ln>
                      <a:noFill/>
                    </a:ln>
                  </pic:spPr>
                </pic:pic>
              </a:graphicData>
            </a:graphic>
          </wp:inline>
        </w:drawing>
      </w:r>
    </w:p>
    <w:p w:rsidR="00632E72" w:rsidRPr="00EF7224" w:rsidRDefault="00632E72" w:rsidP="00632E72">
      <w:pPr>
        <w:shd w:val="clear" w:color="auto" w:fill="FFFF00"/>
      </w:pPr>
    </w:p>
    <w:p w:rsidR="00632E72" w:rsidRPr="00EF7224" w:rsidRDefault="00632E72" w:rsidP="00632E72">
      <w:pPr>
        <w:shd w:val="clear" w:color="auto" w:fill="FFFF00"/>
        <w:jc w:val="center"/>
        <w:rPr>
          <w:sz w:val="140"/>
          <w:szCs w:val="140"/>
        </w:rPr>
      </w:pPr>
      <w:r w:rsidRPr="00EF7224">
        <w:rPr>
          <w:sz w:val="140"/>
          <w:szCs w:val="140"/>
        </w:rPr>
        <w:t>Rubryka</w:t>
      </w:r>
    </w:p>
    <w:p w:rsidR="00632E72" w:rsidRPr="00EF7224" w:rsidRDefault="00632E72" w:rsidP="00632E72">
      <w:pPr>
        <w:shd w:val="clear" w:color="auto" w:fill="FFFF00"/>
        <w:jc w:val="center"/>
        <w:rPr>
          <w:sz w:val="90"/>
          <w:szCs w:val="90"/>
        </w:rPr>
      </w:pPr>
      <w:proofErr w:type="gramStart"/>
      <w:r w:rsidRPr="00EF7224">
        <w:rPr>
          <w:sz w:val="140"/>
          <w:szCs w:val="140"/>
        </w:rPr>
        <w:t>,,</w:t>
      </w:r>
      <w:proofErr w:type="gramEnd"/>
      <w:r w:rsidRPr="00EF7224">
        <w:rPr>
          <w:sz w:val="140"/>
          <w:szCs w:val="140"/>
        </w:rPr>
        <w:t>Wykres do przemyślenia”</w:t>
      </w:r>
    </w:p>
    <w:p w:rsidR="00632E72" w:rsidRPr="00EF7224" w:rsidRDefault="00632E72" w:rsidP="00632E72">
      <w:pPr>
        <w:shd w:val="clear" w:color="auto" w:fill="FFFF00"/>
        <w:jc w:val="center"/>
        <w:rPr>
          <w:sz w:val="50"/>
          <w:szCs w:val="50"/>
        </w:rPr>
      </w:pPr>
      <w:r w:rsidRPr="00EF7224">
        <w:rPr>
          <w:sz w:val="50"/>
          <w:szCs w:val="50"/>
        </w:rPr>
        <w:t>Sławomir Kłusek</w:t>
      </w:r>
    </w:p>
    <w:p w:rsidR="00632E72" w:rsidRPr="00EF7224" w:rsidRDefault="00632E72" w:rsidP="00632E72">
      <w:pPr>
        <w:shd w:val="clear" w:color="auto" w:fill="548DD4" w:themeFill="text2" w:themeFillTint="99"/>
        <w:jc w:val="center"/>
        <w:rPr>
          <w:smallCaps/>
          <w:color w:val="FFFFFF" w:themeColor="background1"/>
          <w:sz w:val="90"/>
          <w:szCs w:val="90"/>
        </w:rPr>
      </w:pPr>
      <w:proofErr w:type="gramStart"/>
      <w:r w:rsidRPr="00EF7224">
        <w:rPr>
          <w:smallCaps/>
          <w:color w:val="FFFFFF" w:themeColor="background1"/>
          <w:sz w:val="90"/>
          <w:szCs w:val="90"/>
        </w:rPr>
        <w:t>analizy-rynkowe</w:t>
      </w:r>
      <w:proofErr w:type="gramEnd"/>
      <w:r w:rsidRPr="00EF7224">
        <w:rPr>
          <w:smallCaps/>
          <w:color w:val="FFFFFF" w:themeColor="background1"/>
          <w:sz w:val="90"/>
          <w:szCs w:val="90"/>
        </w:rPr>
        <w:t>.</w:t>
      </w:r>
      <w:proofErr w:type="gramStart"/>
      <w:r w:rsidRPr="00EF7224">
        <w:rPr>
          <w:smallCaps/>
          <w:color w:val="FFFFFF" w:themeColor="background1"/>
          <w:sz w:val="90"/>
          <w:szCs w:val="90"/>
        </w:rPr>
        <w:t>pl</w:t>
      </w:r>
      <w:proofErr w:type="gramEnd"/>
    </w:p>
    <w:p w:rsidR="00632E72" w:rsidRPr="00EF7224" w:rsidRDefault="00632E72" w:rsidP="00632E72">
      <w:pPr>
        <w:shd w:val="clear" w:color="auto" w:fill="FFFF00"/>
        <w:jc w:val="center"/>
        <w:rPr>
          <w:sz w:val="50"/>
          <w:szCs w:val="50"/>
        </w:rPr>
      </w:pPr>
    </w:p>
    <w:p w:rsidR="00632E72" w:rsidRPr="00EF7224" w:rsidRDefault="00632E72" w:rsidP="00632E72">
      <w:pPr>
        <w:shd w:val="clear" w:color="auto" w:fill="FFFF00"/>
        <w:jc w:val="center"/>
        <w:rPr>
          <w:sz w:val="50"/>
          <w:szCs w:val="50"/>
        </w:rPr>
      </w:pPr>
    </w:p>
    <w:p w:rsidR="00632E72" w:rsidRPr="00EF7224" w:rsidRDefault="00632E72" w:rsidP="00632E72">
      <w:pPr>
        <w:shd w:val="clear" w:color="auto" w:fill="FFFF00"/>
        <w:jc w:val="center"/>
        <w:rPr>
          <w:sz w:val="50"/>
          <w:szCs w:val="50"/>
        </w:rPr>
      </w:pPr>
    </w:p>
    <w:p w:rsidR="00632E72" w:rsidRPr="00EF7224" w:rsidRDefault="00632E72" w:rsidP="00632E72">
      <w:pPr>
        <w:spacing w:after="0" w:line="240" w:lineRule="auto"/>
        <w:jc w:val="both"/>
        <w:rPr>
          <w:rFonts w:eastAsiaTheme="minorEastAsia"/>
          <w:color w:val="FF0000"/>
          <w:sz w:val="70"/>
          <w:szCs w:val="70"/>
          <w:lang w:eastAsia="pl-PL"/>
          <w14:shadow w14:blurRad="50800" w14:dist="38100" w14:dir="2700000" w14:sx="100000" w14:sy="100000" w14:kx="0" w14:ky="0" w14:algn="tl">
            <w14:srgbClr w14:val="000000">
              <w14:alpha w14:val="60000"/>
            </w14:srgbClr>
          </w14:shadow>
        </w:rPr>
      </w:pPr>
      <w:r w:rsidRPr="00EF7224">
        <w:rPr>
          <w:rFonts w:eastAsiaTheme="minorEastAsia"/>
          <w:b/>
          <w:color w:val="000000" w:themeColor="text1"/>
          <w:sz w:val="70"/>
          <w:szCs w:val="70"/>
          <w:lang w:eastAsia="pl-PL"/>
          <w14:shadow w14:blurRad="50800" w14:dist="38100" w14:dir="2700000" w14:sx="100000" w14:sy="100000" w14:kx="0" w14:ky="0" w14:algn="tl">
            <w14:srgbClr w14:val="000000">
              <w14:alpha w14:val="60000"/>
            </w14:srgbClr>
          </w14:shadow>
        </w:rPr>
        <w:lastRenderedPageBreak/>
        <w:t xml:space="preserve">Średnia procentowa zmiana kursu akcji spółki po wprowadzeniu jej do rubryki </w:t>
      </w:r>
      <w:proofErr w:type="gramStart"/>
      <w:r w:rsidRPr="00EF7224">
        <w:rPr>
          <w:rFonts w:eastAsiaTheme="minorEastAsia"/>
          <w:b/>
          <w:color w:val="000000" w:themeColor="text1"/>
          <w:sz w:val="70"/>
          <w:szCs w:val="70"/>
          <w:lang w:eastAsia="pl-PL"/>
          <w14:shadow w14:blurRad="50800" w14:dist="38100" w14:dir="2700000" w14:sx="100000" w14:sy="100000" w14:kx="0" w14:ky="0" w14:algn="tl">
            <w14:srgbClr w14:val="000000">
              <w14:alpha w14:val="60000"/>
            </w14:srgbClr>
          </w14:shadow>
        </w:rPr>
        <w:t>,,</w:t>
      </w:r>
      <w:proofErr w:type="gramEnd"/>
      <w:r w:rsidRPr="00EF7224">
        <w:rPr>
          <w:rFonts w:eastAsiaTheme="minorEastAsia"/>
          <w:b/>
          <w:color w:val="000000" w:themeColor="text1"/>
          <w:sz w:val="70"/>
          <w:szCs w:val="70"/>
          <w:lang w:eastAsia="pl-PL"/>
          <w14:shadow w14:blurRad="50800" w14:dist="38100" w14:dir="2700000" w14:sx="100000" w14:sy="100000" w14:kx="0" w14:ky="0" w14:algn="tl">
            <w14:srgbClr w14:val="000000">
              <w14:alpha w14:val="60000"/>
            </w14:srgbClr>
          </w14:shadow>
        </w:rPr>
        <w:t xml:space="preserve">Wykres do przemyślenia” w okresie 12 pierwszych miesięcy po jej wprowadzeniu do tej rubryki była dotychczas </w:t>
      </w:r>
      <w:r w:rsidRPr="00EF7224">
        <w:rPr>
          <w:rFonts w:eastAsiaTheme="minorEastAsia"/>
          <w:b/>
          <w:color w:val="FF0000"/>
          <w:sz w:val="70"/>
          <w:szCs w:val="70"/>
          <w:lang w:eastAsia="pl-PL"/>
          <w14:shadow w14:blurRad="50800" w14:dist="38100" w14:dir="2700000" w14:sx="100000" w14:sy="100000" w14:kx="0" w14:ky="0" w14:algn="tl">
            <w14:srgbClr w14:val="000000">
              <w14:alpha w14:val="60000"/>
            </w14:srgbClr>
          </w14:shadow>
        </w:rPr>
        <w:t>lepsza o 22,</w:t>
      </w:r>
      <w:r>
        <w:rPr>
          <w:rFonts w:eastAsiaTheme="minorEastAsia"/>
          <w:b/>
          <w:color w:val="FF0000"/>
          <w:sz w:val="70"/>
          <w:szCs w:val="70"/>
          <w:lang w:eastAsia="pl-PL"/>
          <w14:shadow w14:blurRad="50800" w14:dist="38100" w14:dir="2700000" w14:sx="100000" w14:sy="100000" w14:kx="0" w14:ky="0" w14:algn="tl">
            <w14:srgbClr w14:val="000000">
              <w14:alpha w14:val="60000"/>
            </w14:srgbClr>
          </w14:shadow>
        </w:rPr>
        <w:t>0</w:t>
      </w:r>
      <w:r w:rsidRPr="00EF7224">
        <w:rPr>
          <w:rFonts w:eastAsiaTheme="minorEastAsia"/>
          <w:b/>
          <w:color w:val="FF0000"/>
          <w:sz w:val="70"/>
          <w:szCs w:val="70"/>
          <w:lang w:eastAsia="pl-PL"/>
          <w14:shadow w14:blurRad="50800" w14:dist="38100" w14:dir="2700000" w14:sx="100000" w14:sy="100000" w14:kx="0" w14:ky="0" w14:algn="tl">
            <w14:srgbClr w14:val="000000">
              <w14:alpha w14:val="60000"/>
            </w14:srgbClr>
          </w14:shadow>
        </w:rPr>
        <w:t xml:space="preserve"> punku procentowego od WIG-u</w:t>
      </w:r>
    </w:p>
    <w:p w:rsidR="00632E72" w:rsidRPr="00EF7224" w:rsidRDefault="00632E72" w:rsidP="00632E72">
      <w:pPr>
        <w:spacing w:after="0" w:line="240" w:lineRule="auto"/>
        <w:jc w:val="center"/>
        <w:rPr>
          <w:rFonts w:eastAsiaTheme="minorEastAsia"/>
          <w:color w:val="FF0000"/>
          <w:sz w:val="60"/>
          <w:szCs w:val="60"/>
          <w:lang w:eastAsia="pl-PL"/>
          <w14:shadow w14:blurRad="50800" w14:dist="38100" w14:dir="2700000" w14:sx="100000" w14:sy="100000" w14:kx="0" w14:ky="0" w14:algn="tl">
            <w14:srgbClr w14:val="000000">
              <w14:alpha w14:val="60000"/>
            </w14:srgbClr>
          </w14:shadow>
        </w:rPr>
      </w:pPr>
    </w:p>
    <w:p w:rsidR="00632E72" w:rsidRPr="00EF7224" w:rsidRDefault="00632E72" w:rsidP="00632E72">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Podsumowanie</w:t>
      </w:r>
    </w:p>
    <w:p w:rsidR="00632E72" w:rsidRPr="00EF7224" w:rsidRDefault="00632E72" w:rsidP="00632E72">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proofErr w:type="gramStart"/>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według</w:t>
      </w:r>
      <w:proofErr w:type="gramEnd"/>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 </w:t>
      </w:r>
    </w:p>
    <w:p w:rsidR="00632E72" w:rsidRPr="00EF7224" w:rsidRDefault="00632E72" w:rsidP="00632E72">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proofErr w:type="gramStart"/>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stanu</w:t>
      </w:r>
      <w:proofErr w:type="gramEnd"/>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 </w:t>
      </w:r>
    </w:p>
    <w:p w:rsidR="00632E72" w:rsidRPr="00EF7224" w:rsidRDefault="00632E72" w:rsidP="00632E72">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proofErr w:type="gramStart"/>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na</w:t>
      </w:r>
      <w:proofErr w:type="gramEnd"/>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 </w:t>
      </w:r>
      <w:r>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9 września </w:t>
      </w:r>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2016 roku  </w:t>
      </w:r>
    </w:p>
    <w:p w:rsidR="00632E72" w:rsidRPr="00EF7224" w:rsidRDefault="00632E72" w:rsidP="00632E72">
      <w:pPr>
        <w:spacing w:after="0" w:line="240" w:lineRule="auto"/>
        <w:jc w:val="center"/>
        <w:rPr>
          <w:rFonts w:eastAsiaTheme="minorEastAsia"/>
          <w:sz w:val="46"/>
          <w:szCs w:val="46"/>
          <w:u w:val="single"/>
          <w:lang w:eastAsia="pl-PL"/>
          <w14:shadow w14:blurRad="50800" w14:dist="38100" w14:dir="2700000" w14:sx="100000" w14:sy="100000" w14:kx="0" w14:ky="0" w14:algn="tl">
            <w14:srgbClr w14:val="000000">
              <w14:alpha w14:val="60000"/>
            </w14:srgbClr>
          </w14:shadow>
        </w:rPr>
      </w:pPr>
    </w:p>
    <w:p w:rsidR="00632E72" w:rsidRPr="00EF7224" w:rsidRDefault="00632E72" w:rsidP="00632E72">
      <w:pPr>
        <w:spacing w:after="0" w:line="240" w:lineRule="auto"/>
        <w:jc w:val="center"/>
        <w:rPr>
          <w:rFonts w:eastAsiaTheme="minorEastAsia"/>
          <w:sz w:val="46"/>
          <w:szCs w:val="46"/>
          <w:u w:val="single"/>
          <w:lang w:eastAsia="pl-PL"/>
          <w14:shadow w14:blurRad="50800" w14:dist="38100" w14:dir="2700000" w14:sx="100000" w14:sy="100000" w14:kx="0" w14:ky="0" w14:algn="tl">
            <w14:srgbClr w14:val="000000">
              <w14:alpha w14:val="60000"/>
            </w14:srgbClr>
          </w14:shadow>
        </w:rPr>
      </w:pPr>
    </w:p>
    <w:p w:rsidR="00632E72" w:rsidRPr="00EF7224" w:rsidRDefault="00632E72" w:rsidP="00632E72">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lastRenderedPageBreak/>
        <w:t>Dla 3</w:t>
      </w:r>
      <w:r>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3</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przypadków wprowadzenia spółki do rubryki </w:t>
      </w:r>
      <w:proofErr w:type="gramStart"/>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w:t>
      </w:r>
      <w:proofErr w:type="gramEnd"/>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Wykres do przemyślenia” można już obliczyć poziom 12-miesięcznej procentowej zmiany kursu akcji po wprowadzeniu danej spółki do rubryki ,,Wykres do przemyślenia” </w:t>
      </w:r>
    </w:p>
    <w:p w:rsidR="00632E72" w:rsidRPr="00EF7224" w:rsidRDefault="00632E72" w:rsidP="00632E72">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p>
    <w:p w:rsidR="00632E72" w:rsidRPr="00EF7224" w:rsidRDefault="00632E72" w:rsidP="00632E72">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Oto lista tych 3</w:t>
      </w:r>
      <w:r>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3</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przypadków: </w:t>
      </w:r>
    </w:p>
    <w:p w:rsidR="00632E72" w:rsidRPr="00EF7224" w:rsidRDefault="00632E72" w:rsidP="00632E72">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IMMOBILE</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LENA</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NETMEDIA</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RAFAKO</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BORYSZEW</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ERBUD</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IF CAPITAL</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CAPITAL PARTNERS</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ASSECO POLAND</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CD PROJEKT</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SYGNITY</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lastRenderedPageBreak/>
        <w:t>STALPRODUKT</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ELEKTROTIM</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RELPOL</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TAURON POLSKA ENERGIA</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TESGAS</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 xml:space="preserve">ENEA </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 xml:space="preserve">PROCAD </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PKO BP</w:t>
      </w:r>
    </w:p>
    <w:p w:rsidR="00632E72" w:rsidRPr="009C1C2C" w:rsidRDefault="00632E72" w:rsidP="00632E72">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MERCOR</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COMARCH</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MUZA</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LUBAWA</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ATREM</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MOSTOSTAL WARSZAWA</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CERAMIKA NOWA GALA</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POLNORD</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TIM</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UNIMA 2000</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ROPCZYCE</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 xml:space="preserve">EUROCASH </w:t>
      </w:r>
    </w:p>
    <w:p w:rsidR="00632E72" w:rsidRPr="009C1C2C" w:rsidRDefault="00632E72" w:rsidP="00632E72">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AGORA</w:t>
      </w:r>
    </w:p>
    <w:p w:rsidR="00632E72" w:rsidRPr="00EF7224" w:rsidRDefault="00632E72" w:rsidP="00632E72">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lastRenderedPageBreak/>
        <w:t xml:space="preserve">Zmiana kursu akcji spółki w okresie 12 pierwszych miesięcy po wprowadzeniu spółki do rubryki </w:t>
      </w:r>
      <w:proofErr w:type="gramStart"/>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w:t>
      </w:r>
      <w:proofErr w:type="gramEnd"/>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Wykres do przemyślenia” oraz zmiana </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indeksów: </w:t>
      </w:r>
      <w:r w:rsidRPr="00EF7224">
        <w:rPr>
          <w:rFonts w:eastAsiaTheme="minorEastAsia"/>
          <w:b/>
          <w:color w:val="FF66CC"/>
          <w:sz w:val="50"/>
          <w:szCs w:val="50"/>
          <w:lang w:eastAsia="pl-PL"/>
          <w14:shadow w14:blurRad="50800" w14:dist="38100" w14:dir="2700000" w14:sx="100000" w14:sy="100000" w14:kx="0" w14:ky="0" w14:algn="tl">
            <w14:srgbClr w14:val="000000">
              <w14:alpha w14:val="60000"/>
            </w14:srgbClr>
          </w14:shadow>
        </w:rPr>
        <w:t>WIG 20, WIG, mWIG40 oraz sWIG80</w:t>
      </w:r>
      <w:r w:rsidRPr="00EF7224">
        <w:rPr>
          <w:rFonts w:eastAsiaTheme="minorEastAsia"/>
          <w:color w:val="FF66CC"/>
          <w:sz w:val="50"/>
          <w:szCs w:val="50"/>
          <w:lang w:eastAsia="pl-PL"/>
          <w14:shadow w14:blurRad="50800" w14:dist="38100" w14:dir="2700000" w14:sx="100000" w14:sy="100000" w14:kx="0" w14:ky="0" w14:algn="tl">
            <w14:srgbClr w14:val="000000">
              <w14:alpha w14:val="60000"/>
            </w14:srgbClr>
          </w14:shadow>
        </w:rPr>
        <w:t xml:space="preserve"> </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 tym okresie </w:t>
      </w:r>
    </w:p>
    <w:p w:rsidR="00632E72" w:rsidRPr="00EF7224" w:rsidRDefault="00632E72" w:rsidP="00632E72">
      <w:pPr>
        <w:spacing w:after="0" w:line="240" w:lineRule="auto"/>
        <w:jc w:val="both"/>
        <w:rPr>
          <w:rFonts w:eastAsiaTheme="minorEastAsia"/>
          <w:color w:val="000000" w:themeColor="text1"/>
          <w:sz w:val="40"/>
          <w:szCs w:val="40"/>
          <w:lang w:eastAsia="pl-PL"/>
          <w14:shadow w14:blurRad="50800" w14:dist="38100" w14:dir="2700000" w14:sx="100000" w14:sy="100000" w14:kx="0" w14:ky="0" w14:algn="tl">
            <w14:srgbClr w14:val="000000">
              <w14:alpha w14:val="60000"/>
            </w14:srgbClr>
          </w14:shadow>
        </w:rPr>
      </w:pPr>
    </w:p>
    <w:p w:rsidR="00632E72" w:rsidRPr="00EF7224" w:rsidRDefault="00632E72" w:rsidP="00632E72">
      <w:pPr>
        <w:spacing w:after="0" w:line="240" w:lineRule="auto"/>
        <w:jc w:val="both"/>
        <w:rPr>
          <w:rFonts w:eastAsiaTheme="minorEastAsia"/>
          <w:i/>
          <w:color w:val="000000" w:themeColor="text1"/>
          <w:sz w:val="36"/>
          <w:szCs w:val="36"/>
          <w:lang w:eastAsia="pl-PL"/>
          <w14:shadow w14:blurRad="50800" w14:dist="38100" w14:dir="2700000" w14:sx="100000" w14:sy="100000" w14:kx="0" w14:ky="0" w14:algn="tl">
            <w14:srgbClr w14:val="000000">
              <w14:alpha w14:val="60000"/>
            </w14:srgbClr>
          </w14:shadow>
        </w:rPr>
      </w:pPr>
      <w:r w:rsidRPr="00EF7224">
        <w:rPr>
          <w:rFonts w:eastAsiaTheme="minorEastAsia"/>
          <w:i/>
          <w:color w:val="000000" w:themeColor="text1"/>
          <w:sz w:val="36"/>
          <w:szCs w:val="36"/>
          <w:lang w:eastAsia="pl-PL"/>
          <w14:shadow w14:blurRad="50800" w14:dist="38100" w14:dir="2700000" w14:sx="100000" w14:sy="100000" w14:kx="0" w14:ky="0" w14:algn="tl">
            <w14:srgbClr w14:val="000000">
              <w14:alpha w14:val="60000"/>
            </w14:srgbClr>
          </w14:shadow>
        </w:rPr>
        <w:t>(kolejność według kolejności wprowadzania do rubryki od najwcześniej wprowadzonych do najpóźniej wprowadzonych)</w:t>
      </w:r>
    </w:p>
    <w:p w:rsidR="00632E72" w:rsidRPr="00EF7224" w:rsidRDefault="00632E72" w:rsidP="00632E72">
      <w:pPr>
        <w:spacing w:after="0" w:line="240" w:lineRule="auto"/>
        <w:jc w:val="both"/>
        <w:rPr>
          <w:rFonts w:eastAsiaTheme="minorEastAsia"/>
          <w:lang w:eastAsia="pl-PL"/>
        </w:rPr>
      </w:pPr>
    </w:p>
    <w:tbl>
      <w:tblPr>
        <w:tblStyle w:val="Tabela-Siatka"/>
        <w:tblW w:w="9220" w:type="dxa"/>
        <w:tblLook w:val="04A0" w:firstRow="1" w:lastRow="0" w:firstColumn="1" w:lastColumn="0" w:noHBand="0" w:noVBand="1"/>
      </w:tblPr>
      <w:tblGrid>
        <w:gridCol w:w="3070"/>
        <w:gridCol w:w="1230"/>
        <w:gridCol w:w="1230"/>
        <w:gridCol w:w="1230"/>
        <w:gridCol w:w="1230"/>
        <w:gridCol w:w="1230"/>
      </w:tblGrid>
      <w:tr w:rsidR="00632E72" w:rsidRPr="00EF7224" w:rsidTr="00951B14">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jc w:val="center"/>
              <w:rPr>
                <w:rFonts w:eastAsiaTheme="minorEastAsia"/>
                <w:sz w:val="26"/>
                <w:szCs w:val="26"/>
              </w:rPr>
            </w:pPr>
            <w:r w:rsidRPr="00EF7224">
              <w:rPr>
                <w:rFonts w:eastAsiaTheme="minorEastAsia"/>
                <w:sz w:val="26"/>
                <w:szCs w:val="26"/>
              </w:rPr>
              <w:t>Nazwa</w:t>
            </w:r>
          </w:p>
          <w:p w:rsidR="00632E72" w:rsidRPr="00EF7224" w:rsidRDefault="00632E72" w:rsidP="00951B14">
            <w:pPr>
              <w:jc w:val="center"/>
              <w:rPr>
                <w:rFonts w:eastAsiaTheme="minorEastAsia"/>
                <w:sz w:val="26"/>
                <w:szCs w:val="26"/>
              </w:rPr>
            </w:pPr>
            <w:proofErr w:type="gramStart"/>
            <w:r w:rsidRPr="00EF7224">
              <w:rPr>
                <w:rFonts w:eastAsiaTheme="minorEastAsia"/>
                <w:sz w:val="26"/>
                <w:szCs w:val="26"/>
              </w:rPr>
              <w:t>spółki</w:t>
            </w:r>
            <w:proofErr w:type="gramEnd"/>
            <w:r w:rsidRPr="00EF7224">
              <w:rPr>
                <w:rFonts w:eastAsiaTheme="minorEastAsia"/>
                <w:sz w:val="26"/>
                <w:szCs w:val="26"/>
              </w:rPr>
              <w:t xml:space="preserve"> </w:t>
            </w:r>
          </w:p>
          <w:p w:rsidR="00632E72" w:rsidRPr="00EF7224" w:rsidRDefault="00632E72" w:rsidP="00951B14">
            <w:pPr>
              <w:jc w:val="center"/>
              <w:rPr>
                <w:rFonts w:eastAsiaTheme="minorEastAsia"/>
                <w:sz w:val="26"/>
                <w:szCs w:val="26"/>
              </w:rPr>
            </w:pPr>
            <w:proofErr w:type="gramStart"/>
            <w:r w:rsidRPr="00EF7224">
              <w:rPr>
                <w:rFonts w:eastAsiaTheme="minorEastAsia"/>
                <w:sz w:val="26"/>
                <w:szCs w:val="26"/>
              </w:rPr>
              <w:t>giełdowej</w:t>
            </w:r>
            <w:proofErr w:type="gramEnd"/>
            <w:r w:rsidRPr="00EF7224">
              <w:rPr>
                <w:rFonts w:eastAsiaTheme="minorEastAsia"/>
                <w:sz w:val="26"/>
                <w:szCs w:val="26"/>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jc w:val="center"/>
              <w:rPr>
                <w:rFonts w:eastAsiaTheme="minorEastAsia"/>
                <w:sz w:val="26"/>
                <w:szCs w:val="26"/>
              </w:rPr>
            </w:pPr>
            <w:r w:rsidRPr="00EF7224">
              <w:rPr>
                <w:rFonts w:eastAsiaTheme="minorEastAsia"/>
                <w:sz w:val="26"/>
                <w:szCs w:val="26"/>
              </w:rPr>
              <w:t xml:space="preserve">Zmiana </w:t>
            </w:r>
          </w:p>
          <w:p w:rsidR="00632E72" w:rsidRPr="00EF7224" w:rsidRDefault="00632E72" w:rsidP="00951B14">
            <w:pPr>
              <w:jc w:val="center"/>
              <w:rPr>
                <w:rFonts w:eastAsiaTheme="minorEastAsia"/>
                <w:sz w:val="26"/>
                <w:szCs w:val="26"/>
              </w:rPr>
            </w:pPr>
            <w:proofErr w:type="gramStart"/>
            <w:r w:rsidRPr="00EF7224">
              <w:rPr>
                <w:rFonts w:eastAsiaTheme="minorEastAsia"/>
                <w:sz w:val="26"/>
                <w:szCs w:val="26"/>
              </w:rPr>
              <w:t>kursu</w:t>
            </w:r>
            <w:proofErr w:type="gramEnd"/>
            <w:r w:rsidRPr="00EF7224">
              <w:rPr>
                <w:rFonts w:eastAsiaTheme="minorEastAsia"/>
                <w:sz w:val="26"/>
                <w:szCs w:val="26"/>
              </w:rPr>
              <w:t xml:space="preserve">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jc w:val="center"/>
              <w:rPr>
                <w:rFonts w:eastAsiaTheme="minorEastAsia"/>
                <w:sz w:val="26"/>
                <w:szCs w:val="26"/>
              </w:rPr>
            </w:pPr>
            <w:r w:rsidRPr="00EF7224">
              <w:rPr>
                <w:rFonts w:eastAsiaTheme="minorEastAsia"/>
                <w:sz w:val="26"/>
                <w:szCs w:val="26"/>
              </w:rPr>
              <w:t xml:space="preserve">Zmiana </w:t>
            </w:r>
            <w:proofErr w:type="gramStart"/>
            <w:r w:rsidRPr="00EF7224">
              <w:rPr>
                <w:rFonts w:eastAsiaTheme="minorEastAsia"/>
                <w:sz w:val="26"/>
                <w:szCs w:val="26"/>
              </w:rPr>
              <w:t>WIG-u 20  w</w:t>
            </w:r>
            <w:proofErr w:type="gramEnd"/>
            <w:r w:rsidRPr="00EF7224">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rPr>
                <w:rFonts w:eastAsiaTheme="minorEastAsia"/>
                <w:sz w:val="26"/>
                <w:szCs w:val="26"/>
              </w:rPr>
            </w:pPr>
            <w:r w:rsidRPr="00EF7224">
              <w:rPr>
                <w:rFonts w:eastAsiaTheme="minorEastAsia"/>
                <w:sz w:val="26"/>
                <w:szCs w:val="26"/>
              </w:rPr>
              <w:t xml:space="preserve">Zmiana WIG-u </w:t>
            </w:r>
          </w:p>
          <w:p w:rsidR="00632E72" w:rsidRPr="00EF7224" w:rsidRDefault="00632E72" w:rsidP="00951B14">
            <w:pPr>
              <w:rPr>
                <w:rFonts w:eastAsiaTheme="minorEastAsia"/>
              </w:rPr>
            </w:pPr>
            <w:r w:rsidRPr="00EF7224">
              <w:rPr>
                <w:rFonts w:eastAsiaTheme="minorEastAsia"/>
                <w:sz w:val="26"/>
                <w:szCs w:val="26"/>
              </w:rPr>
              <w:t xml:space="preserve"> </w:t>
            </w:r>
            <w:proofErr w:type="gramStart"/>
            <w:r w:rsidRPr="00EF7224">
              <w:rPr>
                <w:rFonts w:eastAsiaTheme="minorEastAsia"/>
                <w:sz w:val="26"/>
                <w:szCs w:val="26"/>
              </w:rPr>
              <w:t>w</w:t>
            </w:r>
            <w:proofErr w:type="gramEnd"/>
            <w:r w:rsidRPr="00EF7224">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rPr>
                <w:rFonts w:eastAsiaTheme="minorEastAsia"/>
              </w:rPr>
            </w:pPr>
            <w:r w:rsidRPr="00EF7224">
              <w:rPr>
                <w:rFonts w:eastAsiaTheme="minorEastAsia"/>
                <w:sz w:val="26"/>
                <w:szCs w:val="26"/>
              </w:rPr>
              <w:t xml:space="preserve">Zmiana </w:t>
            </w:r>
            <w:proofErr w:type="spellStart"/>
            <w:proofErr w:type="gramStart"/>
            <w:r w:rsidRPr="00EF7224">
              <w:rPr>
                <w:rFonts w:eastAsiaTheme="minorEastAsia"/>
                <w:sz w:val="26"/>
                <w:szCs w:val="26"/>
              </w:rPr>
              <w:t>mWIG</w:t>
            </w:r>
            <w:proofErr w:type="spellEnd"/>
            <w:r w:rsidRPr="00EF7224">
              <w:rPr>
                <w:rFonts w:eastAsiaTheme="minorEastAsia"/>
                <w:sz w:val="26"/>
                <w:szCs w:val="26"/>
              </w:rPr>
              <w:t>-u 40  w</w:t>
            </w:r>
            <w:proofErr w:type="gramEnd"/>
            <w:r w:rsidRPr="00EF7224">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rPr>
                <w:rFonts w:eastAsiaTheme="minorEastAsia"/>
                <w:sz w:val="26"/>
                <w:szCs w:val="26"/>
              </w:rPr>
            </w:pPr>
            <w:r w:rsidRPr="00EF7224">
              <w:rPr>
                <w:rFonts w:eastAsiaTheme="minorEastAsia"/>
                <w:sz w:val="26"/>
                <w:szCs w:val="26"/>
              </w:rPr>
              <w:t xml:space="preserve">Zmiana </w:t>
            </w:r>
            <w:proofErr w:type="spellStart"/>
            <w:r w:rsidRPr="00EF7224">
              <w:rPr>
                <w:rFonts w:eastAsiaTheme="minorEastAsia"/>
                <w:sz w:val="26"/>
                <w:szCs w:val="26"/>
              </w:rPr>
              <w:t>sWIG</w:t>
            </w:r>
            <w:proofErr w:type="spellEnd"/>
            <w:r w:rsidRPr="00EF7224">
              <w:rPr>
                <w:rFonts w:eastAsiaTheme="minorEastAsia"/>
                <w:sz w:val="26"/>
                <w:szCs w:val="26"/>
              </w:rPr>
              <w:t xml:space="preserve">-u </w:t>
            </w:r>
          </w:p>
          <w:p w:rsidR="00632E72" w:rsidRPr="00EF7224" w:rsidRDefault="00632E72" w:rsidP="00951B14">
            <w:pPr>
              <w:rPr>
                <w:rFonts w:eastAsiaTheme="minorEastAsia"/>
              </w:rPr>
            </w:pPr>
            <w:r w:rsidRPr="00EF7224">
              <w:rPr>
                <w:rFonts w:eastAsiaTheme="minorEastAsia"/>
                <w:sz w:val="26"/>
                <w:szCs w:val="26"/>
              </w:rPr>
              <w:t xml:space="preserve"> 80 w % </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IMMOBILE</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15,2</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8,2</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LENA</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11,3</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8,2</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NETMEDIA</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55,4</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8,2</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RAFAKO</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58,1</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8,2</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BORYSZEW</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-20,8</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-12,5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-4,6</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2,8</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6,2</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ERBUD</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24,2</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-12,2</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-5,3</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1,7</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5,9</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IF CAPITAL</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2,3</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-13,2</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-7,8</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-1,3</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5,5</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CAPITAL PARTNERS</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29,7</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-8,7</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3,6</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ASSECO POLAND</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19,9</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3,7</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CD PROJEKT</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61,5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3,7</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SYGNITY</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-49,9</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3,7</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STALPRODUKT</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13,9</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-16,7</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-8,3</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-0,5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5,0</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TAURON PE</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-38,0</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-11,6</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9,7</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ELEKTROTIM</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114,5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9,7</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RELPOL</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-3,3</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-3,8</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6,5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9,2</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TESGAS </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-14,4</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-4,1</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6,0</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8,4</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ENEA</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-19,8</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-16,4</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-6,8</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 3,7</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sz w:val="24"/>
                <w:szCs w:val="24"/>
              </w:rPr>
            </w:pPr>
            <w:r w:rsidRPr="00EF7224">
              <w:rPr>
                <w:rFonts w:eastAsiaTheme="minorEastAsia"/>
                <w:sz w:val="24"/>
                <w:szCs w:val="24"/>
              </w:rPr>
              <w:t>9,1</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PROCAD</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 xml:space="preserve">  73,6</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-19,9</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-9,9</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2,0</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8,2</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PKO BP</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-27,8</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-20,4</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-10,1</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2,3</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9,8</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MERCOR</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 xml:space="preserve">  5,7</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-25,5</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-15,4</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-3,4</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4,5</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COMARCH</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-1,3</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-19,7</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-9,6</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 xml:space="preserve"> 2,4</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9,1</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MUZA</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-15,0</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-28,6</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-15,9</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-3,7</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4,1</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LUBAWA</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-29,7</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-26,3</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-14,9</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-4,2</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-0,1</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ATREM</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-11,1</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-15,6</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-5,1</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-1,8</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MOSTOSTAL WARSZAWA</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100,1</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-22,6</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-14,9</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-6,7</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-5,0</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jc w:val="center"/>
              <w:rPr>
                <w:rFonts w:eastAsiaTheme="minorEastAsia"/>
                <w:sz w:val="26"/>
                <w:szCs w:val="26"/>
              </w:rPr>
            </w:pPr>
            <w:r w:rsidRPr="00EF7224">
              <w:rPr>
                <w:rFonts w:eastAsiaTheme="minorEastAsia"/>
                <w:sz w:val="26"/>
                <w:szCs w:val="26"/>
              </w:rPr>
              <w:lastRenderedPageBreak/>
              <w:t>Nazwa</w:t>
            </w:r>
          </w:p>
          <w:p w:rsidR="00632E72" w:rsidRPr="00EF7224" w:rsidRDefault="00632E72" w:rsidP="00951B14">
            <w:pPr>
              <w:jc w:val="center"/>
              <w:rPr>
                <w:rFonts w:eastAsiaTheme="minorEastAsia"/>
                <w:sz w:val="26"/>
                <w:szCs w:val="26"/>
              </w:rPr>
            </w:pPr>
            <w:proofErr w:type="gramStart"/>
            <w:r w:rsidRPr="00EF7224">
              <w:rPr>
                <w:rFonts w:eastAsiaTheme="minorEastAsia"/>
                <w:sz w:val="26"/>
                <w:szCs w:val="26"/>
              </w:rPr>
              <w:t>spółki</w:t>
            </w:r>
            <w:proofErr w:type="gramEnd"/>
            <w:r w:rsidRPr="00EF7224">
              <w:rPr>
                <w:rFonts w:eastAsiaTheme="minorEastAsia"/>
                <w:sz w:val="26"/>
                <w:szCs w:val="26"/>
              </w:rPr>
              <w:t xml:space="preserve"> </w:t>
            </w:r>
          </w:p>
          <w:p w:rsidR="00632E72" w:rsidRPr="00EF7224" w:rsidRDefault="00632E72" w:rsidP="00951B14">
            <w:pPr>
              <w:jc w:val="center"/>
              <w:rPr>
                <w:rFonts w:eastAsiaTheme="minorEastAsia"/>
                <w:sz w:val="26"/>
                <w:szCs w:val="26"/>
              </w:rPr>
            </w:pPr>
            <w:proofErr w:type="gramStart"/>
            <w:r w:rsidRPr="00EF7224">
              <w:rPr>
                <w:rFonts w:eastAsiaTheme="minorEastAsia"/>
                <w:sz w:val="26"/>
                <w:szCs w:val="26"/>
              </w:rPr>
              <w:t>giełdowej</w:t>
            </w:r>
            <w:proofErr w:type="gramEnd"/>
            <w:r w:rsidRPr="00EF7224">
              <w:rPr>
                <w:rFonts w:eastAsiaTheme="minorEastAsia"/>
                <w:sz w:val="26"/>
                <w:szCs w:val="26"/>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jc w:val="center"/>
              <w:rPr>
                <w:rFonts w:eastAsiaTheme="minorEastAsia"/>
                <w:sz w:val="26"/>
                <w:szCs w:val="26"/>
              </w:rPr>
            </w:pPr>
            <w:r w:rsidRPr="00EF7224">
              <w:rPr>
                <w:rFonts w:eastAsiaTheme="minorEastAsia"/>
                <w:sz w:val="26"/>
                <w:szCs w:val="26"/>
              </w:rPr>
              <w:t xml:space="preserve">Zmiana </w:t>
            </w:r>
          </w:p>
          <w:p w:rsidR="00632E72" w:rsidRPr="00EF7224" w:rsidRDefault="00632E72" w:rsidP="00951B14">
            <w:pPr>
              <w:jc w:val="center"/>
              <w:rPr>
                <w:rFonts w:eastAsiaTheme="minorEastAsia"/>
                <w:sz w:val="26"/>
                <w:szCs w:val="26"/>
              </w:rPr>
            </w:pPr>
            <w:proofErr w:type="gramStart"/>
            <w:r w:rsidRPr="00EF7224">
              <w:rPr>
                <w:rFonts w:eastAsiaTheme="minorEastAsia"/>
                <w:sz w:val="26"/>
                <w:szCs w:val="26"/>
              </w:rPr>
              <w:t>kursu</w:t>
            </w:r>
            <w:proofErr w:type="gramEnd"/>
            <w:r w:rsidRPr="00EF7224">
              <w:rPr>
                <w:rFonts w:eastAsiaTheme="minorEastAsia"/>
                <w:sz w:val="26"/>
                <w:szCs w:val="26"/>
              </w:rPr>
              <w:t xml:space="preserve">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jc w:val="center"/>
              <w:rPr>
                <w:rFonts w:eastAsiaTheme="minorEastAsia"/>
                <w:sz w:val="26"/>
                <w:szCs w:val="26"/>
              </w:rPr>
            </w:pPr>
            <w:r w:rsidRPr="00EF7224">
              <w:rPr>
                <w:rFonts w:eastAsiaTheme="minorEastAsia"/>
                <w:sz w:val="26"/>
                <w:szCs w:val="26"/>
              </w:rPr>
              <w:t xml:space="preserve">Zmiana </w:t>
            </w:r>
            <w:proofErr w:type="gramStart"/>
            <w:r w:rsidRPr="00EF7224">
              <w:rPr>
                <w:rFonts w:eastAsiaTheme="minorEastAsia"/>
                <w:sz w:val="26"/>
                <w:szCs w:val="26"/>
              </w:rPr>
              <w:t>WIG-u 20  w</w:t>
            </w:r>
            <w:proofErr w:type="gramEnd"/>
            <w:r w:rsidRPr="00EF7224">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rPr>
                <w:rFonts w:eastAsiaTheme="minorEastAsia"/>
                <w:sz w:val="26"/>
                <w:szCs w:val="26"/>
              </w:rPr>
            </w:pPr>
            <w:r w:rsidRPr="00EF7224">
              <w:rPr>
                <w:rFonts w:eastAsiaTheme="minorEastAsia"/>
                <w:sz w:val="26"/>
                <w:szCs w:val="26"/>
              </w:rPr>
              <w:t xml:space="preserve">Zmiana WIG-u </w:t>
            </w:r>
          </w:p>
          <w:p w:rsidR="00632E72" w:rsidRPr="00EF7224" w:rsidRDefault="00632E72" w:rsidP="00951B14">
            <w:pPr>
              <w:rPr>
                <w:rFonts w:eastAsiaTheme="minorEastAsia"/>
              </w:rPr>
            </w:pPr>
            <w:r w:rsidRPr="00EF7224">
              <w:rPr>
                <w:rFonts w:eastAsiaTheme="minorEastAsia"/>
                <w:sz w:val="26"/>
                <w:szCs w:val="26"/>
              </w:rPr>
              <w:t xml:space="preserve"> </w:t>
            </w:r>
            <w:proofErr w:type="gramStart"/>
            <w:r w:rsidRPr="00EF7224">
              <w:rPr>
                <w:rFonts w:eastAsiaTheme="minorEastAsia"/>
                <w:sz w:val="26"/>
                <w:szCs w:val="26"/>
              </w:rPr>
              <w:t>w</w:t>
            </w:r>
            <w:proofErr w:type="gramEnd"/>
            <w:r w:rsidRPr="00EF7224">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rPr>
                <w:rFonts w:eastAsiaTheme="minorEastAsia"/>
              </w:rPr>
            </w:pPr>
            <w:r w:rsidRPr="00EF7224">
              <w:rPr>
                <w:rFonts w:eastAsiaTheme="minorEastAsia"/>
                <w:sz w:val="26"/>
                <w:szCs w:val="26"/>
              </w:rPr>
              <w:t xml:space="preserve">Zmiana </w:t>
            </w:r>
            <w:proofErr w:type="spellStart"/>
            <w:proofErr w:type="gramStart"/>
            <w:r w:rsidRPr="00EF7224">
              <w:rPr>
                <w:rFonts w:eastAsiaTheme="minorEastAsia"/>
                <w:sz w:val="26"/>
                <w:szCs w:val="26"/>
              </w:rPr>
              <w:t>mWIG</w:t>
            </w:r>
            <w:proofErr w:type="spellEnd"/>
            <w:r w:rsidRPr="00EF7224">
              <w:rPr>
                <w:rFonts w:eastAsiaTheme="minorEastAsia"/>
                <w:sz w:val="26"/>
                <w:szCs w:val="26"/>
              </w:rPr>
              <w:t>-u 40  w</w:t>
            </w:r>
            <w:proofErr w:type="gramEnd"/>
            <w:r w:rsidRPr="00EF7224">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32E72" w:rsidRPr="00EF7224" w:rsidRDefault="00632E72" w:rsidP="00951B14">
            <w:pPr>
              <w:rPr>
                <w:rFonts w:eastAsiaTheme="minorEastAsia"/>
                <w:sz w:val="26"/>
                <w:szCs w:val="26"/>
              </w:rPr>
            </w:pPr>
            <w:r w:rsidRPr="00EF7224">
              <w:rPr>
                <w:rFonts w:eastAsiaTheme="minorEastAsia"/>
                <w:sz w:val="26"/>
                <w:szCs w:val="26"/>
              </w:rPr>
              <w:t xml:space="preserve">Zmiana </w:t>
            </w:r>
            <w:proofErr w:type="spellStart"/>
            <w:r w:rsidRPr="00EF7224">
              <w:rPr>
                <w:rFonts w:eastAsiaTheme="minorEastAsia"/>
                <w:sz w:val="26"/>
                <w:szCs w:val="26"/>
              </w:rPr>
              <w:t>sWIG</w:t>
            </w:r>
            <w:proofErr w:type="spellEnd"/>
            <w:r w:rsidRPr="00EF7224">
              <w:rPr>
                <w:rFonts w:eastAsiaTheme="minorEastAsia"/>
                <w:sz w:val="26"/>
                <w:szCs w:val="26"/>
              </w:rPr>
              <w:t xml:space="preserve">-u </w:t>
            </w:r>
          </w:p>
          <w:p w:rsidR="00632E72" w:rsidRPr="00EF7224" w:rsidRDefault="00632E72" w:rsidP="00951B14">
            <w:pPr>
              <w:rPr>
                <w:rFonts w:eastAsiaTheme="minorEastAsia"/>
              </w:rPr>
            </w:pPr>
            <w:r w:rsidRPr="00EF7224">
              <w:rPr>
                <w:rFonts w:eastAsiaTheme="minorEastAsia"/>
                <w:sz w:val="26"/>
                <w:szCs w:val="26"/>
              </w:rPr>
              <w:t xml:space="preserve"> 80 w % </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CERAMIKA NOWA GALA </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15,2</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-20,8</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-13,0</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-5,4</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 xml:space="preserve"> 0,2</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POLNORD</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16,8</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-26,1</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-17,1</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-7,8</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-0,9</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TIM</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19,6</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 xml:space="preserve"> 2,1</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UNIMA 2000</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 xml:space="preserve"> -3,9</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 xml:space="preserve"> 2,1</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ROPCZYCE</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 xml:space="preserve"> -5,1</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 xml:space="preserve"> 2,1</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sidRPr="00EF7224">
              <w:rPr>
                <w:rFonts w:eastAsiaTheme="minorEastAsia"/>
                <w:sz w:val="24"/>
                <w:szCs w:val="24"/>
              </w:rPr>
              <w:t xml:space="preserve">EUROCASH </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 xml:space="preserve"> -2,4</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-19,8</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-11,8</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-6,4</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sidRPr="00EF7224">
              <w:rPr>
                <w:rFonts w:eastAsiaTheme="minorEastAsia"/>
                <w:sz w:val="24"/>
                <w:szCs w:val="24"/>
                <w:lang w:eastAsia="pl-PL"/>
              </w:rPr>
              <w:t xml:space="preserve"> 1,4</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rPr>
            </w:pPr>
            <w:r>
              <w:rPr>
                <w:rFonts w:eastAsiaTheme="minorEastAsia"/>
                <w:sz w:val="24"/>
                <w:szCs w:val="24"/>
              </w:rPr>
              <w:t>AGORA</w:t>
            </w:r>
          </w:p>
        </w:tc>
        <w:tc>
          <w:tcPr>
            <w:tcW w:w="1230" w:type="dxa"/>
            <w:tcBorders>
              <w:top w:val="single" w:sz="4" w:space="0" w:color="auto"/>
              <w:left w:val="single" w:sz="4" w:space="0" w:color="auto"/>
              <w:bottom w:val="single" w:sz="4" w:space="0" w:color="auto"/>
              <w:right w:val="single" w:sz="4" w:space="0" w:color="auto"/>
            </w:tcBorders>
          </w:tcPr>
          <w:p w:rsidR="00632E72" w:rsidRPr="00EF7224" w:rsidRDefault="00632E72" w:rsidP="00951B14">
            <w:pPr>
              <w:jc w:val="center"/>
              <w:rPr>
                <w:rFonts w:eastAsiaTheme="minorEastAsia"/>
                <w:sz w:val="24"/>
                <w:szCs w:val="24"/>
                <w:lang w:eastAsia="pl-PL"/>
              </w:rPr>
            </w:pPr>
            <w:r>
              <w:rPr>
                <w:rFonts w:eastAsiaTheme="minorEastAsia"/>
                <w:sz w:val="24"/>
                <w:szCs w:val="24"/>
                <w:lang w:eastAsia="pl-PL"/>
              </w:rPr>
              <w:t xml:space="preserve">  0,0</w:t>
            </w:r>
          </w:p>
        </w:tc>
        <w:tc>
          <w:tcPr>
            <w:tcW w:w="1230" w:type="dxa"/>
            <w:tcBorders>
              <w:top w:val="single" w:sz="4" w:space="0" w:color="auto"/>
              <w:left w:val="single" w:sz="4" w:space="0" w:color="auto"/>
              <w:bottom w:val="single" w:sz="4" w:space="0" w:color="auto"/>
              <w:right w:val="single" w:sz="4" w:space="0" w:color="auto"/>
            </w:tcBorders>
          </w:tcPr>
          <w:p w:rsidR="00632E72" w:rsidRPr="009C1C2C" w:rsidRDefault="00632E72" w:rsidP="00951B14">
            <w:pPr>
              <w:jc w:val="center"/>
              <w:rPr>
                <w:sz w:val="24"/>
                <w:szCs w:val="24"/>
              </w:rPr>
            </w:pPr>
            <w:r w:rsidRPr="009C1C2C">
              <w:rPr>
                <w:sz w:val="24"/>
                <w:szCs w:val="24"/>
              </w:rPr>
              <w:t>-16,1</w:t>
            </w:r>
          </w:p>
        </w:tc>
        <w:tc>
          <w:tcPr>
            <w:tcW w:w="1230" w:type="dxa"/>
            <w:tcBorders>
              <w:top w:val="single" w:sz="4" w:space="0" w:color="auto"/>
              <w:left w:val="single" w:sz="4" w:space="0" w:color="auto"/>
              <w:bottom w:val="single" w:sz="4" w:space="0" w:color="auto"/>
              <w:right w:val="single" w:sz="4" w:space="0" w:color="auto"/>
            </w:tcBorders>
          </w:tcPr>
          <w:p w:rsidR="00632E72" w:rsidRPr="009C1C2C" w:rsidRDefault="00632E72" w:rsidP="00951B14">
            <w:pPr>
              <w:jc w:val="center"/>
              <w:rPr>
                <w:sz w:val="24"/>
                <w:szCs w:val="24"/>
              </w:rPr>
            </w:pPr>
            <w:r>
              <w:rPr>
                <w:sz w:val="24"/>
                <w:szCs w:val="24"/>
              </w:rPr>
              <w:t xml:space="preserve">  </w:t>
            </w:r>
            <w:r w:rsidRPr="009C1C2C">
              <w:rPr>
                <w:sz w:val="24"/>
                <w:szCs w:val="24"/>
              </w:rPr>
              <w:t>-5,4</w:t>
            </w:r>
          </w:p>
        </w:tc>
        <w:tc>
          <w:tcPr>
            <w:tcW w:w="1230" w:type="dxa"/>
            <w:tcBorders>
              <w:top w:val="single" w:sz="4" w:space="0" w:color="auto"/>
              <w:left w:val="single" w:sz="4" w:space="0" w:color="auto"/>
              <w:bottom w:val="single" w:sz="4" w:space="0" w:color="auto"/>
              <w:right w:val="single" w:sz="4" w:space="0" w:color="auto"/>
            </w:tcBorders>
          </w:tcPr>
          <w:p w:rsidR="00632E72" w:rsidRPr="009C1C2C" w:rsidRDefault="00632E72" w:rsidP="00951B14">
            <w:pPr>
              <w:jc w:val="center"/>
              <w:rPr>
                <w:sz w:val="24"/>
                <w:szCs w:val="24"/>
              </w:rPr>
            </w:pPr>
            <w:r>
              <w:rPr>
                <w:sz w:val="24"/>
                <w:szCs w:val="24"/>
              </w:rPr>
              <w:t xml:space="preserve">  </w:t>
            </w:r>
            <w:r w:rsidRPr="009C1C2C">
              <w:rPr>
                <w:sz w:val="24"/>
                <w:szCs w:val="24"/>
              </w:rPr>
              <w:t>8,7</w:t>
            </w:r>
          </w:p>
        </w:tc>
        <w:tc>
          <w:tcPr>
            <w:tcW w:w="1230" w:type="dxa"/>
            <w:tcBorders>
              <w:top w:val="single" w:sz="4" w:space="0" w:color="auto"/>
              <w:left w:val="single" w:sz="4" w:space="0" w:color="auto"/>
              <w:bottom w:val="single" w:sz="4" w:space="0" w:color="auto"/>
              <w:right w:val="single" w:sz="4" w:space="0" w:color="auto"/>
            </w:tcBorders>
          </w:tcPr>
          <w:p w:rsidR="00632E72" w:rsidRPr="009C1C2C" w:rsidRDefault="00632E72" w:rsidP="00951B14">
            <w:pPr>
              <w:jc w:val="center"/>
              <w:rPr>
                <w:sz w:val="24"/>
                <w:szCs w:val="24"/>
              </w:rPr>
            </w:pPr>
            <w:r>
              <w:rPr>
                <w:sz w:val="24"/>
                <w:szCs w:val="24"/>
              </w:rPr>
              <w:t xml:space="preserve">  </w:t>
            </w:r>
            <w:r w:rsidRPr="009C1C2C">
              <w:rPr>
                <w:sz w:val="24"/>
                <w:szCs w:val="24"/>
              </w:rPr>
              <w:t>8,1</w:t>
            </w:r>
          </w:p>
        </w:tc>
      </w:tr>
      <w:tr w:rsidR="00632E72" w:rsidRPr="00EF7224" w:rsidTr="00951B14">
        <w:tc>
          <w:tcPr>
            <w:tcW w:w="307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color w:val="FF66CC"/>
                <w:sz w:val="40"/>
                <w:szCs w:val="40"/>
              </w:rPr>
            </w:pPr>
            <w:r w:rsidRPr="0043591F">
              <w:rPr>
                <w:rFonts w:ascii="Calibri" w:eastAsia="Times New Roman" w:hAnsi="Calibri" w:cs="Times New Roman"/>
                <w:color w:val="FF0000"/>
                <w:sz w:val="40"/>
                <w:szCs w:val="40"/>
                <w14:shadow w14:blurRad="50800" w14:dist="38100" w14:dir="2700000" w14:sx="100000" w14:sy="100000" w14:kx="0" w14:ky="0" w14:algn="tl">
                  <w14:srgbClr w14:val="000000">
                    <w14:alpha w14:val="60000"/>
                  </w14:srgbClr>
                </w14:shadow>
              </w:rPr>
              <w:t>Ś</w:t>
            </w:r>
            <w:r w:rsidRPr="00EF7224">
              <w:rPr>
                <w:rFonts w:ascii="Calibri" w:eastAsia="Times New Roman" w:hAnsi="Calibri" w:cs="Times New Roman"/>
                <w:color w:val="FF0000"/>
                <w:sz w:val="40"/>
                <w:szCs w:val="40"/>
                <w14:shadow w14:blurRad="50800" w14:dist="38100" w14:dir="2700000" w14:sx="100000" w14:sy="100000" w14:kx="0" w14:ky="0" w14:algn="tl">
                  <w14:srgbClr w14:val="000000">
                    <w14:alpha w14:val="60000"/>
                  </w14:srgbClr>
                </w14:shadow>
              </w:rPr>
              <w:t>REDNIO</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b/>
                <w:sz w:val="40"/>
                <w:szCs w:val="40"/>
                <w:lang w:eastAsia="pl-PL"/>
              </w:rPr>
            </w:pPr>
            <w:r w:rsidRPr="00EF7224">
              <w:rPr>
                <w:rFonts w:eastAsiaTheme="minorEastAsia"/>
                <w:b/>
                <w:sz w:val="40"/>
                <w:szCs w:val="40"/>
                <w:lang w:eastAsia="pl-PL"/>
              </w:rPr>
              <w:t>12,</w:t>
            </w:r>
            <w:r>
              <w:rPr>
                <w:rFonts w:eastAsiaTheme="minorEastAsia"/>
                <w:b/>
                <w:sz w:val="40"/>
                <w:szCs w:val="40"/>
                <w:lang w:eastAsia="pl-PL"/>
              </w:rPr>
              <w:t>3</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b/>
                <w:sz w:val="40"/>
                <w:szCs w:val="40"/>
                <w:lang w:eastAsia="pl-PL"/>
              </w:rPr>
            </w:pPr>
            <w:r w:rsidRPr="00EF7224">
              <w:rPr>
                <w:rFonts w:eastAsiaTheme="minorEastAsia"/>
                <w:b/>
                <w:sz w:val="40"/>
                <w:szCs w:val="40"/>
                <w:lang w:eastAsia="pl-PL"/>
              </w:rPr>
              <w:t>-18,5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b/>
                <w:sz w:val="40"/>
                <w:szCs w:val="40"/>
                <w:lang w:eastAsia="pl-PL"/>
              </w:rPr>
            </w:pPr>
            <w:r w:rsidRPr="00EF7224">
              <w:rPr>
                <w:rFonts w:eastAsiaTheme="minorEastAsia"/>
                <w:b/>
                <w:sz w:val="40"/>
                <w:szCs w:val="40"/>
                <w:lang w:eastAsia="pl-PL"/>
              </w:rPr>
              <w:t>-9,</w:t>
            </w:r>
            <w:r>
              <w:rPr>
                <w:rFonts w:eastAsiaTheme="minorEastAsia"/>
                <w:b/>
                <w:sz w:val="40"/>
                <w:szCs w:val="40"/>
                <w:lang w:eastAsia="pl-PL"/>
              </w:rPr>
              <w:t>7</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b/>
                <w:sz w:val="40"/>
                <w:szCs w:val="40"/>
                <w:lang w:eastAsia="pl-PL"/>
              </w:rPr>
            </w:pPr>
            <w:r w:rsidRPr="00EF7224">
              <w:rPr>
                <w:rFonts w:eastAsiaTheme="minorEastAsia"/>
                <w:b/>
                <w:sz w:val="40"/>
                <w:szCs w:val="40"/>
                <w:lang w:eastAsia="pl-PL"/>
              </w:rPr>
              <w:t>-0,</w:t>
            </w:r>
            <w:r>
              <w:rPr>
                <w:rFonts w:eastAsiaTheme="minorEastAsia"/>
                <w:b/>
                <w:sz w:val="40"/>
                <w:szCs w:val="40"/>
                <w:lang w:eastAsia="pl-PL"/>
              </w:rPr>
              <w:t>5</w:t>
            </w:r>
          </w:p>
        </w:tc>
        <w:tc>
          <w:tcPr>
            <w:tcW w:w="1230" w:type="dxa"/>
            <w:tcBorders>
              <w:top w:val="single" w:sz="4" w:space="0" w:color="auto"/>
              <w:left w:val="single" w:sz="4" w:space="0" w:color="auto"/>
              <w:bottom w:val="single" w:sz="4" w:space="0" w:color="auto"/>
              <w:right w:val="single" w:sz="4" w:space="0" w:color="auto"/>
            </w:tcBorders>
            <w:hideMark/>
          </w:tcPr>
          <w:p w:rsidR="00632E72" w:rsidRPr="00EF7224" w:rsidRDefault="00632E72" w:rsidP="00951B14">
            <w:pPr>
              <w:jc w:val="center"/>
              <w:rPr>
                <w:rFonts w:eastAsiaTheme="minorEastAsia"/>
                <w:b/>
                <w:sz w:val="40"/>
                <w:szCs w:val="40"/>
                <w:lang w:eastAsia="pl-PL"/>
              </w:rPr>
            </w:pPr>
            <w:r w:rsidRPr="00EF7224">
              <w:rPr>
                <w:rFonts w:eastAsiaTheme="minorEastAsia"/>
                <w:b/>
                <w:sz w:val="40"/>
                <w:szCs w:val="40"/>
                <w:lang w:eastAsia="pl-PL"/>
              </w:rPr>
              <w:t>4,</w:t>
            </w:r>
            <w:r>
              <w:rPr>
                <w:rFonts w:eastAsiaTheme="minorEastAsia"/>
                <w:b/>
                <w:sz w:val="40"/>
                <w:szCs w:val="40"/>
                <w:lang w:eastAsia="pl-PL"/>
              </w:rPr>
              <w:t>9</w:t>
            </w:r>
          </w:p>
        </w:tc>
      </w:tr>
    </w:tbl>
    <w:p w:rsidR="00632E72" w:rsidRPr="00EF7224" w:rsidRDefault="00632E72" w:rsidP="00632E72">
      <w:pPr>
        <w:spacing w:after="0" w:line="240" w:lineRule="auto"/>
        <w:jc w:val="both"/>
        <w:rPr>
          <w:rFonts w:eastAsiaTheme="minorEastAsia"/>
          <w:sz w:val="80"/>
          <w:szCs w:val="80"/>
          <w:u w:val="single"/>
          <w:lang w:eastAsia="pl-PL"/>
        </w:rPr>
      </w:pPr>
    </w:p>
    <w:p w:rsidR="00632E72" w:rsidRPr="00EF7224" w:rsidRDefault="00632E72" w:rsidP="00632E72">
      <w:pPr>
        <w:spacing w:after="0" w:line="240" w:lineRule="auto"/>
        <w:jc w:val="both"/>
        <w:rPr>
          <w:rFonts w:eastAsiaTheme="minorEastAsia"/>
          <w:sz w:val="80"/>
          <w:szCs w:val="80"/>
          <w:u w:val="single"/>
          <w:lang w:eastAsia="pl-PL"/>
        </w:rPr>
      </w:pPr>
      <w:r w:rsidRPr="00EF7224">
        <w:rPr>
          <w:rFonts w:eastAsiaTheme="minorEastAsia"/>
          <w:sz w:val="80"/>
          <w:szCs w:val="80"/>
          <w:u w:val="single"/>
          <w:lang w:eastAsia="pl-PL"/>
        </w:rPr>
        <w:t>Wniosek końcowy</w:t>
      </w:r>
    </w:p>
    <w:p w:rsidR="00632E72" w:rsidRPr="00EF7224" w:rsidRDefault="00632E72" w:rsidP="00632E72">
      <w:pPr>
        <w:spacing w:after="0" w:line="240" w:lineRule="auto"/>
        <w:jc w:val="both"/>
        <w:rPr>
          <w:rFonts w:eastAsiaTheme="minorEastAsia"/>
          <w:color w:val="FF0000"/>
          <w:sz w:val="80"/>
          <w:szCs w:val="80"/>
          <w:u w:val="single"/>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32E72" w:rsidRPr="00EF7224" w:rsidRDefault="00632E72" w:rsidP="00632E72">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Procentowa zmiana kursu akcji spółki po wprowadzeniu jej do rubryki </w:t>
      </w:r>
      <w:proofErr w:type="gramStart"/>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w:t>
      </w:r>
      <w:proofErr w:type="gramEnd"/>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Wykres do przemyślenia” w okresie 12 pierwszych miesięcy po jej wprowadzeniu do tej rubryki wynosiła średnio </w:t>
      </w:r>
      <w:r w:rsidRPr="00EF7224">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plus 12,</w:t>
      </w:r>
      <w:r>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3</w:t>
      </w:r>
      <w:r w:rsidRPr="00EF7224">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 xml:space="preserve"> %.</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Procentowa zmiana indeksu </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WIG 20</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w tym okresie wynosiła </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minus 18,5 %</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indeksu </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WIG </w:t>
      </w:r>
      <w:proofErr w:type="gramStart"/>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minus 9,</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7</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  </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indeksu</w:t>
      </w:r>
      <w:proofErr w:type="gramEnd"/>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w:t>
      </w:r>
      <w:proofErr w:type="spellStart"/>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mWIG</w:t>
      </w:r>
      <w:proofErr w:type="spellEnd"/>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20 minus 0,</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5</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 a  </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indeksu </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sWIG80 plus 4,</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9</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w:t>
      </w:r>
    </w:p>
    <w:p w:rsidR="00632E72" w:rsidRPr="00EF7224" w:rsidRDefault="00632E72" w:rsidP="00632E72">
      <w:pPr>
        <w:spacing w:after="0" w:line="240" w:lineRule="auto"/>
        <w:jc w:val="both"/>
        <w:rPr>
          <w:rFonts w:eastAsiaTheme="minorEastAsia"/>
          <w:color w:val="FF0000"/>
          <w:sz w:val="28"/>
          <w:szCs w:val="28"/>
          <w:u w:val="single"/>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32E72" w:rsidRPr="00EF7224" w:rsidRDefault="00632E72" w:rsidP="00632E72">
      <w:pPr>
        <w:spacing w:after="0" w:line="240" w:lineRule="auto"/>
        <w:jc w:val="both"/>
        <w:rPr>
          <w:rFonts w:eastAsiaTheme="minorEastAsia"/>
          <w:sz w:val="28"/>
          <w:szCs w:val="28"/>
          <w:lang w:eastAsia="pl-PL"/>
        </w:rPr>
      </w:pPr>
    </w:p>
    <w:p w:rsidR="00632E72" w:rsidRPr="00EF7224" w:rsidRDefault="00632E72" w:rsidP="00632E72">
      <w:pPr>
        <w:spacing w:after="0" w:line="240" w:lineRule="auto"/>
        <w:jc w:val="both"/>
        <w:rPr>
          <w:rFonts w:eastAsiaTheme="minorEastAsia"/>
          <w:b/>
          <w:sz w:val="28"/>
          <w:szCs w:val="28"/>
          <w:lang w:eastAsia="pl-PL"/>
        </w:rPr>
      </w:pPr>
    </w:p>
    <w:p w:rsidR="00632E72" w:rsidRPr="00EF7224" w:rsidRDefault="00632E72" w:rsidP="00632E72">
      <w:pPr>
        <w:spacing w:after="0" w:line="240" w:lineRule="auto"/>
        <w:jc w:val="both"/>
        <w:rPr>
          <w:rFonts w:eastAsiaTheme="minorEastAsia"/>
          <w:color w:val="000000" w:themeColor="text1"/>
          <w:sz w:val="28"/>
          <w:szCs w:val="28"/>
          <w:u w:val="single"/>
          <w:lang w:eastAsia="pl-PL"/>
        </w:rPr>
      </w:pPr>
      <w:r w:rsidRPr="00EF7224">
        <w:rPr>
          <w:rFonts w:eastAsiaTheme="minorEastAsia"/>
          <w:color w:val="000000" w:themeColor="text1"/>
          <w:sz w:val="28"/>
          <w:szCs w:val="28"/>
          <w:u w:val="single"/>
          <w:lang w:eastAsia="pl-PL"/>
        </w:rPr>
        <w:lastRenderedPageBreak/>
        <w:t xml:space="preserve">Dodatek graficzny: Średnia procentowa zmiana kursu akcji spółki po wprowadzeniu jej do rubryki </w:t>
      </w:r>
      <w:proofErr w:type="gramStart"/>
      <w:r w:rsidRPr="00EF7224">
        <w:rPr>
          <w:rFonts w:eastAsiaTheme="minorEastAsia"/>
          <w:color w:val="000000" w:themeColor="text1"/>
          <w:sz w:val="28"/>
          <w:szCs w:val="28"/>
          <w:u w:val="single"/>
          <w:lang w:eastAsia="pl-PL"/>
        </w:rPr>
        <w:t>,,</w:t>
      </w:r>
      <w:proofErr w:type="gramEnd"/>
      <w:r w:rsidRPr="00EF7224">
        <w:rPr>
          <w:rFonts w:eastAsiaTheme="minorEastAsia"/>
          <w:color w:val="000000" w:themeColor="text1"/>
          <w:sz w:val="28"/>
          <w:szCs w:val="28"/>
          <w:u w:val="single"/>
          <w:lang w:eastAsia="pl-PL"/>
        </w:rPr>
        <w:t xml:space="preserve">Wykres do przemyślenia” w okresie 12 pierwszych miesięcy po jej wprowadzeniu do tej rubryki oraz średnia procentowa zmiana 4 kluczowych indeksów polskiego rynku akcji w tym okresie </w:t>
      </w:r>
    </w:p>
    <w:p w:rsidR="00632E72" w:rsidRPr="00EF7224" w:rsidRDefault="00632E72" w:rsidP="00632E72">
      <w:pPr>
        <w:spacing w:after="0" w:line="240" w:lineRule="auto"/>
        <w:jc w:val="both"/>
        <w:rPr>
          <w:rFonts w:eastAsiaTheme="minorEastAsia"/>
          <w:color w:val="000000" w:themeColor="text1"/>
          <w:sz w:val="28"/>
          <w:szCs w:val="28"/>
          <w:u w:val="single"/>
          <w:lang w:eastAsia="pl-PL"/>
        </w:rPr>
      </w:pPr>
    </w:p>
    <w:p w:rsidR="00632E72" w:rsidRPr="00EF7224" w:rsidRDefault="00632E72" w:rsidP="00632E72">
      <w:pPr>
        <w:spacing w:after="0" w:line="240" w:lineRule="auto"/>
        <w:jc w:val="both"/>
        <w:rPr>
          <w:rFonts w:eastAsiaTheme="minorEastAsia"/>
          <w:color w:val="000000" w:themeColor="text1"/>
          <w:sz w:val="28"/>
          <w:szCs w:val="28"/>
          <w:u w:val="single"/>
          <w:lang w:eastAsia="pl-PL"/>
        </w:rPr>
      </w:pPr>
      <w:r w:rsidRPr="00EF7224">
        <w:rPr>
          <w:rFonts w:eastAsiaTheme="minorEastAsia"/>
          <w:noProof/>
          <w:lang w:eastAsia="pl-PL"/>
        </w:rPr>
        <w:drawing>
          <wp:inline distT="0" distB="0" distL="0" distR="0" wp14:anchorId="3F8699A8" wp14:editId="29C1A371">
            <wp:extent cx="5572125" cy="7648575"/>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2E72" w:rsidRPr="00EF7224" w:rsidRDefault="00632E72" w:rsidP="00632E72">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94"/>
          <w:szCs w:val="94"/>
          <w:lang w:eastAsia="pl-PL"/>
        </w:rPr>
      </w:pPr>
      <w:r w:rsidRPr="00EF7224">
        <w:rPr>
          <w:rFonts w:eastAsia="Times New Roman" w:cs="Times New Roman"/>
          <w:b/>
          <w:color w:val="FFFFFF" w:themeColor="background1"/>
          <w:sz w:val="94"/>
          <w:szCs w:val="94"/>
          <w:lang w:eastAsia="pl-PL"/>
        </w:rPr>
        <w:lastRenderedPageBreak/>
        <w:t>Generalny wniosek:</w:t>
      </w:r>
    </w:p>
    <w:p w:rsidR="00632E72" w:rsidRPr="00EF7224" w:rsidRDefault="00632E72" w:rsidP="00632E72">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sidRPr="00EF7224">
        <w:rPr>
          <w:rFonts w:eastAsia="Times New Roman" w:cs="Times New Roman"/>
          <w:b/>
          <w:color w:val="FFFFFF" w:themeColor="background1"/>
          <w:sz w:val="94"/>
          <w:szCs w:val="94"/>
          <w:lang w:eastAsia="pl-PL"/>
        </w:rPr>
        <w:t xml:space="preserve">kursy akcji spółki po wprowadzeniu jej do rubryki ,,Wykres do przemyślenia” zasadniczo rzecz biorąc wykazują relatywną przewagę nad </w:t>
      </w:r>
      <w:proofErr w:type="gramStart"/>
      <w:r w:rsidRPr="00EF7224">
        <w:rPr>
          <w:rFonts w:eastAsia="Times New Roman" w:cs="Times New Roman"/>
          <w:b/>
          <w:color w:val="FFFFFF" w:themeColor="background1"/>
          <w:sz w:val="94"/>
          <w:szCs w:val="94"/>
          <w:lang w:eastAsia="pl-PL"/>
        </w:rPr>
        <w:t>indeksami:  WIG</w:t>
      </w:r>
      <w:proofErr w:type="gramEnd"/>
      <w:r w:rsidRPr="00EF7224">
        <w:rPr>
          <w:rFonts w:eastAsia="Times New Roman" w:cs="Times New Roman"/>
          <w:b/>
          <w:color w:val="FFFFFF" w:themeColor="background1"/>
          <w:sz w:val="94"/>
          <w:szCs w:val="94"/>
          <w:lang w:eastAsia="pl-PL"/>
        </w:rPr>
        <w:t>20, WIG, WIG40 oraz sWIG80</w:t>
      </w:r>
    </w:p>
    <w:p w:rsidR="00632E72" w:rsidRPr="00EF7224" w:rsidRDefault="00632E72" w:rsidP="00632E72">
      <w:pPr>
        <w:rPr>
          <w:rFonts w:eastAsiaTheme="minorEastAsia"/>
          <w:lang w:eastAsia="pl-PL"/>
        </w:rPr>
      </w:pPr>
    </w:p>
    <w:p w:rsidR="00632E72" w:rsidRPr="00EF7224" w:rsidRDefault="00632E72" w:rsidP="00632E72">
      <w:pPr>
        <w:rPr>
          <w:rFonts w:eastAsiaTheme="minorEastAsia"/>
          <w:lang w:eastAsia="pl-PL"/>
        </w:rPr>
      </w:pPr>
    </w:p>
    <w:p w:rsidR="00632E72" w:rsidRPr="00EF7224" w:rsidRDefault="00632E72" w:rsidP="00632E72">
      <w:pPr>
        <w:rPr>
          <w:rFonts w:eastAsiaTheme="minorEastAsia"/>
          <w:lang w:eastAsia="pl-PL"/>
        </w:rPr>
      </w:pPr>
    </w:p>
    <w:p w:rsidR="00632E72" w:rsidRPr="00EF7224" w:rsidRDefault="00632E72" w:rsidP="00632E72">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color w:val="FF0000"/>
          <w:sz w:val="110"/>
          <w:szCs w:val="110"/>
          <w:lang w:eastAsia="pl-PL"/>
        </w:rPr>
      </w:pPr>
      <w:r w:rsidRPr="00EF7224">
        <w:rPr>
          <w:rFonts w:eastAsiaTheme="minorEastAsia"/>
          <w:sz w:val="110"/>
          <w:szCs w:val="110"/>
          <w:lang w:eastAsia="pl-PL"/>
        </w:rPr>
        <w:lastRenderedPageBreak/>
        <w:t xml:space="preserve">Aby dowiedzieć się które spółki będą umieszczane w rubryce </w:t>
      </w:r>
      <w:proofErr w:type="gramStart"/>
      <w:r w:rsidRPr="00EF7224">
        <w:rPr>
          <w:rFonts w:eastAsiaTheme="minorEastAsia"/>
          <w:sz w:val="110"/>
          <w:szCs w:val="110"/>
          <w:lang w:eastAsia="pl-PL"/>
        </w:rPr>
        <w:t>,,</w:t>
      </w:r>
      <w:proofErr w:type="gramEnd"/>
      <w:r w:rsidRPr="00EF7224">
        <w:rPr>
          <w:rFonts w:eastAsiaTheme="minorEastAsia"/>
          <w:sz w:val="110"/>
          <w:szCs w:val="110"/>
          <w:lang w:eastAsia="pl-PL"/>
        </w:rPr>
        <w:t xml:space="preserve">Wykres do przemyślenia” warto często odwiedzać stronę internetową </w:t>
      </w:r>
      <w:r w:rsidRPr="00EF7224">
        <w:rPr>
          <w:rFonts w:eastAsiaTheme="minorEastAsia"/>
          <w:color w:val="FF0000"/>
          <w:sz w:val="110"/>
          <w:szCs w:val="110"/>
          <w:lang w:eastAsia="pl-PL"/>
        </w:rPr>
        <w:t>analizy-rynkowe.</w:t>
      </w:r>
      <w:proofErr w:type="gramStart"/>
      <w:r w:rsidRPr="00EF7224">
        <w:rPr>
          <w:rFonts w:eastAsiaTheme="minorEastAsia"/>
          <w:color w:val="FF0000"/>
          <w:sz w:val="110"/>
          <w:szCs w:val="110"/>
          <w:lang w:eastAsia="pl-PL"/>
        </w:rPr>
        <w:t>pl</w:t>
      </w:r>
      <w:proofErr w:type="gramEnd"/>
    </w:p>
    <w:p w:rsidR="00632E72" w:rsidRPr="00EF7224" w:rsidRDefault="00632E72" w:rsidP="00632E72">
      <w:pPr>
        <w:rPr>
          <w:rFonts w:eastAsiaTheme="minorEastAsia"/>
          <w:lang w:eastAsia="pl-PL"/>
        </w:rPr>
      </w:pPr>
    </w:p>
    <w:p w:rsidR="00632E72" w:rsidRPr="00EF7224" w:rsidRDefault="00632E72" w:rsidP="00632E72">
      <w:pPr>
        <w:rPr>
          <w:rFonts w:eastAsiaTheme="minorEastAsia"/>
          <w:lang w:eastAsia="pl-PL"/>
        </w:rPr>
      </w:pPr>
    </w:p>
    <w:p w:rsidR="00632E72" w:rsidRPr="00EF7224" w:rsidRDefault="00632E72" w:rsidP="00632E72">
      <w:pPr>
        <w:spacing w:after="0" w:line="240" w:lineRule="auto"/>
        <w:jc w:val="both"/>
      </w:pPr>
    </w:p>
    <w:p w:rsidR="00632E72" w:rsidRPr="00EF7224" w:rsidRDefault="00632E72" w:rsidP="00632E72">
      <w:pPr>
        <w:spacing w:after="0" w:line="240" w:lineRule="auto"/>
        <w:jc w:val="both"/>
      </w:pPr>
    </w:p>
    <w:p w:rsidR="00632E72" w:rsidRPr="00EF7224" w:rsidRDefault="00632E72" w:rsidP="00632E72">
      <w:pPr>
        <w:spacing w:after="0" w:line="240" w:lineRule="auto"/>
        <w:jc w:val="both"/>
      </w:pPr>
    </w:p>
    <w:p w:rsidR="00632E72" w:rsidRPr="00EF7224" w:rsidRDefault="00632E72" w:rsidP="00632E72">
      <w:pPr>
        <w:spacing w:after="0" w:line="240" w:lineRule="auto"/>
        <w:jc w:val="both"/>
        <w:rPr>
          <w:rFonts w:eastAsia="Times New Roman" w:cs="Times New Roman"/>
          <w:b/>
        </w:rPr>
      </w:pPr>
      <w:r w:rsidRPr="00EF7224">
        <w:rPr>
          <w:rFonts w:eastAsia="Times New Roman" w:cs="Times New Roman"/>
          <w:b/>
        </w:rPr>
        <w:lastRenderedPageBreak/>
        <w:t>Wnioski końcowe</w:t>
      </w:r>
    </w:p>
    <w:p w:rsidR="00632E72" w:rsidRPr="00EF7224" w:rsidRDefault="00632E72" w:rsidP="00632E72">
      <w:pPr>
        <w:spacing w:after="0" w:line="240" w:lineRule="auto"/>
        <w:jc w:val="both"/>
        <w:rPr>
          <w:rFonts w:eastAsia="Times New Roman" w:cs="Times New Roman"/>
        </w:rPr>
      </w:pPr>
    </w:p>
    <w:p w:rsidR="00632E72" w:rsidRPr="00EF7224" w:rsidRDefault="00632E72" w:rsidP="00632E72">
      <w:pPr>
        <w:numPr>
          <w:ilvl w:val="0"/>
          <w:numId w:val="1"/>
        </w:numPr>
        <w:spacing w:after="0" w:line="240" w:lineRule="auto"/>
        <w:contextualSpacing/>
        <w:jc w:val="both"/>
        <w:rPr>
          <w:rFonts w:eastAsia="Times New Roman" w:cs="Times New Roman"/>
          <w:color w:val="000000" w:themeColor="text1"/>
        </w:rPr>
      </w:pPr>
      <w:r w:rsidRPr="00EF7224">
        <w:rPr>
          <w:rFonts w:eastAsia="Times New Roman" w:cs="Times New Roman"/>
          <w:color w:val="000000" w:themeColor="text1"/>
        </w:rPr>
        <w:t>Kurs dolara amerykańskiego (w złotych) przebił zaznaczony na wykresie trend wzrostowy poprowadzony przez dołki z 9 lipca 2014 roku oraz 14 października 2015 roku. Pojawiła się szansa na wybicie z na razie tylko hipotetycznej formacji podwójnego szczytu. Dojdzie do tego wybicia, gdy kurs USD/PLN osiągnie (na zamknięciu notowań) poziom dołka z 4 kwietnia 2016 roku (</w:t>
      </w:r>
      <w:r w:rsidRPr="00EF7224">
        <w:rPr>
          <w:rFonts w:eastAsia="Times New Roman" w:cs="Times New Roman"/>
          <w:b/>
          <w:color w:val="FF0000"/>
        </w:rPr>
        <w:t>3,7230 zł</w:t>
      </w:r>
      <w:r w:rsidRPr="00EF7224">
        <w:rPr>
          <w:rFonts w:eastAsia="Times New Roman" w:cs="Times New Roman"/>
          <w:color w:val="000000" w:themeColor="text1"/>
        </w:rPr>
        <w:t>.). Realna perspektywa zmiany trendu ze wzrostowego na spadkowy może być związana z perspektywą napływu kapitału zagranicznego na polski rynek akcji. Średnia ruchoma z 200 sesji próbuje zmienić trend na spadkowy.</w:t>
      </w:r>
    </w:p>
    <w:p w:rsidR="00632E72" w:rsidRPr="00EF7224" w:rsidRDefault="00632E72" w:rsidP="00632E72">
      <w:pPr>
        <w:spacing w:after="0" w:line="240" w:lineRule="auto"/>
        <w:contextualSpacing/>
        <w:jc w:val="both"/>
        <w:rPr>
          <w:rFonts w:eastAsia="Times New Roman" w:cs="Times New Roman"/>
          <w:b/>
          <w:color w:val="FF0000"/>
        </w:rPr>
      </w:pPr>
    </w:p>
    <w:p w:rsidR="00632E72" w:rsidRPr="00EF7224" w:rsidRDefault="00632E72" w:rsidP="00632E72">
      <w:pPr>
        <w:numPr>
          <w:ilvl w:val="0"/>
          <w:numId w:val="1"/>
        </w:numPr>
        <w:spacing w:after="0" w:line="240" w:lineRule="auto"/>
        <w:contextualSpacing/>
        <w:jc w:val="both"/>
        <w:rPr>
          <w:rFonts w:eastAsia="Times New Roman" w:cs="Times New Roman"/>
          <w:color w:val="000000" w:themeColor="text1"/>
        </w:rPr>
      </w:pPr>
      <w:r w:rsidRPr="00EF7224">
        <w:rPr>
          <w:rFonts w:eastAsia="Times New Roman" w:cs="Times New Roman"/>
        </w:rPr>
        <w:t>Kurs euro amerykańskiego (w złotych) przebił zaznaczony na wykresie trend wzrostowy poprowadzony przez dołki z 27 kwietnia oraz 29 grudnia 2015 roku. Pojawiła się szansa na wybicie z na razie tylko hipotetycznej formacji podwójnego szczytu. Dojdzie do tego wybicia, gdy kurs USD/PLN osiągnie (na zamknięciu notowań) poziom dołka z 4 kwietnia 2016 roku (</w:t>
      </w:r>
      <w:r w:rsidRPr="00EF7224">
        <w:rPr>
          <w:rFonts w:eastAsia="Times New Roman" w:cs="Times New Roman"/>
          <w:b/>
          <w:color w:val="FF0000"/>
        </w:rPr>
        <w:t>4,2409 zł</w:t>
      </w:r>
      <w:r w:rsidRPr="00EF7224">
        <w:rPr>
          <w:rFonts w:eastAsia="Times New Roman" w:cs="Times New Roman"/>
        </w:rPr>
        <w:t>.). Realna perspektywa zmiany trendu ze wzrostowego na spadkowy może być związana z perspektywą napływu kapitału zagranicznego na polski rynek akcji. Średnia ruchoma z 200 sesji próbuje zmienić trend na spadkowy.</w:t>
      </w:r>
    </w:p>
    <w:p w:rsidR="00632E72" w:rsidRPr="00EF7224" w:rsidRDefault="00632E72" w:rsidP="00632E72">
      <w:pPr>
        <w:spacing w:after="0" w:line="240" w:lineRule="auto"/>
        <w:contextualSpacing/>
        <w:jc w:val="both"/>
        <w:rPr>
          <w:rFonts w:eastAsia="Times New Roman" w:cs="Times New Roman"/>
          <w:color w:val="000000" w:themeColor="text1"/>
        </w:rPr>
      </w:pPr>
    </w:p>
    <w:p w:rsidR="00632E72" w:rsidRPr="00EF7224" w:rsidRDefault="00632E72" w:rsidP="00632E72">
      <w:pPr>
        <w:numPr>
          <w:ilvl w:val="0"/>
          <w:numId w:val="1"/>
        </w:numPr>
        <w:spacing w:after="0" w:line="240" w:lineRule="auto"/>
        <w:contextualSpacing/>
        <w:jc w:val="both"/>
        <w:rPr>
          <w:rFonts w:eastAsia="Times New Roman" w:cs="Times New Roman"/>
          <w:b/>
          <w:color w:val="000000" w:themeColor="text1"/>
        </w:rPr>
      </w:pPr>
      <w:r w:rsidRPr="00EF7224">
        <w:rPr>
          <w:rFonts w:eastAsia="Times New Roman" w:cs="Times New Roman"/>
          <w:color w:val="000000" w:themeColor="text1"/>
        </w:rPr>
        <w:t xml:space="preserve">Początkowo </w:t>
      </w:r>
      <w:r w:rsidRPr="00EF7224">
        <w:rPr>
          <w:rFonts w:eastAsia="Times New Roman" w:cs="Times New Roman"/>
          <w:b/>
          <w:color w:val="000000" w:themeColor="text1"/>
        </w:rPr>
        <w:t>indeks amerykańskiego rynku akcji S&amp;P500</w:t>
      </w:r>
      <w:r w:rsidRPr="00EF7224">
        <w:rPr>
          <w:rFonts w:eastAsia="Times New Roman" w:cs="Times New Roman"/>
          <w:color w:val="000000" w:themeColor="text1"/>
        </w:rPr>
        <w:t xml:space="preserve"> wybił się z formacji podwójnego szczytu, co zapowiadało spadki. Wkrótce jednak indeks zaczął dynamicznie rosnąć. Przebił poziom wyższego szczytu. W rezultacie </w:t>
      </w:r>
      <w:r w:rsidRPr="00EF7224">
        <w:rPr>
          <w:rFonts w:eastAsia="Times New Roman" w:cs="Times New Roman"/>
          <w:b/>
          <w:color w:val="000000" w:themeColor="text1"/>
        </w:rPr>
        <w:t xml:space="preserve">doszło do </w:t>
      </w:r>
      <w:proofErr w:type="gramStart"/>
      <w:r w:rsidRPr="00EF7224">
        <w:rPr>
          <w:rFonts w:eastAsia="Times New Roman" w:cs="Times New Roman"/>
          <w:b/>
          <w:color w:val="000000" w:themeColor="text1"/>
        </w:rPr>
        <w:t>,,</w:t>
      </w:r>
      <w:proofErr w:type="gramEnd"/>
      <w:r w:rsidRPr="00EF7224">
        <w:rPr>
          <w:rFonts w:eastAsia="Times New Roman" w:cs="Times New Roman"/>
          <w:b/>
          <w:color w:val="000000" w:themeColor="text1"/>
        </w:rPr>
        <w:t>spalenia” formacji podwójnego szczytu.</w:t>
      </w:r>
      <w:r w:rsidRPr="00EF7224">
        <w:rPr>
          <w:rFonts w:eastAsia="Times New Roman" w:cs="Times New Roman"/>
          <w:color w:val="000000" w:themeColor="text1"/>
        </w:rPr>
        <w:t xml:space="preserve"> Pojawił się wiec bardzo </w:t>
      </w:r>
      <w:r w:rsidRPr="00EF7224">
        <w:rPr>
          <w:rFonts w:eastAsia="Times New Roman" w:cs="Times New Roman"/>
          <w:b/>
          <w:color w:val="000000" w:themeColor="text1"/>
        </w:rPr>
        <w:t xml:space="preserve">silny sygnał kupna. </w:t>
      </w:r>
    </w:p>
    <w:p w:rsidR="00632E72" w:rsidRPr="00EF7224" w:rsidRDefault="00632E72" w:rsidP="00632E72">
      <w:pPr>
        <w:spacing w:after="0" w:line="240" w:lineRule="auto"/>
        <w:ind w:left="720"/>
        <w:contextualSpacing/>
        <w:jc w:val="both"/>
        <w:rPr>
          <w:rFonts w:eastAsia="Times New Roman" w:cs="Times New Roman"/>
          <w:color w:val="000000" w:themeColor="text1"/>
        </w:rPr>
      </w:pPr>
    </w:p>
    <w:p w:rsidR="00632E72" w:rsidRPr="009D33C6" w:rsidRDefault="00632E72" w:rsidP="00632E72">
      <w:pPr>
        <w:numPr>
          <w:ilvl w:val="0"/>
          <w:numId w:val="1"/>
        </w:numPr>
        <w:spacing w:after="0" w:line="240" w:lineRule="auto"/>
        <w:contextualSpacing/>
        <w:jc w:val="both"/>
        <w:rPr>
          <w:rFonts w:eastAsia="Times New Roman" w:cs="Times New Roman"/>
        </w:rPr>
      </w:pPr>
      <w:r w:rsidRPr="009D33C6">
        <w:rPr>
          <w:rFonts w:eastAsia="Times New Roman" w:cs="Times New Roman"/>
          <w:color w:val="000000" w:themeColor="text1"/>
        </w:rPr>
        <w:t>W ubiegłym tygodniu indeks dużych spółek WIG20 stracił na wartości 0,</w:t>
      </w:r>
      <w:r>
        <w:rPr>
          <w:rFonts w:eastAsia="Times New Roman" w:cs="Times New Roman"/>
          <w:color w:val="000000" w:themeColor="text1"/>
        </w:rPr>
        <w:t>8</w:t>
      </w:r>
      <w:r w:rsidRPr="009D33C6">
        <w:rPr>
          <w:rFonts w:eastAsia="Times New Roman" w:cs="Times New Roman"/>
          <w:color w:val="000000" w:themeColor="text1"/>
        </w:rPr>
        <w:t xml:space="preserve"> %. Powstaje pytanie: czy ten spadek jest tylko fragmentem spadkowej korekty, czy też jest on częścią głębszej fali spadkowej. Osobiście jestem optymistą. Po pierwsze warto pamiętać, że indeks WIG0 wybił się niedawno z formacji podwójnego dna, dzięki czemu pojawiła się szansa na wzrost tego indeksu do </w:t>
      </w:r>
      <w:r w:rsidRPr="009D33C6">
        <w:rPr>
          <w:rFonts w:eastAsia="Times New Roman" w:cs="Times New Roman"/>
          <w:b/>
          <w:color w:val="000000" w:themeColor="text1"/>
        </w:rPr>
        <w:t>1982,28 pkt.</w:t>
      </w:r>
      <w:r w:rsidRPr="009D33C6">
        <w:rPr>
          <w:rFonts w:eastAsia="Times New Roman" w:cs="Times New Roman"/>
          <w:color w:val="000000" w:themeColor="text1"/>
        </w:rPr>
        <w:t xml:space="preserve"> Warto zauważyć, że obecnie (według stanu na 9 września 2016 roku) poziom wskaźnika C/WK dla indeksu WIG20 wynosi 1,1. </w:t>
      </w:r>
      <w:proofErr w:type="gramStart"/>
      <w:r w:rsidRPr="009D33C6">
        <w:rPr>
          <w:rFonts w:eastAsia="Times New Roman" w:cs="Times New Roman"/>
          <w:color w:val="000000" w:themeColor="text1"/>
        </w:rPr>
        <w:t>Jest więc</w:t>
      </w:r>
      <w:proofErr w:type="gramEnd"/>
      <w:r w:rsidRPr="009D33C6">
        <w:rPr>
          <w:rFonts w:eastAsia="Times New Roman" w:cs="Times New Roman"/>
          <w:color w:val="000000" w:themeColor="text1"/>
        </w:rPr>
        <w:t xml:space="preserve"> bardzo niski. To optymistyczne. Stwarza to szansę na to, że lada moment większy kapitał zainteresuje się akcjami spółek o dużej kapitalizacji notowanymi na giełdzie warszawskiej. Należy ponadto pamiętać o tym, że na długoterminowym wykresie indeksu WIG20 znajdujemy się w pobliżu wsparcia w postaci lekko wzrostowej linii trendu a oscylator stochastyczny stworzony na podstawie danych kwartalnych na temat indeksu WIG20 znajduje się w strefie wyprzedania.</w:t>
      </w:r>
    </w:p>
    <w:p w:rsidR="00632E72" w:rsidRPr="009D33C6" w:rsidRDefault="00632E72" w:rsidP="00632E72">
      <w:pPr>
        <w:spacing w:after="0" w:line="240" w:lineRule="auto"/>
        <w:ind w:left="720"/>
        <w:contextualSpacing/>
        <w:jc w:val="both"/>
        <w:rPr>
          <w:rFonts w:eastAsia="Times New Roman" w:cs="Times New Roman"/>
        </w:rPr>
      </w:pPr>
    </w:p>
    <w:p w:rsidR="00632E72" w:rsidRPr="00EF7224" w:rsidRDefault="00632E72" w:rsidP="00632E72">
      <w:pPr>
        <w:spacing w:after="0" w:line="240" w:lineRule="auto"/>
        <w:jc w:val="both"/>
        <w:rPr>
          <w:rFonts w:eastAsia="Times New Roman" w:cs="Times New Roman"/>
        </w:rPr>
      </w:pPr>
      <w:r w:rsidRPr="00EF7224">
        <w:rPr>
          <w:rFonts w:eastAsia="Times New Roman" w:cs="Times New Roman"/>
        </w:rPr>
        <w:t xml:space="preserve">Opracował: Sławomir Kłusek, </w:t>
      </w:r>
      <w:r>
        <w:rPr>
          <w:rFonts w:eastAsia="Times New Roman" w:cs="Times New Roman"/>
        </w:rPr>
        <w:t xml:space="preserve">12 września </w:t>
      </w:r>
      <w:r w:rsidRPr="00EF7224">
        <w:rPr>
          <w:rFonts w:eastAsia="Times New Roman" w:cs="Times New Roman"/>
        </w:rPr>
        <w:t>2016 roku</w:t>
      </w:r>
    </w:p>
    <w:p w:rsidR="00632E72" w:rsidRPr="00EF7224" w:rsidRDefault="00632E72" w:rsidP="00632E72">
      <w:pPr>
        <w:spacing w:after="0" w:line="240" w:lineRule="auto"/>
        <w:jc w:val="both"/>
        <w:rPr>
          <w:rFonts w:eastAsia="Times New Roman" w:cs="Times New Roman"/>
        </w:rPr>
      </w:pPr>
    </w:p>
    <w:p w:rsidR="00632E72" w:rsidRPr="009D33C6" w:rsidRDefault="00632E72" w:rsidP="00632E72">
      <w:pPr>
        <w:spacing w:after="0" w:line="240" w:lineRule="auto"/>
        <w:jc w:val="both"/>
        <w:rPr>
          <w:rFonts w:eastAsia="Times New Roman" w:cs="Times New Roman"/>
          <w:i/>
          <w:color w:val="000000" w:themeColor="text1"/>
        </w:rPr>
      </w:pPr>
      <w:r w:rsidRPr="009D33C6">
        <w:rPr>
          <w:rFonts w:eastAsia="Times New Roman" w:cs="Times New Roman"/>
          <w:i/>
        </w:rPr>
        <w:t xml:space="preserve">Powyższy raport stanowi wyłącznie wyraz osobistych opinii autora. Treści zawarte na stronie internetowej </w:t>
      </w:r>
      <w:r w:rsidRPr="009D33C6">
        <w:rPr>
          <w:rFonts w:eastAsia="Times New Roman" w:cs="Times New Roman"/>
          <w:b/>
          <w:i/>
        </w:rPr>
        <w:t>analizy-rynkowe.</w:t>
      </w:r>
      <w:proofErr w:type="gramStart"/>
      <w:r w:rsidRPr="009D33C6">
        <w:rPr>
          <w:rFonts w:eastAsia="Times New Roman" w:cs="Times New Roman"/>
          <w:b/>
          <w:i/>
        </w:rPr>
        <w:t>pl</w:t>
      </w:r>
      <w:r w:rsidRPr="009D33C6">
        <w:rPr>
          <w:rFonts w:eastAsia="Times New Roman" w:cs="Times New Roman"/>
          <w:i/>
        </w:rPr>
        <w:t xml:space="preserve">  stanowią</w:t>
      </w:r>
      <w:proofErr w:type="gramEnd"/>
      <w:r w:rsidRPr="009D33C6">
        <w:rPr>
          <w:rFonts w:eastAsia="Times New Roman" w:cs="Times New Roman"/>
          <w:i/>
        </w:rPr>
        <w:t xml:space="preserve"> „rekomendacji” w rozumieniu przepisów Rozporządzenia Ministra Finansów z dnia 19 października 2005 r. w sprawie informacji stanowiących rekomendacje dotyczące instrumentów finansowych, lub ich emitentów (</w:t>
      </w:r>
      <w:proofErr w:type="spellStart"/>
      <w:r w:rsidRPr="009D33C6">
        <w:rPr>
          <w:rFonts w:eastAsia="Times New Roman" w:cs="Times New Roman"/>
          <w:i/>
        </w:rPr>
        <w:t>Dz.U</w:t>
      </w:r>
      <w:proofErr w:type="spellEnd"/>
      <w:r w:rsidRPr="009D33C6">
        <w:rPr>
          <w:rFonts w:eastAsia="Times New Roman" w:cs="Times New Roman"/>
          <w:i/>
        </w:rPr>
        <w:t>. z 2005 r. Nr 206, poz</w:t>
      </w:r>
      <w:proofErr w:type="gramStart"/>
      <w:r w:rsidRPr="009D33C6">
        <w:rPr>
          <w:rFonts w:eastAsia="Times New Roman" w:cs="Times New Roman"/>
          <w:i/>
        </w:rPr>
        <w:t>. 1715). Autor</w:t>
      </w:r>
      <w:proofErr w:type="gramEnd"/>
      <w:r w:rsidRPr="009D33C6">
        <w:rPr>
          <w:rFonts w:eastAsia="Times New Roman" w:cs="Times New Roman"/>
          <w:i/>
        </w:rPr>
        <w:t xml:space="preserve"> nie ponosi odpowiedzialności za jakiekolwiek decyzje inwestycyjne podjęte na podstawie treści zawartych na stronie internetowej </w:t>
      </w:r>
      <w:r w:rsidRPr="009D33C6">
        <w:rPr>
          <w:rFonts w:eastAsia="Times New Roman" w:cs="Times New Roman"/>
          <w:b/>
          <w:i/>
          <w:color w:val="000000" w:themeColor="text1"/>
        </w:rPr>
        <w:t>analizy-rynkowe.</w:t>
      </w:r>
      <w:proofErr w:type="gramStart"/>
      <w:r w:rsidRPr="009D33C6">
        <w:rPr>
          <w:rFonts w:eastAsia="Times New Roman" w:cs="Times New Roman"/>
          <w:b/>
          <w:i/>
          <w:color w:val="000000" w:themeColor="text1"/>
        </w:rPr>
        <w:t>pl</w:t>
      </w:r>
      <w:proofErr w:type="gramEnd"/>
      <w:r w:rsidRPr="009D33C6">
        <w:rPr>
          <w:rFonts w:eastAsia="Times New Roman" w:cs="Times New Roman"/>
          <w:i/>
          <w:color w:val="000000" w:themeColor="text1"/>
        </w:rPr>
        <w:t>.</w:t>
      </w:r>
    </w:p>
    <w:p w:rsidR="00632E72" w:rsidRPr="009D33C6" w:rsidRDefault="00632E72" w:rsidP="00632E72">
      <w:pPr>
        <w:spacing w:after="0" w:line="240" w:lineRule="auto"/>
        <w:jc w:val="both"/>
        <w:rPr>
          <w:b/>
        </w:rPr>
      </w:pPr>
    </w:p>
    <w:p w:rsidR="003666A9" w:rsidRPr="00632E72" w:rsidRDefault="003666A9" w:rsidP="00632E72"/>
    <w:sectPr w:rsidR="003666A9" w:rsidRPr="00632E72" w:rsidSect="00FF5F52">
      <w:footerReference w:type="default" r:id="rId14"/>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094"/>
      <w:docPartObj>
        <w:docPartGallery w:val="Page Numbers (Bottom of Page)"/>
        <w:docPartUnique/>
      </w:docPartObj>
    </w:sdtPr>
    <w:sdtEndPr/>
    <w:sdtContent>
      <w:p w:rsidR="00FF5F52" w:rsidRDefault="00222D27">
        <w:pPr>
          <w:pStyle w:val="Stopka"/>
          <w:jc w:val="center"/>
        </w:pPr>
        <w:r>
          <w:fldChar w:fldCharType="begin"/>
        </w:r>
        <w:r>
          <w:instrText>PAGE   \* MERGEFORMAT</w:instrText>
        </w:r>
        <w:r>
          <w:fldChar w:fldCharType="separate"/>
        </w:r>
        <w:r>
          <w:rPr>
            <w:noProof/>
          </w:rPr>
          <w:t>15</w:t>
        </w:r>
        <w:r>
          <w:fldChar w:fldCharType="end"/>
        </w:r>
      </w:p>
    </w:sdtContent>
  </w:sdt>
  <w:p w:rsidR="00FF5F52" w:rsidRDefault="00222D27">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72"/>
    <w:rsid w:val="00222D27"/>
    <w:rsid w:val="003666A9"/>
    <w:rsid w:val="00632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E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32E72"/>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632E72"/>
    <w:rPr>
      <w:rFonts w:eastAsiaTheme="minorEastAsia"/>
      <w:lang w:eastAsia="pl-PL"/>
    </w:rPr>
  </w:style>
  <w:style w:type="table" w:styleId="Tabela-Siatka">
    <w:name w:val="Table Grid"/>
    <w:basedOn w:val="Standardowy"/>
    <w:uiPriority w:val="59"/>
    <w:rsid w:val="00632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32E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E72"/>
    <w:rPr>
      <w:rFonts w:ascii="Tahoma" w:hAnsi="Tahoma" w:cs="Tahoma"/>
      <w:sz w:val="16"/>
      <w:szCs w:val="16"/>
    </w:rPr>
  </w:style>
  <w:style w:type="paragraph" w:styleId="Bezodstpw">
    <w:name w:val="No Spacing"/>
    <w:uiPriority w:val="1"/>
    <w:qFormat/>
    <w:rsid w:val="00632E72"/>
    <w:pPr>
      <w:spacing w:after="0" w:line="240" w:lineRule="auto"/>
    </w:pPr>
  </w:style>
  <w:style w:type="character" w:styleId="Hipercze">
    <w:name w:val="Hyperlink"/>
    <w:basedOn w:val="Domylnaczcionkaakapitu"/>
    <w:uiPriority w:val="99"/>
    <w:unhideWhenUsed/>
    <w:rsid w:val="00632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E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32E72"/>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632E72"/>
    <w:rPr>
      <w:rFonts w:eastAsiaTheme="minorEastAsia"/>
      <w:lang w:eastAsia="pl-PL"/>
    </w:rPr>
  </w:style>
  <w:style w:type="table" w:styleId="Tabela-Siatka">
    <w:name w:val="Table Grid"/>
    <w:basedOn w:val="Standardowy"/>
    <w:uiPriority w:val="59"/>
    <w:rsid w:val="00632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32E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E72"/>
    <w:rPr>
      <w:rFonts w:ascii="Tahoma" w:hAnsi="Tahoma" w:cs="Tahoma"/>
      <w:sz w:val="16"/>
      <w:szCs w:val="16"/>
    </w:rPr>
  </w:style>
  <w:style w:type="paragraph" w:styleId="Bezodstpw">
    <w:name w:val="No Spacing"/>
    <w:uiPriority w:val="1"/>
    <w:qFormat/>
    <w:rsid w:val="00632E72"/>
    <w:pPr>
      <w:spacing w:after="0" w:line="240" w:lineRule="auto"/>
    </w:pPr>
  </w:style>
  <w:style w:type="character" w:styleId="Hipercze">
    <w:name w:val="Hyperlink"/>
    <w:basedOn w:val="Domylnaczcionkaakapitu"/>
    <w:uiPriority w:val="99"/>
    <w:unhideWhenUsed/>
    <w:rsid w:val="00632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analizy-rynkowe.pl/w-jaki-sposob-mozna-przeprowadzic-uproszczona-analize-branzowa-w-oparciu-o-kryteria-techniczne-fundamentalne-i-psychologiczne-na-przykladzie-analizy-branzy-materialow-budowlany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stooq.p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Arkusz1!$A$1:$A$5</c:f>
              <c:strCache>
                <c:ptCount val="5"/>
                <c:pt idx="0">
                  <c:v>Wykres do przemyślenia</c:v>
                </c:pt>
                <c:pt idx="1">
                  <c:v>sWIG80</c:v>
                </c:pt>
                <c:pt idx="2">
                  <c:v>mWIG40</c:v>
                </c:pt>
                <c:pt idx="3">
                  <c:v>WIG</c:v>
                </c:pt>
                <c:pt idx="4">
                  <c:v>WIG20</c:v>
                </c:pt>
              </c:strCache>
            </c:strRef>
          </c:cat>
          <c:val>
            <c:numRef>
              <c:f>Arkusz1!$B$1:$B$5</c:f>
              <c:numCache>
                <c:formatCode>0.0</c:formatCode>
                <c:ptCount val="5"/>
                <c:pt idx="0">
                  <c:v>12.3</c:v>
                </c:pt>
                <c:pt idx="1">
                  <c:v>4.9000000000000004</c:v>
                </c:pt>
                <c:pt idx="2">
                  <c:v>-0.5</c:v>
                </c:pt>
                <c:pt idx="3">
                  <c:v>-9.6999999999999993</c:v>
                </c:pt>
                <c:pt idx="4">
                  <c:v>-18.5</c:v>
                </c:pt>
              </c:numCache>
            </c:numRef>
          </c:val>
        </c:ser>
        <c:dLbls>
          <c:showLegendKey val="0"/>
          <c:showVal val="0"/>
          <c:showCatName val="0"/>
          <c:showSerName val="0"/>
          <c:showPercent val="0"/>
          <c:showBubbleSize val="0"/>
        </c:dLbls>
        <c:gapWidth val="150"/>
        <c:axId val="165828480"/>
        <c:axId val="165830016"/>
      </c:barChart>
      <c:catAx>
        <c:axId val="165828480"/>
        <c:scaling>
          <c:orientation val="minMax"/>
        </c:scaling>
        <c:delete val="0"/>
        <c:axPos val="b"/>
        <c:numFmt formatCode="General" sourceLinked="1"/>
        <c:majorTickMark val="out"/>
        <c:minorTickMark val="none"/>
        <c:tickLblPos val="nextTo"/>
        <c:crossAx val="165830016"/>
        <c:crosses val="autoZero"/>
        <c:auto val="1"/>
        <c:lblAlgn val="ctr"/>
        <c:lblOffset val="100"/>
        <c:noMultiLvlLbl val="0"/>
      </c:catAx>
      <c:valAx>
        <c:axId val="165830016"/>
        <c:scaling>
          <c:orientation val="minMax"/>
        </c:scaling>
        <c:delete val="0"/>
        <c:axPos val="l"/>
        <c:majorGridlines/>
        <c:numFmt formatCode="0.0" sourceLinked="1"/>
        <c:majorTickMark val="out"/>
        <c:minorTickMark val="none"/>
        <c:tickLblPos val="nextTo"/>
        <c:crossAx val="165828480"/>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15</Pages>
  <Words>1847</Words>
  <Characters>11087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2016-09-10T21:23:00Z</dcterms:created>
  <dcterms:modified xsi:type="dcterms:W3CDTF">2016-09-10T21:26:00Z</dcterms:modified>
</cp:coreProperties>
</file>