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0" w:rsidRPr="00EF7224" w:rsidRDefault="006A52C0" w:rsidP="006A52C0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6A52C0" w:rsidRPr="00EF7224" w:rsidRDefault="006A52C0" w:rsidP="006A52C0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6A52C0" w:rsidRPr="00EF7224" w:rsidRDefault="006A52C0" w:rsidP="006A52C0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EF722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6A52C0" w:rsidRPr="00EF7224" w:rsidRDefault="006A52C0" w:rsidP="006A52C0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EF722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6A52C0" w:rsidRPr="00EF7224" w:rsidRDefault="006A52C0" w:rsidP="006A52C0">
      <w:pPr>
        <w:spacing w:after="0" w:line="240" w:lineRule="auto"/>
        <w:jc w:val="center"/>
        <w:rPr>
          <w:sz w:val="48"/>
          <w:szCs w:val="48"/>
        </w:rPr>
      </w:pPr>
    </w:p>
    <w:p w:rsidR="006A52C0" w:rsidRPr="00EF7224" w:rsidRDefault="006A52C0" w:rsidP="006A52C0">
      <w:pPr>
        <w:spacing w:after="0" w:line="240" w:lineRule="auto"/>
        <w:jc w:val="center"/>
        <w:rPr>
          <w:sz w:val="48"/>
          <w:szCs w:val="48"/>
        </w:rPr>
      </w:pPr>
    </w:p>
    <w:p w:rsidR="006A52C0" w:rsidRPr="00EF7224" w:rsidRDefault="006A52C0" w:rsidP="006A52C0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6A52C0" w:rsidRPr="00EF7224" w:rsidRDefault="006A52C0" w:rsidP="006A52C0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A52C0" w:rsidRPr="00EF7224" w:rsidRDefault="006A52C0" w:rsidP="006A52C0">
      <w:pPr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6A52C0" w:rsidRPr="00EF7224" w:rsidRDefault="006A52C0" w:rsidP="006A52C0">
      <w:pPr>
        <w:spacing w:after="0" w:line="240" w:lineRule="auto"/>
        <w:jc w:val="both"/>
        <w:rPr>
          <w:sz w:val="26"/>
          <w:szCs w:val="26"/>
        </w:rPr>
      </w:pPr>
    </w:p>
    <w:p w:rsidR="006A52C0" w:rsidRPr="00EF7224" w:rsidRDefault="006A52C0" w:rsidP="006A52C0">
      <w:pPr>
        <w:spacing w:after="0" w:line="240" w:lineRule="auto"/>
        <w:jc w:val="both"/>
        <w:rPr>
          <w:sz w:val="26"/>
          <w:szCs w:val="26"/>
        </w:rPr>
      </w:pPr>
    </w:p>
    <w:p w:rsidR="006A52C0" w:rsidRPr="00EF7224" w:rsidRDefault="006A52C0" w:rsidP="006A52C0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września </w:t>
      </w:r>
      <w:r w:rsidRPr="00EF722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 roku</w:t>
      </w:r>
    </w:p>
    <w:p w:rsidR="006A52C0" w:rsidRPr="00EF7224" w:rsidRDefault="006A52C0" w:rsidP="006A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EF7224">
        <w:t xml:space="preserve">Kurs USD/PLN – perspektywa długoterminowa, kurs z </w:t>
      </w:r>
      <w:r>
        <w:t>2 września 2016 roku = 3,9135</w:t>
      </w:r>
    </w:p>
    <w:p w:rsidR="006A52C0" w:rsidRPr="00EF7224" w:rsidRDefault="006A52C0" w:rsidP="006A52C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0604CAE3" wp14:editId="00E8130D">
            <wp:extent cx="4829175" cy="29051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2C0" w:rsidRPr="00EF7224" w:rsidRDefault="006A52C0" w:rsidP="006A52C0">
      <w:pPr>
        <w:spacing w:after="0" w:line="240" w:lineRule="auto"/>
        <w:jc w:val="both"/>
        <w:rPr>
          <w:b/>
          <w:color w:val="FF0000"/>
        </w:rPr>
      </w:pPr>
      <w:r w:rsidRPr="00EF7224">
        <w:t xml:space="preserve">Kurs dolara amerykańskiego (w złotych) przebił zaznaczony na wykresie trend wzrostowy poprowadzony przez dołki z 9 lipca 2014 roku oraz 14 października 2015 roku. </w:t>
      </w:r>
      <w:r w:rsidRPr="00EF7224">
        <w:rPr>
          <w:b/>
        </w:rPr>
        <w:t>Pojawiła się szansa na wybicie z na razie tylko hipotetycznej formacji podwójnego szczytu</w:t>
      </w:r>
      <w:r w:rsidRPr="00EF7224">
        <w:t xml:space="preserve">. Dojdzie do tego wybicia, gdy kurs USD/PLN osiągnie (na zamknięciu notowań) poziom dołka z 4 kwietnia 2016 roku (3,7230 zł.). Realna perspektywa zmiany trendu ze wzrostowego na spadkowy może być związana z perspektywą napływu kapitału zagranicznego na polski rynek akcji. Średnia ruchoma z 200 sesji próbuje zmienić trend na spadkowy. </w:t>
      </w:r>
    </w:p>
    <w:p w:rsidR="006A52C0" w:rsidRPr="00EF7224" w:rsidRDefault="006A52C0" w:rsidP="006A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EF7224">
        <w:t xml:space="preserve">Kurs EUR/PLN – perspektywa średniookresowa, kurs z </w:t>
      </w:r>
      <w:r>
        <w:t>2 września 2016 roku = 4,3662</w:t>
      </w:r>
    </w:p>
    <w:p w:rsidR="006A52C0" w:rsidRPr="00EF7224" w:rsidRDefault="006A52C0" w:rsidP="006A52C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2ECBD9B8" wp14:editId="5D6C32FF">
            <wp:extent cx="4829175" cy="28956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2C0" w:rsidRDefault="006A52C0" w:rsidP="006A52C0">
      <w:pPr>
        <w:spacing w:after="0" w:line="240" w:lineRule="auto"/>
        <w:jc w:val="both"/>
      </w:pPr>
      <w:r w:rsidRPr="00EF7224">
        <w:t xml:space="preserve">Kurs euro amerykańskiego (w złotych) przebił zaznaczony na wykresie trend wzrostowy poprowadzony przez dołki z 27 kwietnia oraz 29 grudnia 2015 roku. </w:t>
      </w:r>
      <w:r w:rsidRPr="00EF7224">
        <w:rPr>
          <w:b/>
        </w:rPr>
        <w:t>Pojawiła się szansa na wybicie z na razie tylko hipotetycznej formacji podwójnego szczytu</w:t>
      </w:r>
      <w:r w:rsidRPr="00EF7224">
        <w:t xml:space="preserve">. Dojdzie do tego wybicia, gdy kurs USD/PLN osiągnie (na zamknięciu notowań) poziom dołka z 4 kwietnia 2016 roku (4,2409 zł.). Realna perspektywa zmiany trendu ze wzrostowego na spadkowy może być związana z perspektywą napływu kapitału zagranicznego na polski rynek akcji. Średnia ruchoma z 200 sesji próbuje zmienić trend na spadkowy. </w:t>
      </w:r>
    </w:p>
    <w:p w:rsidR="00536741" w:rsidRDefault="00536741" w:rsidP="0053674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6C0160">
        <w:rPr>
          <w:sz w:val="26"/>
          <w:szCs w:val="26"/>
        </w:rPr>
        <w:lastRenderedPageBreak/>
        <w:t>Kontynuacja spadkowej korekty</w:t>
      </w:r>
    </w:p>
    <w:p w:rsidR="00536741" w:rsidRDefault="00536741" w:rsidP="00536741">
      <w:pPr>
        <w:pStyle w:val="Bezodstpw"/>
        <w:jc w:val="center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ubiegłym tygodniu indeks dużych spółek WIG20 stracił na wartości 0,5 %. Powstaje pytanie: czy ten spadek jest tylko fragmentem spadkowej korekty, czy też jest on częścią głębszej fali spadkowej. Osobiście jestem optymistą. Po pierwsze warto pamiętać, że indeks </w:t>
      </w:r>
      <w:r w:rsidRPr="00536741">
        <w:rPr>
          <w:b/>
          <w:sz w:val="26"/>
          <w:szCs w:val="26"/>
        </w:rPr>
        <w:t>WIG0 wybił się niedawno z formacji podwójnego dna</w:t>
      </w:r>
      <w:r>
        <w:rPr>
          <w:sz w:val="26"/>
          <w:szCs w:val="26"/>
        </w:rPr>
        <w:t xml:space="preserve">, dzięki czemu </w:t>
      </w:r>
      <w:r w:rsidRPr="00536741">
        <w:rPr>
          <w:b/>
          <w:sz w:val="26"/>
          <w:szCs w:val="26"/>
        </w:rPr>
        <w:t>pojawiła się szansa na wzrost tego indeksu do 1982,28 pkt</w:t>
      </w:r>
      <w:r>
        <w:rPr>
          <w:sz w:val="26"/>
          <w:szCs w:val="26"/>
        </w:rPr>
        <w:t xml:space="preserve">. W tej sytuacji spadki po wybiciu z formacji podwójnego dna należy </w:t>
      </w:r>
      <w:proofErr w:type="gramStart"/>
      <w:r>
        <w:rPr>
          <w:sz w:val="26"/>
          <w:szCs w:val="26"/>
        </w:rPr>
        <w:t>traktować jako</w:t>
      </w:r>
      <w:proofErr w:type="gramEnd"/>
      <w:r>
        <w:rPr>
          <w:sz w:val="26"/>
          <w:szCs w:val="26"/>
        </w:rPr>
        <w:t xml:space="preserve"> spadkową korektę, po zakończeniu której powrócą wzrosty.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b/>
          <w:sz w:val="26"/>
          <w:szCs w:val="26"/>
          <w:u w:val="single"/>
        </w:rPr>
      </w:pPr>
      <w:r w:rsidRPr="006C0160">
        <w:rPr>
          <w:b/>
          <w:sz w:val="26"/>
          <w:szCs w:val="26"/>
          <w:u w:val="single"/>
        </w:rPr>
        <w:t>WIG20</w:t>
      </w:r>
    </w:p>
    <w:p w:rsidR="00536741" w:rsidRPr="006C0160" w:rsidRDefault="00536741" w:rsidP="00536741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2D5A3C5E" wp14:editId="79CAAB6D">
            <wp:extent cx="5429250" cy="32575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Zwyżkom powinny sprzyjać czynniki międzynarodowe, przy czym wydaje się, że kluczowe znaczenie mieć będzie zachowanie najważniejszego chyba indeksu świata jakim jest indeks amerykański </w:t>
      </w:r>
      <w:r w:rsidRPr="00536741">
        <w:rPr>
          <w:b/>
          <w:sz w:val="26"/>
          <w:szCs w:val="26"/>
        </w:rPr>
        <w:t>S&amp;P500</w:t>
      </w:r>
      <w:r>
        <w:rPr>
          <w:sz w:val="26"/>
          <w:szCs w:val="26"/>
        </w:rPr>
        <w:t xml:space="preserve">. Warto zauważyć, że </w:t>
      </w:r>
      <w:r w:rsidRPr="00536741">
        <w:rPr>
          <w:b/>
          <w:sz w:val="26"/>
          <w:szCs w:val="26"/>
        </w:rPr>
        <w:t>w przypadku tego indeksu doszło do przebicia historycznego szczytu, co otwiera drogę do 2 482, 34 pkt</w:t>
      </w:r>
      <w:r>
        <w:rPr>
          <w:sz w:val="26"/>
          <w:szCs w:val="26"/>
        </w:rPr>
        <w:t xml:space="preserve">. Jest to poziom będącym minimalnym poziomem tego indeksu </w:t>
      </w:r>
      <w:r w:rsidRPr="00B61939">
        <w:rPr>
          <w:sz w:val="26"/>
          <w:szCs w:val="26"/>
        </w:rPr>
        <w:t xml:space="preserve">po </w:t>
      </w:r>
      <w:proofErr w:type="gramStart"/>
      <w:r w:rsidRPr="00B61939">
        <w:rPr>
          <w:sz w:val="26"/>
          <w:szCs w:val="26"/>
        </w:rPr>
        <w:t>,,</w:t>
      </w:r>
      <w:proofErr w:type="gramEnd"/>
      <w:r w:rsidRPr="00B61939">
        <w:rPr>
          <w:sz w:val="26"/>
          <w:szCs w:val="26"/>
        </w:rPr>
        <w:t>spaleniu” formacji podwójnego szczytu w przypadku indeksu S&amp;P 500.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czego mogą wynikać te przewidywane zwyżki indeksu S&amp;P500. Kierownik studium podyplomowego </w:t>
      </w:r>
      <w:proofErr w:type="gramStart"/>
      <w:r w:rsidRPr="00536741">
        <w:rPr>
          <w:b/>
          <w:sz w:val="26"/>
          <w:szCs w:val="26"/>
        </w:rPr>
        <w:t>,,</w:t>
      </w:r>
      <w:proofErr w:type="gramEnd"/>
      <w:r w:rsidRPr="00536741">
        <w:rPr>
          <w:b/>
          <w:sz w:val="26"/>
          <w:szCs w:val="26"/>
        </w:rPr>
        <w:t>Mistrzowie rynków finansowych”</w:t>
      </w:r>
      <w:r>
        <w:rPr>
          <w:sz w:val="26"/>
          <w:szCs w:val="26"/>
        </w:rPr>
        <w:t xml:space="preserve"> i jednocześnie członek Rady Polityki Pieniężnej </w:t>
      </w:r>
      <w:r w:rsidRPr="00536741">
        <w:rPr>
          <w:b/>
          <w:sz w:val="26"/>
          <w:szCs w:val="26"/>
        </w:rPr>
        <w:t>prof. Eryk Łon</w:t>
      </w:r>
      <w:r>
        <w:rPr>
          <w:sz w:val="26"/>
          <w:szCs w:val="26"/>
        </w:rPr>
        <w:t xml:space="preserve"> w swojej książce </w:t>
      </w:r>
      <w:r w:rsidRPr="00536741">
        <w:rPr>
          <w:b/>
          <w:sz w:val="26"/>
          <w:szCs w:val="26"/>
        </w:rPr>
        <w:t>,,Powiązania amerykańskiej polityki budżetowej i pieniężnej z sytuacją na dojrzałych i wschodzących rynkach akcji”</w:t>
      </w:r>
      <w:r w:rsidRPr="00B619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 2011 roku wskazuje na duże znaczenie obu segmentów polityki gospodarczej w USA w kształtowaniu sytuacji na rynkach akcji w różnych krajach. Warto w tym kontekście zauważyć, że zaprezentowane ostatnio dane makroekonomiczne z USA wskazują na pewne wyhamowanie aktywności gospodarczej w Stanach </w:t>
      </w:r>
      <w:r>
        <w:rPr>
          <w:sz w:val="26"/>
          <w:szCs w:val="26"/>
        </w:rPr>
        <w:lastRenderedPageBreak/>
        <w:t xml:space="preserve">Zjednoczonych, </w:t>
      </w:r>
      <w:r w:rsidRPr="00536741">
        <w:rPr>
          <w:b/>
          <w:sz w:val="26"/>
          <w:szCs w:val="26"/>
        </w:rPr>
        <w:t xml:space="preserve">co może oddalać potrzebę dokonania podwyżki stóp procentowych w </w:t>
      </w:r>
      <w:r>
        <w:rPr>
          <w:b/>
          <w:sz w:val="26"/>
          <w:szCs w:val="26"/>
        </w:rPr>
        <w:t>USA</w:t>
      </w:r>
      <w:r>
        <w:rPr>
          <w:sz w:val="26"/>
          <w:szCs w:val="26"/>
        </w:rPr>
        <w:t xml:space="preserve">. Skoro tak to prawdopodobnie polityka pieniężna w USA będzie łagodniejsza, a przynajmniej mniej restrykcyjna, niż do tej pory sądzono.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b/>
          <w:sz w:val="26"/>
          <w:szCs w:val="26"/>
          <w:u w:val="single"/>
        </w:rPr>
      </w:pPr>
      <w:r w:rsidRPr="00B61939">
        <w:rPr>
          <w:b/>
          <w:sz w:val="26"/>
          <w:szCs w:val="26"/>
          <w:u w:val="single"/>
        </w:rPr>
        <w:t>S&amp;P500</w:t>
      </w:r>
    </w:p>
    <w:p w:rsidR="00536741" w:rsidRPr="00B61939" w:rsidRDefault="00536741" w:rsidP="00536741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6F1F6729" wp14:editId="22C585C2">
            <wp:extent cx="5438775" cy="32575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Aby w przypadku indeksu WIG20 pojawiły się trwałe wzrosty </w:t>
      </w:r>
      <w:r w:rsidRPr="00536741">
        <w:rPr>
          <w:b/>
          <w:sz w:val="26"/>
          <w:szCs w:val="26"/>
        </w:rPr>
        <w:t>niezbędne wydają się być zwyżki akcji kluczowych banków</w:t>
      </w:r>
      <w:r>
        <w:rPr>
          <w:sz w:val="26"/>
          <w:szCs w:val="26"/>
        </w:rPr>
        <w:t xml:space="preserve">. W tym kontekście warto zauważyć, że zarówno w przypadku akcji BZWBK jak również mBanku doszło do wybicia z formacji podwójnego dna, która to formacja jeszcze się nie zrealizowała.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czego może wynikać zwyżka akcji </w:t>
      </w:r>
      <w:proofErr w:type="gramStart"/>
      <w:r>
        <w:rPr>
          <w:sz w:val="26"/>
          <w:szCs w:val="26"/>
        </w:rPr>
        <w:t xml:space="preserve">banków ?. </w:t>
      </w:r>
      <w:proofErr w:type="gramEnd"/>
      <w:r>
        <w:rPr>
          <w:sz w:val="26"/>
          <w:szCs w:val="26"/>
        </w:rPr>
        <w:t xml:space="preserve">Być może z tego, że akcje banków traktowane są z </w:t>
      </w:r>
      <w:proofErr w:type="gramStart"/>
      <w:r>
        <w:rPr>
          <w:sz w:val="26"/>
          <w:szCs w:val="26"/>
        </w:rPr>
        <w:t>reguły jako</w:t>
      </w:r>
      <w:proofErr w:type="gramEnd"/>
      <w:r>
        <w:rPr>
          <w:sz w:val="26"/>
          <w:szCs w:val="26"/>
        </w:rPr>
        <w:t xml:space="preserve"> tak zwane akcje deflacyjne, które szczególnie mocno zachowują się w okresach niskiej presji inflacyjnej. Tymczasem w naszym kraju mamy do czynienia wręcz z deflacją.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wydaje się, że </w:t>
      </w:r>
      <w:proofErr w:type="gramStart"/>
      <w:r w:rsidRPr="00536741">
        <w:rPr>
          <w:b/>
          <w:sz w:val="26"/>
          <w:szCs w:val="26"/>
        </w:rPr>
        <w:t>otoczenie w którym</w:t>
      </w:r>
      <w:proofErr w:type="gramEnd"/>
      <w:r w:rsidRPr="00536741">
        <w:rPr>
          <w:b/>
          <w:sz w:val="26"/>
          <w:szCs w:val="26"/>
        </w:rPr>
        <w:t xml:space="preserve"> funkcjonuje bankowość w naszym kraju wydaje się być korzystniejsze, niż oczekiwano tego jeszcze kilka miesięcy temu</w:t>
      </w:r>
      <w:r>
        <w:rPr>
          <w:sz w:val="26"/>
          <w:szCs w:val="26"/>
        </w:rPr>
        <w:t xml:space="preserve">. Po trzecie wreszcie należy zauważyć, że akcje banków są bardzo płynne, są </w:t>
      </w:r>
      <w:proofErr w:type="gramStart"/>
      <w:r>
        <w:rPr>
          <w:sz w:val="26"/>
          <w:szCs w:val="26"/>
        </w:rPr>
        <w:t>to bowiem</w:t>
      </w:r>
      <w:proofErr w:type="gramEnd"/>
      <w:r>
        <w:rPr>
          <w:sz w:val="26"/>
          <w:szCs w:val="26"/>
        </w:rPr>
        <w:t xml:space="preserve"> akcje podmiotów o dużej kapitalizacji, w przypadku których obrót akcjami jest stosunkowo duży na tle innych spółek.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Oczywiście wygląd techniczny kursów akcji poszczególnych banków jest zróżnicowany. Nie wykluczam, że w najbliższym czasie przeprowadzę bardziej pogłębioną analizę akcji sektora bankowego, podobnie jak ostatnio dokonałem analizę akcji spółek z sektora deweloperskiego oraz z sektora materiałów budowlanych. W każdym razie generalnie rzecz biorąc licząc na przebicie kolejnych </w:t>
      </w:r>
      <w:r>
        <w:rPr>
          <w:sz w:val="26"/>
          <w:szCs w:val="26"/>
        </w:rPr>
        <w:lastRenderedPageBreak/>
        <w:t xml:space="preserve">oporów przez indeks WIG20 warto będzie obserwować zachowanie się kursów akcji reprezentujących sektor bankowy.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jest paradoksalnie </w:t>
      </w:r>
      <w:proofErr w:type="gramStart"/>
      <w:r>
        <w:rPr>
          <w:sz w:val="26"/>
          <w:szCs w:val="26"/>
        </w:rPr>
        <w:t xml:space="preserve">korzystne ?. </w:t>
      </w:r>
      <w:proofErr w:type="gramEnd"/>
      <w:r>
        <w:rPr>
          <w:sz w:val="26"/>
          <w:szCs w:val="26"/>
        </w:rPr>
        <w:t xml:space="preserve">Otóż </w:t>
      </w:r>
      <w:r w:rsidRPr="00536741">
        <w:rPr>
          <w:b/>
          <w:sz w:val="26"/>
          <w:szCs w:val="26"/>
        </w:rPr>
        <w:t xml:space="preserve">nie obserwujemy obecnie żadnego </w:t>
      </w:r>
      <w:proofErr w:type="gramStart"/>
      <w:r w:rsidRPr="00536741">
        <w:rPr>
          <w:b/>
          <w:sz w:val="26"/>
          <w:szCs w:val="26"/>
        </w:rPr>
        <w:t>,,</w:t>
      </w:r>
      <w:proofErr w:type="gramEnd"/>
      <w:r w:rsidRPr="00536741">
        <w:rPr>
          <w:b/>
          <w:sz w:val="26"/>
          <w:szCs w:val="26"/>
        </w:rPr>
        <w:t>wysypu” pozytywnych rekomendacji dla akcji banków</w:t>
      </w:r>
      <w:r>
        <w:rPr>
          <w:sz w:val="26"/>
          <w:szCs w:val="26"/>
        </w:rPr>
        <w:t xml:space="preserve">. To w sumie dobrze. </w:t>
      </w:r>
      <w:proofErr w:type="gramStart"/>
      <w:r w:rsidRPr="00536741">
        <w:rPr>
          <w:b/>
          <w:sz w:val="26"/>
          <w:szCs w:val="26"/>
        </w:rPr>
        <w:t>,,</w:t>
      </w:r>
      <w:proofErr w:type="gramEnd"/>
      <w:r w:rsidRPr="00536741">
        <w:rPr>
          <w:b/>
          <w:sz w:val="26"/>
          <w:szCs w:val="26"/>
        </w:rPr>
        <w:t>Hossa wspina się po ścianie strachu”</w:t>
      </w:r>
      <w:r>
        <w:rPr>
          <w:sz w:val="26"/>
          <w:szCs w:val="26"/>
        </w:rPr>
        <w:t xml:space="preserve"> – mówi znane giełdowe powiedzenie.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O pesymizmie analityków związanym z akcjami banków wchodzących w skład indeksu WIG20 świadczyć może następujące zestawienie. Prezentuje ono liczbę rekomendacji dla poszczególnych akcji banków, liczbę rekomendacji pozytywnych (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kupuj”), liczbę rekomendacji pozostałych (,,trzymaj”, ,,sprzedaj”, ,,redukuj”, ,,neutralnie”) oraz odsetek rekomendacji pozytywnych w stosunku do rekomendacji ogółem.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Zestawienie obejmuje rekomendacji stosunkowo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świeże”, czyli </w:t>
      </w:r>
      <w:r w:rsidRPr="000F4FD4">
        <w:rPr>
          <w:b/>
          <w:sz w:val="26"/>
          <w:szCs w:val="26"/>
          <w:u w:val="single"/>
        </w:rPr>
        <w:t>rekomendacje wydane od początku lipca do 2 września tego roku</w:t>
      </w:r>
      <w:r>
        <w:rPr>
          <w:sz w:val="26"/>
          <w:szCs w:val="26"/>
        </w:rPr>
        <w:t xml:space="preserve">. Dane zaczerpnięto z portalu bankier.pl. Zgodnie z zasadą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kupuj pesymizm, sprzedawaj optymizm” poniższe zestawienie może paradoksalnie zapowiadać stosunkowo mocne w przyszłości zachowanie kursów akcji banków.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hyperlink r:id="rId10" w:history="1">
        <w:r w:rsidRPr="00926C5D">
          <w:rPr>
            <w:rStyle w:val="Hipercze"/>
            <w:sz w:val="26"/>
            <w:szCs w:val="26"/>
          </w:rPr>
          <w:t>http://www.bankier.pl/gielda/rekomendacje</w:t>
        </w:r>
      </w:hyperlink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36741" w:rsidTr="00927A82"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</w:t>
            </w:r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Banku</w:t>
            </w:r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z</w:t>
            </w:r>
            <w:proofErr w:type="gramEnd"/>
            <w:r>
              <w:rPr>
                <w:sz w:val="26"/>
                <w:szCs w:val="26"/>
              </w:rPr>
              <w:t xml:space="preserve"> WIG20</w:t>
            </w:r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</w:t>
            </w:r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rekomendacji</w:t>
            </w:r>
            <w:proofErr w:type="gramEnd"/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ogółem</w:t>
            </w:r>
            <w:proofErr w:type="gramEnd"/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</w:t>
            </w:r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rekomendacji</w:t>
            </w:r>
            <w:proofErr w:type="gramEnd"/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pozytywnych</w:t>
            </w:r>
            <w:proofErr w:type="gramEnd"/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</w:t>
            </w:r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rekomendacji</w:t>
            </w:r>
            <w:proofErr w:type="gramEnd"/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pozostałych</w:t>
            </w:r>
            <w:proofErr w:type="gramEnd"/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Odsetek</w:t>
            </w:r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rekomendacji</w:t>
            </w:r>
            <w:proofErr w:type="gramEnd"/>
          </w:p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pozytywnych</w:t>
            </w:r>
            <w:proofErr w:type="gramEnd"/>
          </w:p>
        </w:tc>
      </w:tr>
      <w:tr w:rsidR="00536741" w:rsidTr="00927A82"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BZW BK</w:t>
            </w:r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20 %</w:t>
            </w:r>
          </w:p>
        </w:tc>
      </w:tr>
      <w:tr w:rsidR="00536741" w:rsidTr="00927A82"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mBank</w:t>
            </w:r>
            <w:proofErr w:type="gramEnd"/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0 %</w:t>
            </w:r>
          </w:p>
        </w:tc>
      </w:tr>
      <w:tr w:rsidR="00536741" w:rsidTr="00927A82"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PeKaO</w:t>
            </w:r>
            <w:proofErr w:type="spellEnd"/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0 %</w:t>
            </w:r>
          </w:p>
        </w:tc>
      </w:tr>
      <w:tr w:rsidR="00536741" w:rsidTr="00927A82"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PKO BP</w:t>
            </w:r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36741" w:rsidRDefault="00536741" w:rsidP="00927A8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25 %</w:t>
            </w:r>
          </w:p>
        </w:tc>
      </w:tr>
    </w:tbl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Pr="00536741" w:rsidRDefault="00536741" w:rsidP="00536741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Co ciekawe przeglądając powyższy adres internetowy można poczynić szereg różnych </w:t>
      </w:r>
      <w:proofErr w:type="gramStart"/>
      <w:r>
        <w:rPr>
          <w:sz w:val="26"/>
          <w:szCs w:val="26"/>
        </w:rPr>
        <w:t xml:space="preserve">spostrzeżeń. </w:t>
      </w:r>
      <w:proofErr w:type="gramEnd"/>
      <w:r>
        <w:rPr>
          <w:sz w:val="26"/>
          <w:szCs w:val="26"/>
        </w:rPr>
        <w:t xml:space="preserve">Przykładowo: </w:t>
      </w:r>
      <w:r w:rsidRPr="00536741">
        <w:rPr>
          <w:b/>
          <w:sz w:val="26"/>
          <w:szCs w:val="26"/>
        </w:rPr>
        <w:t>powiedzmy, że jakiś hipotetyczny analityk chciałby dokonać analizy porównawczej pomiędzy akcjami spółkami z branży naftowej: Lotos oraz PKN Orlen.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Okazuje się, że w okresie obejmującym także okres od początku lipca do 2 września 75 % rekomendacji dla PKN Orlen miało charakter pozytywny a w przypadku Lotosu żadna nie miała charakteru pozytywnego. Co to </w:t>
      </w:r>
      <w:proofErr w:type="gramStart"/>
      <w:r>
        <w:rPr>
          <w:sz w:val="26"/>
          <w:szCs w:val="26"/>
        </w:rPr>
        <w:t xml:space="preserve">oznacza ?. </w:t>
      </w:r>
      <w:proofErr w:type="gramEnd"/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zasadą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kupuj pesymizm, sprzedawaj optymizm” powinno to samo w sobie sprzyjać lepszemu w przyszłości zachowaniu kursu akcji spółki Lotos, niż zachowaniu spółki PKN Orlen. Oczywiście warto też dokonać analizy wykresu siły względnej Lotos/PKN Orlen. Na wykresie tym doszło do wybicia z formacji podwójnego dna, co </w:t>
      </w:r>
      <w:r>
        <w:rPr>
          <w:sz w:val="26"/>
          <w:szCs w:val="26"/>
        </w:rPr>
        <w:lastRenderedPageBreak/>
        <w:t xml:space="preserve">także zapowiada w przyszłości wzrost siły względnej, czyli lepsze zachowanie kursu akcji Lotosu, niż PKN Orlen.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b/>
          <w:sz w:val="26"/>
          <w:szCs w:val="26"/>
          <w:u w:val="single"/>
        </w:rPr>
      </w:pPr>
      <w:r w:rsidRPr="00523237">
        <w:rPr>
          <w:b/>
          <w:sz w:val="26"/>
          <w:szCs w:val="26"/>
          <w:u w:val="single"/>
        </w:rPr>
        <w:t>LOTOS/PKN ORLEN</w:t>
      </w:r>
    </w:p>
    <w:p w:rsidR="00536741" w:rsidRPr="00523237" w:rsidRDefault="00536741" w:rsidP="00536741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0EA932AE" wp14:editId="0C09F077">
            <wp:extent cx="5429250" cy="32575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Spółka tygodnia – </w:t>
      </w:r>
      <w:proofErr w:type="spellStart"/>
      <w:r>
        <w:rPr>
          <w:sz w:val="26"/>
          <w:szCs w:val="26"/>
        </w:rPr>
        <w:t>Soho</w:t>
      </w:r>
      <w:proofErr w:type="spellEnd"/>
      <w:r>
        <w:rPr>
          <w:sz w:val="26"/>
          <w:szCs w:val="26"/>
        </w:rPr>
        <w:t xml:space="preserve"> Development</w:t>
      </w:r>
    </w:p>
    <w:p w:rsidR="00536741" w:rsidRDefault="00536741" w:rsidP="00536741">
      <w:pPr>
        <w:pStyle w:val="Bezodstpw"/>
        <w:jc w:val="center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zwrócić uwagę na wykres kursu akcji spółki </w:t>
      </w:r>
      <w:proofErr w:type="spellStart"/>
      <w:r>
        <w:rPr>
          <w:sz w:val="26"/>
          <w:szCs w:val="26"/>
        </w:rPr>
        <w:t>Soho</w:t>
      </w:r>
      <w:proofErr w:type="spellEnd"/>
      <w:r>
        <w:rPr>
          <w:sz w:val="26"/>
          <w:szCs w:val="26"/>
        </w:rPr>
        <w:t xml:space="preserve"> Development, która reprezentuje sektor deweloperski. 23 sierpnia spółka ta umieszczona został </w:t>
      </w:r>
      <w:proofErr w:type="gramStart"/>
      <w:r>
        <w:rPr>
          <w:sz w:val="26"/>
          <w:szCs w:val="26"/>
        </w:rPr>
        <w:t xml:space="preserve">w </w:t>
      </w:r>
      <w:r w:rsidRPr="0033198D">
        <w:rPr>
          <w:sz w:val="26"/>
          <w:szCs w:val="26"/>
        </w:rPr>
        <w:t xml:space="preserve"> rubryce</w:t>
      </w:r>
      <w:proofErr w:type="gramEnd"/>
      <w:r w:rsidRPr="0033198D">
        <w:rPr>
          <w:sz w:val="26"/>
          <w:szCs w:val="26"/>
        </w:rPr>
        <w:t xml:space="preserve"> ,,Wykres do przemyślenia” umieszczam spółkę </w:t>
      </w:r>
      <w:proofErr w:type="spellStart"/>
      <w:r w:rsidRPr="0033198D">
        <w:rPr>
          <w:sz w:val="26"/>
          <w:szCs w:val="26"/>
        </w:rPr>
        <w:t>Soho</w:t>
      </w:r>
      <w:proofErr w:type="spellEnd"/>
      <w:r w:rsidRPr="0033198D">
        <w:rPr>
          <w:sz w:val="26"/>
          <w:szCs w:val="26"/>
        </w:rPr>
        <w:t xml:space="preserve"> Development.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Pr="00536741" w:rsidRDefault="00536741" w:rsidP="00536741">
      <w:pPr>
        <w:pStyle w:val="Bezodstpw"/>
        <w:jc w:val="both"/>
        <w:rPr>
          <w:b/>
          <w:sz w:val="26"/>
          <w:szCs w:val="26"/>
        </w:rPr>
      </w:pPr>
      <w:r w:rsidRPr="0033198D">
        <w:rPr>
          <w:sz w:val="26"/>
          <w:szCs w:val="26"/>
        </w:rPr>
        <w:t>Na wykresie kursu akcji tej spółki doszło do wybicia z formacji podwójnego dna.</w:t>
      </w:r>
      <w:r>
        <w:rPr>
          <w:sz w:val="26"/>
          <w:szCs w:val="26"/>
        </w:rPr>
        <w:t xml:space="preserve"> Spółka ta została zaliczona do grupy 6 (spośród 38) spółek deweloperskich spełniających </w:t>
      </w:r>
      <w:r w:rsidRPr="00536741">
        <w:rPr>
          <w:b/>
          <w:sz w:val="26"/>
          <w:szCs w:val="26"/>
        </w:rPr>
        <w:t xml:space="preserve">kryteria atrakcyjności technicznej, fundamentalnej i psychologicznej.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hyperlink r:id="rId12" w:history="1">
        <w:r w:rsidRPr="001805DA">
          <w:rPr>
            <w:rStyle w:val="Hipercze"/>
            <w:sz w:val="26"/>
            <w:szCs w:val="26"/>
          </w:rPr>
          <w:t>http://analizy-rynkowe.pl/w-jaki-sposob-mozna-przeprowadzic-uproszczona-analize-branzowa-w-oparciu-o-kryteria-techniczne-fundamentalne-i-psychologiczne-na-przykladzie-analizy-branzy-deweloperskiej/</w:t>
        </w:r>
      </w:hyperlink>
    </w:p>
    <w:p w:rsidR="00536741" w:rsidRPr="0033198D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 w:rsidRPr="0033198D">
        <w:rPr>
          <w:sz w:val="26"/>
          <w:szCs w:val="26"/>
        </w:rPr>
        <w:t xml:space="preserve">Formacja podwójnego dna ma 2 </w:t>
      </w:r>
      <w:proofErr w:type="gramStart"/>
      <w:r w:rsidRPr="0033198D">
        <w:rPr>
          <w:sz w:val="26"/>
          <w:szCs w:val="26"/>
        </w:rPr>
        <w:t>,,</w:t>
      </w:r>
      <w:proofErr w:type="gramEnd"/>
      <w:r w:rsidRPr="0033198D">
        <w:rPr>
          <w:sz w:val="26"/>
          <w:szCs w:val="26"/>
        </w:rPr>
        <w:t>zadania”.</w:t>
      </w:r>
      <w:r>
        <w:rPr>
          <w:sz w:val="26"/>
          <w:szCs w:val="26"/>
        </w:rPr>
        <w:t xml:space="preserve"> </w:t>
      </w:r>
      <w:r w:rsidRPr="0033198D">
        <w:rPr>
          <w:sz w:val="26"/>
          <w:szCs w:val="26"/>
        </w:rPr>
        <w:t xml:space="preserve">Podstawowym, minimalnym </w:t>
      </w:r>
      <w:proofErr w:type="gramStart"/>
      <w:r w:rsidRPr="0033198D">
        <w:rPr>
          <w:sz w:val="26"/>
          <w:szCs w:val="26"/>
        </w:rPr>
        <w:t>,,</w:t>
      </w:r>
      <w:proofErr w:type="gramEnd"/>
      <w:r w:rsidRPr="0033198D">
        <w:rPr>
          <w:sz w:val="26"/>
          <w:szCs w:val="26"/>
        </w:rPr>
        <w:t xml:space="preserve">zadaniem” tej formacji jest jej wypełnienie. Drugim </w:t>
      </w:r>
      <w:proofErr w:type="gramStart"/>
      <w:r w:rsidRPr="0033198D">
        <w:rPr>
          <w:sz w:val="26"/>
          <w:szCs w:val="26"/>
        </w:rPr>
        <w:t>,,</w:t>
      </w:r>
      <w:proofErr w:type="gramEnd"/>
      <w:r w:rsidRPr="0033198D">
        <w:rPr>
          <w:sz w:val="26"/>
          <w:szCs w:val="26"/>
        </w:rPr>
        <w:t>zadaniem” tej formacji jest doprowadzenie do zmiany trendu ze spadkowego na wzrostowy.</w:t>
      </w:r>
      <w:r>
        <w:rPr>
          <w:sz w:val="26"/>
          <w:szCs w:val="26"/>
        </w:rPr>
        <w:t xml:space="preserve"> </w:t>
      </w: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  <w:r w:rsidRPr="0033198D">
        <w:rPr>
          <w:sz w:val="26"/>
          <w:szCs w:val="26"/>
        </w:rPr>
        <w:t>Gdyby formacja podwójnego dna się wypełniła powinno dojść do wzrostu kursu akcji tej spółki do 2 złotego i 57 groszy, czyli o 68,0 %.</w:t>
      </w:r>
      <w:r>
        <w:rPr>
          <w:sz w:val="26"/>
          <w:szCs w:val="26"/>
        </w:rPr>
        <w:t xml:space="preserve"> </w:t>
      </w:r>
      <w:r w:rsidRPr="0033198D">
        <w:rPr>
          <w:sz w:val="26"/>
          <w:szCs w:val="26"/>
        </w:rPr>
        <w:t xml:space="preserve">Co ciekawe układ średnich ruchomych w przypadku kursu akcji tej spółki jest typowy dla hossy a poza tym </w:t>
      </w:r>
      <w:r w:rsidRPr="0033198D">
        <w:rPr>
          <w:sz w:val="26"/>
          <w:szCs w:val="26"/>
        </w:rPr>
        <w:lastRenderedPageBreak/>
        <w:t xml:space="preserve">przebita została spadkowa linia trendu poprowadzona przez szczyty z 2007 oraz 2011 </w:t>
      </w:r>
      <w:proofErr w:type="gramStart"/>
      <w:r w:rsidRPr="0033198D">
        <w:rPr>
          <w:sz w:val="26"/>
          <w:szCs w:val="26"/>
        </w:rPr>
        <w:t>roku.</w:t>
      </w:r>
      <w:proofErr w:type="gramEnd"/>
    </w:p>
    <w:p w:rsidR="00536741" w:rsidRDefault="00536741" w:rsidP="00536741">
      <w:pPr>
        <w:pStyle w:val="Bezodstpw"/>
        <w:jc w:val="both"/>
        <w:rPr>
          <w:sz w:val="26"/>
          <w:szCs w:val="26"/>
        </w:rPr>
      </w:pPr>
    </w:p>
    <w:p w:rsidR="00536741" w:rsidRDefault="00536741" w:rsidP="00536741">
      <w:pPr>
        <w:pStyle w:val="Bezodstpw"/>
        <w:jc w:val="both"/>
        <w:rPr>
          <w:b/>
          <w:sz w:val="26"/>
          <w:szCs w:val="26"/>
          <w:u w:val="single"/>
        </w:rPr>
      </w:pPr>
      <w:r w:rsidRPr="0033198D">
        <w:rPr>
          <w:b/>
          <w:sz w:val="26"/>
          <w:szCs w:val="26"/>
          <w:u w:val="single"/>
        </w:rPr>
        <w:t xml:space="preserve">SOHO DEVELOPMENT </w:t>
      </w:r>
    </w:p>
    <w:p w:rsidR="00536741" w:rsidRDefault="00536741" w:rsidP="00536741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745AC1FF" wp14:editId="58D13963">
            <wp:extent cx="5429250" cy="32575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41" w:rsidRDefault="00536741" w:rsidP="00536741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</w:p>
    <w:p w:rsidR="00536741" w:rsidRPr="00523237" w:rsidRDefault="00536741" w:rsidP="00536741">
      <w:pPr>
        <w:pStyle w:val="Bezodstpw"/>
        <w:jc w:val="both"/>
        <w:rPr>
          <w:noProof/>
          <w:sz w:val="26"/>
          <w:szCs w:val="26"/>
          <w:lang w:eastAsia="pl-PL"/>
        </w:rPr>
      </w:pPr>
      <w:r w:rsidRPr="00523237">
        <w:rPr>
          <w:noProof/>
          <w:sz w:val="26"/>
          <w:szCs w:val="26"/>
          <w:lang w:eastAsia="pl-PL"/>
        </w:rPr>
        <w:t>Warto za</w:t>
      </w:r>
      <w:r>
        <w:rPr>
          <w:noProof/>
          <w:sz w:val="26"/>
          <w:szCs w:val="26"/>
          <w:lang w:eastAsia="pl-PL"/>
        </w:rPr>
        <w:t>uważyć, że do wybicia z formacji podwójengo dna doszło także na wykresie siły względnej Soho Development/WIG20. Formacja ta się jeszcze nie wypełniła, co stwarza szansę na wzrosty siły względnej, czli lepsze zachowanie kursu akcji spólki Soho Development, niż indeksu WIG20</w:t>
      </w:r>
    </w:p>
    <w:p w:rsidR="00536741" w:rsidRDefault="00536741" w:rsidP="00536741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</w:p>
    <w:p w:rsidR="00536741" w:rsidRDefault="00536741" w:rsidP="00536741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6D937E6D" wp14:editId="4E661847">
            <wp:extent cx="5429250" cy="32575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41" w:rsidRDefault="00536741" w:rsidP="006A52C0">
      <w:pPr>
        <w:spacing w:after="0" w:line="240" w:lineRule="auto"/>
        <w:jc w:val="both"/>
      </w:pPr>
    </w:p>
    <w:p w:rsidR="006A52C0" w:rsidRPr="00EF7224" w:rsidRDefault="006A52C0" w:rsidP="006A52C0">
      <w:pPr>
        <w:shd w:val="clear" w:color="auto" w:fill="FFFF00"/>
      </w:pPr>
      <w:r w:rsidRPr="00EF7224">
        <w:rPr>
          <w:noProof/>
          <w:lang w:eastAsia="pl-PL"/>
        </w:rPr>
        <w:lastRenderedPageBreak/>
        <w:drawing>
          <wp:inline distT="0" distB="0" distL="0" distR="0" wp14:anchorId="0D6AD448" wp14:editId="565E733F">
            <wp:extent cx="923925" cy="1318133"/>
            <wp:effectExtent l="0" t="0" r="0" b="0"/>
            <wp:docPr id="15" name="Obraz 15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C0" w:rsidRPr="00EF7224" w:rsidRDefault="006A52C0" w:rsidP="006A52C0">
      <w:pPr>
        <w:shd w:val="clear" w:color="auto" w:fill="FFFF00"/>
      </w:pPr>
    </w:p>
    <w:p w:rsidR="006A52C0" w:rsidRPr="00EF7224" w:rsidRDefault="006A52C0" w:rsidP="006A52C0">
      <w:pPr>
        <w:shd w:val="clear" w:color="auto" w:fill="FFFF00"/>
        <w:jc w:val="center"/>
        <w:rPr>
          <w:sz w:val="140"/>
          <w:szCs w:val="140"/>
        </w:rPr>
      </w:pPr>
      <w:r w:rsidRPr="00EF7224">
        <w:rPr>
          <w:sz w:val="140"/>
          <w:szCs w:val="140"/>
        </w:rPr>
        <w:t>Rubryka</w:t>
      </w:r>
    </w:p>
    <w:p w:rsidR="006A52C0" w:rsidRPr="00EF7224" w:rsidRDefault="006A52C0" w:rsidP="006A52C0">
      <w:pPr>
        <w:shd w:val="clear" w:color="auto" w:fill="FFFF00"/>
        <w:jc w:val="center"/>
        <w:rPr>
          <w:sz w:val="90"/>
          <w:szCs w:val="90"/>
        </w:rPr>
      </w:pPr>
      <w:proofErr w:type="gramStart"/>
      <w:r w:rsidRPr="00EF7224">
        <w:rPr>
          <w:sz w:val="140"/>
          <w:szCs w:val="140"/>
        </w:rPr>
        <w:t>,,</w:t>
      </w:r>
      <w:proofErr w:type="gramEnd"/>
      <w:r w:rsidRPr="00EF7224">
        <w:rPr>
          <w:sz w:val="140"/>
          <w:szCs w:val="140"/>
        </w:rPr>
        <w:t>Wykres do przemyślenia”</w:t>
      </w:r>
    </w:p>
    <w:p w:rsidR="006A52C0" w:rsidRPr="00EF7224" w:rsidRDefault="006A52C0" w:rsidP="006A52C0">
      <w:pPr>
        <w:shd w:val="clear" w:color="auto" w:fill="FFFF00"/>
        <w:jc w:val="center"/>
        <w:rPr>
          <w:sz w:val="50"/>
          <w:szCs w:val="50"/>
        </w:rPr>
      </w:pPr>
      <w:r w:rsidRPr="00EF7224">
        <w:rPr>
          <w:sz w:val="50"/>
          <w:szCs w:val="50"/>
        </w:rPr>
        <w:t>Sławomir Kłusek</w:t>
      </w:r>
    </w:p>
    <w:p w:rsidR="006A52C0" w:rsidRPr="00EF7224" w:rsidRDefault="006A52C0" w:rsidP="006A52C0">
      <w:pPr>
        <w:shd w:val="clear" w:color="auto" w:fill="548DD4" w:themeFill="text2" w:themeFillTint="99"/>
        <w:jc w:val="center"/>
        <w:rPr>
          <w:smallCaps/>
          <w:color w:val="FFFFFF" w:themeColor="background1"/>
          <w:sz w:val="90"/>
          <w:szCs w:val="90"/>
        </w:rPr>
      </w:pPr>
      <w:proofErr w:type="gramStart"/>
      <w:r w:rsidRPr="00EF7224">
        <w:rPr>
          <w:smallCaps/>
          <w:color w:val="FFFFFF" w:themeColor="background1"/>
          <w:sz w:val="90"/>
          <w:szCs w:val="90"/>
        </w:rPr>
        <w:t>analizy-rynkowe</w:t>
      </w:r>
      <w:proofErr w:type="gramEnd"/>
      <w:r w:rsidRPr="00EF7224">
        <w:rPr>
          <w:smallCaps/>
          <w:color w:val="FFFFFF" w:themeColor="background1"/>
          <w:sz w:val="90"/>
          <w:szCs w:val="90"/>
        </w:rPr>
        <w:t>.</w:t>
      </w:r>
      <w:proofErr w:type="gramStart"/>
      <w:r w:rsidRPr="00EF7224">
        <w:rPr>
          <w:smallCaps/>
          <w:color w:val="FFFFFF" w:themeColor="background1"/>
          <w:sz w:val="90"/>
          <w:szCs w:val="90"/>
        </w:rPr>
        <w:t>pl</w:t>
      </w:r>
      <w:proofErr w:type="gramEnd"/>
    </w:p>
    <w:p w:rsidR="006A52C0" w:rsidRPr="00EF7224" w:rsidRDefault="006A52C0" w:rsidP="006A52C0">
      <w:pPr>
        <w:shd w:val="clear" w:color="auto" w:fill="FFFF00"/>
        <w:jc w:val="center"/>
        <w:rPr>
          <w:sz w:val="50"/>
          <w:szCs w:val="50"/>
        </w:rPr>
      </w:pPr>
    </w:p>
    <w:p w:rsidR="006A52C0" w:rsidRPr="00EF7224" w:rsidRDefault="006A52C0" w:rsidP="006A52C0">
      <w:pPr>
        <w:shd w:val="clear" w:color="auto" w:fill="FFFF00"/>
        <w:jc w:val="center"/>
        <w:rPr>
          <w:sz w:val="50"/>
          <w:szCs w:val="50"/>
        </w:rPr>
      </w:pPr>
    </w:p>
    <w:p w:rsidR="006A52C0" w:rsidRPr="00EF7224" w:rsidRDefault="006A52C0" w:rsidP="006A52C0">
      <w:pPr>
        <w:shd w:val="clear" w:color="auto" w:fill="FFFF00"/>
        <w:jc w:val="center"/>
        <w:rPr>
          <w:sz w:val="50"/>
          <w:szCs w:val="50"/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</w:t>
      </w:r>
      <w:proofErr w:type="gramStart"/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była dotychczas </w:t>
      </w:r>
      <w:r w:rsidRPr="00EF7224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lepsza o 22,</w:t>
      </w:r>
      <w:r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EF7224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punku procentowego od WIG-u</w:t>
      </w:r>
    </w:p>
    <w:p w:rsidR="006A52C0" w:rsidRPr="00EF7224" w:rsidRDefault="006A52C0" w:rsidP="006A52C0">
      <w:pPr>
        <w:spacing w:after="0" w:line="240" w:lineRule="auto"/>
        <w:jc w:val="center"/>
        <w:rPr>
          <w:rFonts w:eastAsiaTheme="minorEastAsia"/>
          <w:color w:val="FF0000"/>
          <w:sz w:val="60"/>
          <w:szCs w:val="6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2C0" w:rsidRPr="00EF7224" w:rsidRDefault="006A52C0" w:rsidP="006A52C0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6A52C0" w:rsidRPr="00EF7224" w:rsidRDefault="006A52C0" w:rsidP="006A52C0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52C0" w:rsidRPr="00EF7224" w:rsidRDefault="006A52C0" w:rsidP="006A52C0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52C0" w:rsidRPr="00EF7224" w:rsidRDefault="006A52C0" w:rsidP="006A52C0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września </w:t>
      </w:r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roku  </w:t>
      </w:r>
    </w:p>
    <w:p w:rsidR="006A52C0" w:rsidRPr="00EF7224" w:rsidRDefault="006A52C0" w:rsidP="006A52C0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2C0" w:rsidRPr="00EF7224" w:rsidRDefault="006A52C0" w:rsidP="006A52C0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Dla 3</w:t>
      </w:r>
      <w:r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przypadków wprowadzenia spółki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Oto lista tych 3</w:t>
      </w:r>
      <w:r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przypadków: </w:t>
      </w: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STALPRODUKT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6A52C0" w:rsidRPr="009C1C2C" w:rsidRDefault="006A52C0" w:rsidP="006A52C0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AGORA</w:t>
      </w: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EF7224">
        <w:rPr>
          <w:rFonts w:eastAsiaTheme="minorEastAsia"/>
          <w:b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lang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>Nazwa</w:t>
            </w:r>
          </w:p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spółki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giełdowej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kursu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WIG-u 20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6A52C0" w:rsidRPr="00EF7224" w:rsidRDefault="006A52C0" w:rsidP="00927A82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mWIG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>-u 40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r w:rsidRPr="00EF7224">
              <w:rPr>
                <w:rFonts w:eastAsiaTheme="minorEastAsia"/>
                <w:sz w:val="26"/>
                <w:szCs w:val="26"/>
              </w:rPr>
              <w:t>sWIG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 xml:space="preserve">-u </w:t>
            </w:r>
          </w:p>
          <w:p w:rsidR="006A52C0" w:rsidRPr="00EF7224" w:rsidRDefault="006A52C0" w:rsidP="00927A82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5,9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5,5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3,6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9,2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8,4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9,1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8,2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9,8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4,5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9,1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4,1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-0,1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-1,8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-5,0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lastRenderedPageBreak/>
              <w:t>Nazwa</w:t>
            </w:r>
          </w:p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spółki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giełdowej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kursu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WIG-u 20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6A52C0" w:rsidRPr="00EF7224" w:rsidRDefault="006A52C0" w:rsidP="00927A82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mWIG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>-u 40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52C0" w:rsidRPr="00EF7224" w:rsidRDefault="006A52C0" w:rsidP="00927A82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r w:rsidRPr="00EF7224">
              <w:rPr>
                <w:rFonts w:eastAsiaTheme="minorEastAsia"/>
                <w:sz w:val="26"/>
                <w:szCs w:val="26"/>
              </w:rPr>
              <w:t>sWIG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 xml:space="preserve">-u </w:t>
            </w:r>
          </w:p>
          <w:p w:rsidR="006A52C0" w:rsidRPr="00EF7224" w:rsidRDefault="006A52C0" w:rsidP="00927A82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0,2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-0,9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1,4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AGORA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  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9C1C2C" w:rsidRDefault="006A52C0" w:rsidP="00927A82">
            <w:pPr>
              <w:jc w:val="center"/>
              <w:rPr>
                <w:sz w:val="24"/>
                <w:szCs w:val="24"/>
              </w:rPr>
            </w:pPr>
            <w:r w:rsidRPr="009C1C2C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9C1C2C" w:rsidRDefault="006A52C0" w:rsidP="00927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1C2C">
              <w:rPr>
                <w:sz w:val="24"/>
                <w:szCs w:val="24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9C1C2C" w:rsidRDefault="006A52C0" w:rsidP="00927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1C2C">
              <w:rPr>
                <w:sz w:val="24"/>
                <w:szCs w:val="24"/>
              </w:rPr>
              <w:t>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Pr="009C1C2C" w:rsidRDefault="006A52C0" w:rsidP="00927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1C2C">
              <w:rPr>
                <w:sz w:val="24"/>
                <w:szCs w:val="24"/>
              </w:rPr>
              <w:t>8,1</w:t>
            </w:r>
          </w:p>
        </w:tc>
      </w:tr>
      <w:tr w:rsidR="006A52C0" w:rsidRPr="00EF7224" w:rsidTr="00927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color w:val="FF66CC"/>
                <w:sz w:val="40"/>
                <w:szCs w:val="40"/>
              </w:rPr>
            </w:pPr>
            <w:r w:rsidRPr="0043591F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 w:rsidRPr="00EF7224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12,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-18,5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-9,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-0,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0" w:rsidRPr="00EF7224" w:rsidRDefault="006A52C0" w:rsidP="00927A82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4,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9</w:t>
            </w:r>
          </w:p>
        </w:tc>
      </w:tr>
    </w:tbl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  <w:r w:rsidRPr="00EF7224">
        <w:rPr>
          <w:rFonts w:eastAsiaTheme="minorEastAsia"/>
          <w:sz w:val="80"/>
          <w:szCs w:val="80"/>
          <w:u w:val="single"/>
          <w:lang w:eastAsia="pl-PL"/>
        </w:rPr>
        <w:t>Wniosek końcowy</w:t>
      </w: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FF0000"/>
          <w:sz w:val="80"/>
          <w:szCs w:val="80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średnio </w:t>
      </w:r>
      <w:r w:rsidRPr="00EF7224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</w:t>
      </w:r>
      <w:r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F7224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18,5 %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9,</w:t>
      </w:r>
      <w:r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%, 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minus 0,</w:t>
      </w:r>
      <w:r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 a 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4,</w:t>
      </w:r>
      <w:r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FF0000"/>
          <w:sz w:val="28"/>
          <w:szCs w:val="28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sz w:val="28"/>
          <w:szCs w:val="28"/>
          <w:lang w:eastAsia="pl-PL"/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pl-PL"/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lastRenderedPageBreak/>
        <w:t xml:space="preserve">Dodatek graficzny: Średnia procentowa zmiana kursu akcji spółki po wprowadzeniu jej do rubryki </w:t>
      </w:r>
      <w:proofErr w:type="gramStart"/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>,,</w:t>
      </w:r>
      <w:proofErr w:type="gramEnd"/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 xml:space="preserve">Wykres do przemyślenia” w okresie 12 pierwszych miesięcy po jej wprowadzeniu do tej rubryki oraz średnia procentowa zmiana 4 kluczowych indeksów polskiego rynku akcji w tym okresie </w:t>
      </w: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EF7224">
        <w:rPr>
          <w:rFonts w:eastAsiaTheme="minorEastAsia"/>
          <w:noProof/>
          <w:lang w:eastAsia="pl-PL"/>
        </w:rPr>
        <w:drawing>
          <wp:inline distT="0" distB="0" distL="0" distR="0" wp14:anchorId="528B8778" wp14:editId="4DD8F9D5">
            <wp:extent cx="5572125" cy="7648575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52C0" w:rsidRPr="00EF7224" w:rsidRDefault="006A52C0" w:rsidP="006A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</w:pPr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lastRenderedPageBreak/>
        <w:t>Generalny wniosek:</w:t>
      </w:r>
    </w:p>
    <w:p w:rsidR="006A52C0" w:rsidRPr="00EF7224" w:rsidRDefault="006A52C0" w:rsidP="006A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 xml:space="preserve">kursy akcji spółki po wprowadzeniu jej do rubryki ,,Wykres do przemyślenia” zasadniczo rzecz biorąc wykazują relatywną przewagę nad </w:t>
      </w:r>
      <w:proofErr w:type="gramStart"/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indeksami:  WIG</w:t>
      </w:r>
      <w:proofErr w:type="gramEnd"/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20, WIG, WIG40 oraz sWIG80</w:t>
      </w:r>
    </w:p>
    <w:p w:rsidR="006A52C0" w:rsidRPr="00EF7224" w:rsidRDefault="006A52C0" w:rsidP="006A52C0">
      <w:pPr>
        <w:rPr>
          <w:rFonts w:eastAsiaTheme="minorEastAsia"/>
          <w:lang w:eastAsia="pl-PL"/>
        </w:rPr>
      </w:pPr>
    </w:p>
    <w:p w:rsidR="006A52C0" w:rsidRPr="00EF7224" w:rsidRDefault="006A52C0" w:rsidP="006A52C0">
      <w:pPr>
        <w:rPr>
          <w:rFonts w:eastAsiaTheme="minorEastAsia"/>
          <w:lang w:eastAsia="pl-PL"/>
        </w:rPr>
      </w:pPr>
    </w:p>
    <w:p w:rsidR="006A52C0" w:rsidRPr="00EF7224" w:rsidRDefault="006A52C0" w:rsidP="006A52C0">
      <w:pPr>
        <w:rPr>
          <w:rFonts w:eastAsiaTheme="minorEastAsia"/>
          <w:lang w:eastAsia="pl-PL"/>
        </w:rPr>
      </w:pPr>
    </w:p>
    <w:p w:rsidR="006A52C0" w:rsidRPr="00EF7224" w:rsidRDefault="006A52C0" w:rsidP="006A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color w:val="FF0000"/>
          <w:sz w:val="110"/>
          <w:szCs w:val="110"/>
          <w:lang w:eastAsia="pl-PL"/>
        </w:rPr>
      </w:pPr>
      <w:r w:rsidRPr="00EF7224">
        <w:rPr>
          <w:rFonts w:eastAsiaTheme="minorEastAsia"/>
          <w:sz w:val="110"/>
          <w:szCs w:val="110"/>
          <w:lang w:eastAsia="pl-PL"/>
        </w:rPr>
        <w:lastRenderedPageBreak/>
        <w:t xml:space="preserve">Aby dowiedzieć się które spółki będą umieszczane w rubryce </w:t>
      </w:r>
      <w:proofErr w:type="gramStart"/>
      <w:r w:rsidRPr="00EF7224">
        <w:rPr>
          <w:rFonts w:eastAsiaTheme="minorEastAsia"/>
          <w:sz w:val="110"/>
          <w:szCs w:val="110"/>
          <w:lang w:eastAsia="pl-PL"/>
        </w:rPr>
        <w:t>,,</w:t>
      </w:r>
      <w:proofErr w:type="gramEnd"/>
      <w:r w:rsidRPr="00EF7224">
        <w:rPr>
          <w:rFonts w:eastAsiaTheme="minorEastAsia"/>
          <w:sz w:val="110"/>
          <w:szCs w:val="110"/>
          <w:lang w:eastAsia="pl-PL"/>
        </w:rPr>
        <w:t xml:space="preserve">Wykres do przemyślenia” warto często odwiedzać stronę internetową </w:t>
      </w:r>
      <w:r w:rsidRPr="00EF7224">
        <w:rPr>
          <w:rFonts w:eastAsiaTheme="minorEastAsia"/>
          <w:color w:val="FF0000"/>
          <w:sz w:val="110"/>
          <w:szCs w:val="110"/>
          <w:lang w:eastAsia="pl-PL"/>
        </w:rPr>
        <w:t>analizy-rynkowe.</w:t>
      </w:r>
      <w:proofErr w:type="gramStart"/>
      <w:r w:rsidRPr="00EF7224">
        <w:rPr>
          <w:rFonts w:eastAsiaTheme="minorEastAsia"/>
          <w:color w:val="FF0000"/>
          <w:sz w:val="110"/>
          <w:szCs w:val="110"/>
          <w:lang w:eastAsia="pl-PL"/>
        </w:rPr>
        <w:t>pl</w:t>
      </w:r>
      <w:proofErr w:type="gramEnd"/>
    </w:p>
    <w:p w:rsidR="006A52C0" w:rsidRPr="00EF7224" w:rsidRDefault="006A52C0" w:rsidP="006A52C0">
      <w:pPr>
        <w:rPr>
          <w:rFonts w:eastAsiaTheme="minorEastAsia"/>
          <w:lang w:eastAsia="pl-PL"/>
        </w:rPr>
      </w:pPr>
    </w:p>
    <w:p w:rsidR="006A52C0" w:rsidRPr="00EF7224" w:rsidRDefault="006A52C0" w:rsidP="006A52C0">
      <w:pPr>
        <w:rPr>
          <w:rFonts w:eastAsiaTheme="minorEastAsia"/>
          <w:lang w:eastAsia="pl-PL"/>
        </w:rPr>
      </w:pPr>
    </w:p>
    <w:p w:rsidR="006A52C0" w:rsidRPr="00EF7224" w:rsidRDefault="006A52C0" w:rsidP="006A52C0">
      <w:pPr>
        <w:spacing w:after="0" w:line="240" w:lineRule="auto"/>
        <w:jc w:val="both"/>
      </w:pPr>
    </w:p>
    <w:p w:rsidR="006A52C0" w:rsidRPr="00EF7224" w:rsidRDefault="006A52C0" w:rsidP="006A52C0">
      <w:pPr>
        <w:spacing w:after="0" w:line="240" w:lineRule="auto"/>
        <w:jc w:val="both"/>
      </w:pPr>
    </w:p>
    <w:p w:rsidR="006A52C0" w:rsidRPr="00EF7224" w:rsidRDefault="006A52C0" w:rsidP="006A52C0">
      <w:pPr>
        <w:spacing w:after="0" w:line="240" w:lineRule="auto"/>
        <w:jc w:val="both"/>
      </w:pPr>
    </w:p>
    <w:p w:rsidR="006A52C0" w:rsidRPr="00EF7224" w:rsidRDefault="006A52C0" w:rsidP="006A52C0">
      <w:pPr>
        <w:spacing w:after="0" w:line="240" w:lineRule="auto"/>
        <w:jc w:val="both"/>
        <w:rPr>
          <w:rFonts w:eastAsia="Times New Roman" w:cs="Times New Roman"/>
          <w:b/>
        </w:rPr>
      </w:pPr>
      <w:r w:rsidRPr="00EF7224">
        <w:rPr>
          <w:rFonts w:eastAsia="Times New Roman" w:cs="Times New Roman"/>
          <w:b/>
        </w:rPr>
        <w:lastRenderedPageBreak/>
        <w:t>Wnioski końcowe</w:t>
      </w:r>
    </w:p>
    <w:p w:rsidR="006A52C0" w:rsidRPr="00EF7224" w:rsidRDefault="006A52C0" w:rsidP="006A52C0">
      <w:pPr>
        <w:spacing w:after="0" w:line="240" w:lineRule="auto"/>
        <w:jc w:val="both"/>
        <w:rPr>
          <w:rFonts w:eastAsia="Times New Roman" w:cs="Times New Roman"/>
        </w:rPr>
      </w:pPr>
    </w:p>
    <w:p w:rsidR="006A52C0" w:rsidRPr="00EF7224" w:rsidRDefault="006A52C0" w:rsidP="006A5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EF7224">
        <w:rPr>
          <w:rFonts w:eastAsia="Times New Roman" w:cs="Times New Roman"/>
          <w:color w:val="000000" w:themeColor="text1"/>
        </w:rPr>
        <w:t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</w:t>
      </w:r>
      <w:r w:rsidRPr="00EF7224">
        <w:rPr>
          <w:rFonts w:eastAsia="Times New Roman" w:cs="Times New Roman"/>
          <w:b/>
          <w:color w:val="FF0000"/>
        </w:rPr>
        <w:t>3,7230 zł</w:t>
      </w:r>
      <w:r w:rsidRPr="00EF7224">
        <w:rPr>
          <w:rFonts w:eastAsia="Times New Roman" w:cs="Times New Roman"/>
          <w:color w:val="000000" w:themeColor="text1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6A52C0" w:rsidRPr="00EF7224" w:rsidRDefault="006A52C0" w:rsidP="006A52C0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6A52C0" w:rsidRPr="00EF7224" w:rsidRDefault="006A52C0" w:rsidP="006A5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EF7224">
        <w:rPr>
          <w:rFonts w:eastAsia="Times New Roman" w:cs="Times New Roman"/>
        </w:rPr>
        <w:t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</w:t>
      </w:r>
      <w:r w:rsidRPr="00EF7224">
        <w:rPr>
          <w:rFonts w:eastAsia="Times New Roman" w:cs="Times New Roman"/>
          <w:b/>
          <w:color w:val="FF0000"/>
        </w:rPr>
        <w:t>4,2409 zł</w:t>
      </w:r>
      <w:r w:rsidRPr="00EF7224">
        <w:rPr>
          <w:rFonts w:eastAsia="Times New Roman" w:cs="Times New Roman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6A52C0" w:rsidRPr="00EF7224" w:rsidRDefault="006A52C0" w:rsidP="006A52C0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</w:p>
    <w:p w:rsidR="006A52C0" w:rsidRPr="00EF7224" w:rsidRDefault="006A52C0" w:rsidP="006A5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EF7224">
        <w:rPr>
          <w:rFonts w:eastAsia="Times New Roman" w:cs="Times New Roman"/>
          <w:color w:val="000000" w:themeColor="text1"/>
        </w:rPr>
        <w:t xml:space="preserve">Początkowo </w:t>
      </w:r>
      <w:r w:rsidRPr="00EF7224">
        <w:rPr>
          <w:rFonts w:eastAsia="Times New Roman" w:cs="Times New Roman"/>
          <w:b/>
          <w:color w:val="000000" w:themeColor="text1"/>
        </w:rPr>
        <w:t>indeks amerykańskiego rynku akcji S&amp;P500</w:t>
      </w:r>
      <w:r w:rsidRPr="00EF7224">
        <w:rPr>
          <w:rFonts w:eastAsia="Times New Roman" w:cs="Times New Roman"/>
          <w:color w:val="000000" w:themeColor="text1"/>
        </w:rPr>
        <w:t xml:space="preserve"> wybił się z formacji podwójnego szczytu, co zapowiadało spadki. Wkrótce jednak indeks zaczął dynamicznie rosnąć. Przebił poziom wyższego szczytu. W rezultacie </w:t>
      </w:r>
      <w:r w:rsidRPr="00EF7224">
        <w:rPr>
          <w:rFonts w:eastAsia="Times New Roman" w:cs="Times New Roman"/>
          <w:b/>
          <w:color w:val="000000" w:themeColor="text1"/>
        </w:rPr>
        <w:t xml:space="preserve">doszło do </w:t>
      </w:r>
      <w:proofErr w:type="gramStart"/>
      <w:r w:rsidRPr="00EF7224">
        <w:rPr>
          <w:rFonts w:eastAsia="Times New Roman" w:cs="Times New Roman"/>
          <w:b/>
          <w:color w:val="000000" w:themeColor="text1"/>
        </w:rPr>
        <w:t>,,</w:t>
      </w:r>
      <w:proofErr w:type="gramEnd"/>
      <w:r w:rsidRPr="00EF7224">
        <w:rPr>
          <w:rFonts w:eastAsia="Times New Roman" w:cs="Times New Roman"/>
          <w:b/>
          <w:color w:val="000000" w:themeColor="text1"/>
        </w:rPr>
        <w:t>spalenia” formacji podwójnego szczytu.</w:t>
      </w:r>
      <w:r w:rsidRPr="00EF7224">
        <w:rPr>
          <w:rFonts w:eastAsia="Times New Roman" w:cs="Times New Roman"/>
          <w:color w:val="000000" w:themeColor="text1"/>
        </w:rPr>
        <w:t xml:space="preserve"> Pojawił się wiec bardzo </w:t>
      </w:r>
      <w:r w:rsidRPr="00EF7224">
        <w:rPr>
          <w:rFonts w:eastAsia="Times New Roman" w:cs="Times New Roman"/>
          <w:b/>
          <w:color w:val="000000" w:themeColor="text1"/>
        </w:rPr>
        <w:t xml:space="preserve">silny sygnał kupna. </w:t>
      </w:r>
    </w:p>
    <w:p w:rsidR="006A52C0" w:rsidRPr="00EF7224" w:rsidRDefault="006A52C0" w:rsidP="006A52C0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</w:rPr>
      </w:pPr>
    </w:p>
    <w:p w:rsidR="006A52C0" w:rsidRPr="00EF7224" w:rsidRDefault="006A52C0" w:rsidP="006A5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14A0">
        <w:rPr>
          <w:rFonts w:eastAsia="Times New Roman" w:cs="Times New Roman"/>
          <w:color w:val="000000" w:themeColor="text1"/>
        </w:rPr>
        <w:t xml:space="preserve">W ubiegłym tygodniu indeks dużych spółek WIG20 stracił na wartości 0,5 %. Powstaje pytanie: czy ten spadek jest tylko fragmentem spadkowej korekty, czy też jest on częścią głębszej fali spadkowej. Osobiście jestem optymistą. Po pierwsze warto pamiętać, że indeks WIG0 wybił się niedawno z formacji podwójnego dna, dzięki czemu pojawiła się szansa na wzrost tego indeksu do </w:t>
      </w:r>
      <w:r w:rsidRPr="005114A0">
        <w:rPr>
          <w:rFonts w:eastAsia="Times New Roman" w:cs="Times New Roman"/>
          <w:b/>
          <w:color w:val="000000" w:themeColor="text1"/>
        </w:rPr>
        <w:t xml:space="preserve">1982,28 </w:t>
      </w:r>
      <w:proofErr w:type="gramStart"/>
      <w:r w:rsidRPr="005114A0">
        <w:rPr>
          <w:rFonts w:eastAsia="Times New Roman" w:cs="Times New Roman"/>
          <w:b/>
          <w:color w:val="000000" w:themeColor="text1"/>
        </w:rPr>
        <w:t>pkt.</w:t>
      </w:r>
      <w:r w:rsidRPr="005114A0">
        <w:rPr>
          <w:rFonts w:eastAsia="Times New Roman" w:cs="Times New Roman"/>
          <w:color w:val="000000" w:themeColor="text1"/>
        </w:rPr>
        <w:t xml:space="preserve"> Aby</w:t>
      </w:r>
      <w:proofErr w:type="gramEnd"/>
      <w:r w:rsidRPr="005114A0">
        <w:rPr>
          <w:rFonts w:eastAsia="Times New Roman" w:cs="Times New Roman"/>
          <w:color w:val="000000" w:themeColor="text1"/>
        </w:rPr>
        <w:t xml:space="preserve"> w przypadku indeksu WIG20 pojawiły się trwałe wzrosty niezbędne wydają się być zwyżki akcji kluczowych banków. W tym kontekście warto zauważyć, że zarówno w przypadku akcji </w:t>
      </w:r>
      <w:r w:rsidRPr="005114A0">
        <w:rPr>
          <w:rFonts w:eastAsia="Times New Roman" w:cs="Times New Roman"/>
          <w:b/>
          <w:color w:val="000000" w:themeColor="text1"/>
        </w:rPr>
        <w:t>BZWBK</w:t>
      </w:r>
      <w:r w:rsidRPr="005114A0">
        <w:rPr>
          <w:rFonts w:eastAsia="Times New Roman" w:cs="Times New Roman"/>
          <w:color w:val="000000" w:themeColor="text1"/>
        </w:rPr>
        <w:t xml:space="preserve"> jak również </w:t>
      </w:r>
      <w:r w:rsidRPr="005114A0">
        <w:rPr>
          <w:rFonts w:eastAsia="Times New Roman" w:cs="Times New Roman"/>
          <w:b/>
          <w:color w:val="000000" w:themeColor="text1"/>
        </w:rPr>
        <w:t>mBanku</w:t>
      </w:r>
      <w:r w:rsidRPr="005114A0">
        <w:rPr>
          <w:rFonts w:eastAsia="Times New Roman" w:cs="Times New Roman"/>
          <w:color w:val="000000" w:themeColor="text1"/>
        </w:rPr>
        <w:t xml:space="preserve"> doszło do wybicia z formacji podwójnego dna, która to formacja jeszcze się nie zrealizowała.</w:t>
      </w:r>
    </w:p>
    <w:p w:rsidR="006A52C0" w:rsidRPr="00EF7224" w:rsidRDefault="006A52C0" w:rsidP="006A52C0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="Times New Roman" w:cs="Times New Roman"/>
        </w:rPr>
      </w:pPr>
      <w:r w:rsidRPr="00EF7224">
        <w:rPr>
          <w:rFonts w:eastAsia="Times New Roman" w:cs="Times New Roman"/>
        </w:rPr>
        <w:t xml:space="preserve">Opracował: Sławomir Kłusek, </w:t>
      </w:r>
      <w:r>
        <w:rPr>
          <w:rFonts w:eastAsia="Times New Roman" w:cs="Times New Roman"/>
        </w:rPr>
        <w:t xml:space="preserve">5 września </w:t>
      </w:r>
      <w:r w:rsidRPr="00EF7224">
        <w:rPr>
          <w:rFonts w:eastAsia="Times New Roman" w:cs="Times New Roman"/>
        </w:rPr>
        <w:t>2016 roku</w:t>
      </w:r>
    </w:p>
    <w:p w:rsidR="006A52C0" w:rsidRPr="00EF7224" w:rsidRDefault="006A52C0" w:rsidP="006A52C0">
      <w:pPr>
        <w:spacing w:after="0" w:line="240" w:lineRule="auto"/>
        <w:jc w:val="both"/>
        <w:rPr>
          <w:rFonts w:eastAsia="Times New Roman" w:cs="Times New Roman"/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="Times New Roman" w:cs="Times New Roman"/>
        </w:rPr>
      </w:pPr>
      <w:r w:rsidRPr="00EF7224">
        <w:rPr>
          <w:rFonts w:eastAsia="Times New Roman" w:cs="Times New Roman"/>
        </w:rPr>
        <w:t xml:space="preserve">Powyższy raport stanowi wyłącznie wyraz osobistych opinii autora. </w:t>
      </w:r>
    </w:p>
    <w:p w:rsidR="006A52C0" w:rsidRPr="00EF7224" w:rsidRDefault="006A52C0" w:rsidP="006A52C0">
      <w:pPr>
        <w:spacing w:after="0" w:line="240" w:lineRule="auto"/>
        <w:jc w:val="both"/>
        <w:rPr>
          <w:rFonts w:eastAsia="Times New Roman" w:cs="Times New Roman"/>
        </w:rPr>
      </w:pPr>
    </w:p>
    <w:p w:rsidR="006A52C0" w:rsidRPr="00EF7224" w:rsidRDefault="006A52C0" w:rsidP="006A52C0">
      <w:pPr>
        <w:spacing w:after="0" w:line="240" w:lineRule="auto"/>
        <w:jc w:val="both"/>
        <w:rPr>
          <w:rFonts w:eastAsia="Times New Roman" w:cs="Times New Roman"/>
        </w:rPr>
      </w:pPr>
      <w:r w:rsidRPr="00EF7224">
        <w:rPr>
          <w:rFonts w:eastAsia="Times New Roman" w:cs="Times New Roman"/>
        </w:rPr>
        <w:t xml:space="preserve">Treści zawarte na stronie internetowej </w:t>
      </w:r>
      <w:hyperlink r:id="rId17" w:history="1">
        <w:r w:rsidRPr="00EF7224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EF7224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EF7224">
        <w:rPr>
          <w:rFonts w:eastAsia="Times New Roman" w:cs="Times New Roman"/>
        </w:rPr>
        <w:t>Dz.U</w:t>
      </w:r>
      <w:proofErr w:type="spellEnd"/>
      <w:r w:rsidRPr="00EF7224">
        <w:rPr>
          <w:rFonts w:eastAsia="Times New Roman" w:cs="Times New Roman"/>
        </w:rPr>
        <w:t xml:space="preserve">. </w:t>
      </w:r>
      <w:proofErr w:type="gramStart"/>
      <w:r w:rsidRPr="00EF7224">
        <w:rPr>
          <w:rFonts w:eastAsia="Times New Roman" w:cs="Times New Roman"/>
        </w:rPr>
        <w:t>z</w:t>
      </w:r>
      <w:proofErr w:type="gramEnd"/>
      <w:r w:rsidRPr="00EF7224">
        <w:rPr>
          <w:rFonts w:eastAsia="Times New Roman" w:cs="Times New Roman"/>
        </w:rPr>
        <w:t xml:space="preserve"> 2005 r. Nr 206, poz. 1715).</w:t>
      </w:r>
    </w:p>
    <w:p w:rsidR="006A52C0" w:rsidRPr="00EF7224" w:rsidRDefault="006A52C0" w:rsidP="006A52C0">
      <w:pPr>
        <w:spacing w:after="0" w:line="240" w:lineRule="auto"/>
        <w:jc w:val="both"/>
        <w:rPr>
          <w:rFonts w:eastAsia="Times New Roman" w:cs="Times New Roman"/>
        </w:rPr>
      </w:pPr>
    </w:p>
    <w:p w:rsidR="006A52C0" w:rsidRPr="00EF7224" w:rsidRDefault="006A52C0" w:rsidP="006A52C0">
      <w:pPr>
        <w:spacing w:after="0" w:line="240" w:lineRule="auto"/>
        <w:jc w:val="both"/>
      </w:pPr>
      <w:r w:rsidRPr="00EF7224"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18" w:history="1">
        <w:r w:rsidRPr="00EF7224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6A52C0" w:rsidRDefault="006A52C0" w:rsidP="006A52C0"/>
    <w:p w:rsidR="006A52C0" w:rsidRDefault="006A52C0" w:rsidP="006A52C0">
      <w:pPr>
        <w:pStyle w:val="Bezodstpw"/>
        <w:jc w:val="both"/>
        <w:rPr>
          <w:b/>
          <w:sz w:val="26"/>
          <w:szCs w:val="26"/>
          <w:u w:val="single"/>
        </w:rPr>
      </w:pPr>
    </w:p>
    <w:p w:rsidR="006A52C0" w:rsidRPr="0033198D" w:rsidRDefault="006A52C0" w:rsidP="006A52C0">
      <w:pPr>
        <w:pStyle w:val="Bezodstpw"/>
        <w:jc w:val="both"/>
        <w:rPr>
          <w:b/>
          <w:sz w:val="26"/>
          <w:szCs w:val="26"/>
          <w:u w:val="single"/>
        </w:rPr>
      </w:pPr>
    </w:p>
    <w:p w:rsidR="00794AA7" w:rsidRPr="006A52C0" w:rsidRDefault="00794AA7" w:rsidP="006A52C0"/>
    <w:sectPr w:rsidR="00794AA7" w:rsidRPr="006A52C0" w:rsidSect="00FF5F52">
      <w:footerReference w:type="defaul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5367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5F52" w:rsidRDefault="0053674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0"/>
    <w:rsid w:val="00536741"/>
    <w:rsid w:val="006A52C0"/>
    <w:rsid w:val="007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2C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2C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A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52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5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2C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2C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A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52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5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w-jaki-sposob-mozna-przeprowadzic-uproszczona-analize-branzowa-w-oparciu-o-kryteria-techniczne-fundamentalne-i-psychologiczne-na-przykladzie-analizy-branzy-deweloperskiej/" TargetMode="External"/><Relationship Id="rId1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bankier.pl/gielda/rekomendacj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12.3</c:v>
                </c:pt>
                <c:pt idx="1">
                  <c:v>4.9000000000000004</c:v>
                </c:pt>
                <c:pt idx="2">
                  <c:v>-0.5</c:v>
                </c:pt>
                <c:pt idx="3">
                  <c:v>-9.6999999999999993</c:v>
                </c:pt>
                <c:pt idx="4">
                  <c:v>-18.5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81344"/>
        <c:axId val="213304448"/>
      </c:barChart>
      <c:catAx>
        <c:axId val="21348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304448"/>
        <c:crosses val="autoZero"/>
        <c:auto val="1"/>
        <c:lblAlgn val="ctr"/>
        <c:lblOffset val="100"/>
        <c:noMultiLvlLbl val="0"/>
      </c:catAx>
      <c:valAx>
        <c:axId val="2133044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3481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2179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2016-09-03T20:46:00Z</dcterms:created>
  <dcterms:modified xsi:type="dcterms:W3CDTF">2016-09-03T20:46:00Z</dcterms:modified>
</cp:coreProperties>
</file>