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4" w:rsidRPr="00EF7224" w:rsidRDefault="00EF7224" w:rsidP="00EF7224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EF7224" w:rsidRPr="00EF7224" w:rsidRDefault="00EF7224" w:rsidP="00EF7224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EF7224" w:rsidRPr="00EF7224" w:rsidRDefault="00EF7224" w:rsidP="00EF7224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EF7224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EF7224" w:rsidRPr="00EF7224" w:rsidRDefault="00EF7224" w:rsidP="00EF7224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 w:rsidRPr="00EF7224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EF7224" w:rsidRPr="00EF7224" w:rsidRDefault="00EF7224" w:rsidP="00EF7224">
      <w:pPr>
        <w:spacing w:after="0" w:line="240" w:lineRule="auto"/>
        <w:jc w:val="center"/>
        <w:rPr>
          <w:sz w:val="48"/>
          <w:szCs w:val="48"/>
        </w:rPr>
      </w:pPr>
    </w:p>
    <w:p w:rsidR="00EF7224" w:rsidRPr="00EF7224" w:rsidRDefault="00EF7224" w:rsidP="00EF7224">
      <w:pPr>
        <w:spacing w:after="0" w:line="240" w:lineRule="auto"/>
        <w:jc w:val="center"/>
        <w:rPr>
          <w:sz w:val="48"/>
          <w:szCs w:val="48"/>
        </w:rPr>
      </w:pPr>
    </w:p>
    <w:p w:rsidR="00EF7224" w:rsidRPr="00EF7224" w:rsidRDefault="00EF7224" w:rsidP="00EF7224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EF7224" w:rsidRPr="00EF7224" w:rsidRDefault="00EF7224" w:rsidP="00EF7224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224" w:rsidRPr="00EF7224" w:rsidRDefault="00EF7224" w:rsidP="00EF7224">
      <w:pPr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EF7224" w:rsidRPr="00EF7224" w:rsidRDefault="00EF7224" w:rsidP="00EF7224">
      <w:pPr>
        <w:spacing w:after="0" w:line="240" w:lineRule="auto"/>
        <w:jc w:val="both"/>
        <w:rPr>
          <w:sz w:val="26"/>
          <w:szCs w:val="26"/>
        </w:rPr>
      </w:pPr>
    </w:p>
    <w:p w:rsidR="00EF7224" w:rsidRPr="00EF7224" w:rsidRDefault="00EF7224" w:rsidP="00EF7224">
      <w:pPr>
        <w:spacing w:after="0" w:line="240" w:lineRule="auto"/>
        <w:jc w:val="both"/>
        <w:rPr>
          <w:sz w:val="26"/>
          <w:szCs w:val="26"/>
        </w:rPr>
      </w:pPr>
    </w:p>
    <w:p w:rsidR="00EF7224" w:rsidRPr="00EF7224" w:rsidRDefault="00EF7224" w:rsidP="00EF7224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F722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sierpnia 2016 roku</w:t>
      </w:r>
    </w:p>
    <w:p w:rsidR="00EF7224" w:rsidRPr="00EF7224" w:rsidRDefault="00EF7224" w:rsidP="00EF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EF7224">
        <w:t xml:space="preserve">Kurs USD/PLN – perspektywa długoterminowa, kurs z </w:t>
      </w:r>
      <w:r>
        <w:t>26 sierpnia 2016 roku = 3,8685</w:t>
      </w:r>
    </w:p>
    <w:p w:rsidR="00EF7224" w:rsidRPr="00EF7224" w:rsidRDefault="00EF7224" w:rsidP="00EF7224">
      <w:pPr>
        <w:spacing w:after="0" w:line="240" w:lineRule="auto"/>
        <w:jc w:val="both"/>
      </w:pPr>
      <w:r w:rsidRPr="00EF7224">
        <w:rPr>
          <w:noProof/>
          <w:lang w:eastAsia="pl-PL"/>
        </w:rPr>
        <w:drawing>
          <wp:inline distT="0" distB="0" distL="0" distR="0" wp14:anchorId="3E3662A4" wp14:editId="4772F5E2">
            <wp:extent cx="4829175" cy="2905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224" w:rsidRPr="00EF7224" w:rsidRDefault="00EF7224" w:rsidP="00EF7224">
      <w:pPr>
        <w:spacing w:after="0" w:line="240" w:lineRule="auto"/>
        <w:jc w:val="both"/>
        <w:rPr>
          <w:b/>
          <w:color w:val="FF0000"/>
        </w:rPr>
      </w:pPr>
      <w:r w:rsidRPr="00EF7224">
        <w:t xml:space="preserve">Kurs dolara amerykańskiego (w złotych) przebił zaznaczony na wykresie trend wzrostowy poprowadzony przez dołki z 9 lipca 2014 roku oraz 14 października 2015 roku. </w:t>
      </w:r>
      <w:r w:rsidRPr="00EF7224">
        <w:rPr>
          <w:b/>
        </w:rPr>
        <w:t>Pojawiła się szansa na wybicie z na razie tylko hipotetycznej formacji podwójnego szczytu</w:t>
      </w:r>
      <w:r w:rsidRPr="00EF7224">
        <w:t xml:space="preserve">. Dojdzie do tego wybicia, gdy kurs USD/PLN osiągnie (na zamknięciu notowań) poziom dołka z 4 kwietnia 2016 roku (3,7230 zł.). Realna perspektywa zmiany trendu ze wzrostowego na spadkowy może być związana z perspektywą napływu kapitału zagranicznego na polski rynek akcji. Średnia ruchoma z 200 sesji próbuje zmienić trend na spadkowy. </w:t>
      </w:r>
    </w:p>
    <w:p w:rsidR="00EF7224" w:rsidRPr="00EF7224" w:rsidRDefault="00EF7224" w:rsidP="00EF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EF7224">
        <w:t xml:space="preserve">Kurs EUR/PLN – perspektywa średniookresowa, kurs z </w:t>
      </w:r>
      <w:r>
        <w:t>26 sierpnia 2016 roku = 4,3306</w:t>
      </w:r>
    </w:p>
    <w:p w:rsidR="00EF7224" w:rsidRPr="00EF7224" w:rsidRDefault="00EF7224" w:rsidP="00EF7224">
      <w:pPr>
        <w:spacing w:after="0" w:line="240" w:lineRule="auto"/>
        <w:jc w:val="both"/>
      </w:pPr>
      <w:r w:rsidRPr="00EF7224">
        <w:rPr>
          <w:noProof/>
          <w:lang w:eastAsia="pl-PL"/>
        </w:rPr>
        <w:drawing>
          <wp:inline distT="0" distB="0" distL="0" distR="0" wp14:anchorId="204FC3CF" wp14:editId="2F179479">
            <wp:extent cx="4829175" cy="2905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224" w:rsidRDefault="00EF7224" w:rsidP="00EF7224">
      <w:pPr>
        <w:spacing w:after="0" w:line="240" w:lineRule="auto"/>
        <w:jc w:val="both"/>
      </w:pPr>
      <w:r w:rsidRPr="00EF7224">
        <w:t xml:space="preserve">Kurs euro amerykańskiego (w złotych) przebił zaznaczony na wykresie trend wzrostowy poprowadzony przez dołki z 27 kwietnia oraz 29 grudnia 2015 roku. </w:t>
      </w:r>
      <w:r w:rsidRPr="00EF7224">
        <w:rPr>
          <w:b/>
        </w:rPr>
        <w:t>Pojawiła się szansa na wybicie z na razie tylko hipotetycznej formacji podwójnego szczytu</w:t>
      </w:r>
      <w:r w:rsidRPr="00EF7224">
        <w:t xml:space="preserve">. Dojdzie do tego wybicia, gdy kurs USD/PLN osiągnie (na zamknięciu notowań) poziom dołka z 4 kwietnia 2016 roku (4,2409 zł.). Realna perspektywa zmiany trendu ze wzrostowego na spadkowy może być związana z perspektywą napływu kapitału zagranicznego na polski rynek akcji. Średnia ruchoma z 200 sesji próbuje zmienić trend na spadkowy. </w:t>
      </w:r>
    </w:p>
    <w:p w:rsidR="00EF7224" w:rsidRDefault="00EF7224" w:rsidP="00EF722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WIG20 przy wsparciu wraz dwoma formacjami harami to dobry </w:t>
      </w:r>
      <w:proofErr w:type="gramStart"/>
      <w:r>
        <w:rPr>
          <w:sz w:val="26"/>
          <w:szCs w:val="26"/>
        </w:rPr>
        <w:t>sygnał !</w:t>
      </w:r>
      <w:proofErr w:type="gramEnd"/>
    </w:p>
    <w:p w:rsidR="00EF7224" w:rsidRDefault="00EF7224" w:rsidP="00EF7224">
      <w:pPr>
        <w:pStyle w:val="Bezodstpw"/>
        <w:jc w:val="center"/>
        <w:rPr>
          <w:sz w:val="26"/>
          <w:szCs w:val="26"/>
        </w:rPr>
      </w:pP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WIG20 w poprzednim tygodniu spadł o 0,8 %. Skala spadku nie była znaczna. Z perspektywy długoterminowej sytuacja nie uległa praktycznie zmianie. Nadal uważam, że znajdujemy się na progu silnej fali wzrostów w przypadku omawianego indeksu. </w:t>
      </w: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skłania mnie do takiego </w:t>
      </w:r>
      <w:proofErr w:type="gramStart"/>
      <w:r>
        <w:rPr>
          <w:sz w:val="26"/>
          <w:szCs w:val="26"/>
        </w:rPr>
        <w:t xml:space="preserve">optymizmu ? </w:t>
      </w:r>
      <w:proofErr w:type="gramEnd"/>
      <w:r>
        <w:rPr>
          <w:sz w:val="26"/>
          <w:szCs w:val="26"/>
        </w:rPr>
        <w:t xml:space="preserve">Przede wszystkim to, że na wykresie indeksu WIG20 znajdujemy się </w:t>
      </w:r>
      <w:r w:rsidRPr="00EF7224">
        <w:rPr>
          <w:b/>
          <w:sz w:val="26"/>
          <w:szCs w:val="26"/>
        </w:rPr>
        <w:t>w pobliżu bardzo ważnego wsparcia</w:t>
      </w:r>
      <w:r>
        <w:rPr>
          <w:sz w:val="26"/>
          <w:szCs w:val="26"/>
        </w:rPr>
        <w:t xml:space="preserve"> w postaci linii trendu łączącej dołki z 2001 oraz 2009 roku. Dzięki temu można oczekiwać trwałego uaktywnienia strony popytowej w przypadku akcji spółek o największej kapitalizacji.</w:t>
      </w: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</w:p>
    <w:p w:rsidR="00EF7224" w:rsidRPr="00457CD2" w:rsidRDefault="00EF7224" w:rsidP="00EF7224">
      <w:pPr>
        <w:pStyle w:val="Bezodstpw"/>
        <w:jc w:val="both"/>
        <w:rPr>
          <w:b/>
          <w:sz w:val="26"/>
          <w:szCs w:val="26"/>
          <w:u w:val="single"/>
        </w:rPr>
      </w:pPr>
      <w:r w:rsidRPr="00457CD2">
        <w:rPr>
          <w:b/>
          <w:sz w:val="26"/>
          <w:szCs w:val="26"/>
          <w:u w:val="single"/>
        </w:rPr>
        <w:t>WIG20</w:t>
      </w: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9713D69" wp14:editId="084DD22B">
            <wp:extent cx="5438775" cy="32575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drugie warto zauważyć, że w pobliżu tej linii trendu na wykresie stworzonym w oparciu o dane miesięczne </w:t>
      </w:r>
      <w:r w:rsidRPr="00EF7224">
        <w:rPr>
          <w:b/>
          <w:sz w:val="26"/>
          <w:szCs w:val="26"/>
        </w:rPr>
        <w:t>dwukrotnie</w:t>
      </w:r>
      <w:r>
        <w:rPr>
          <w:sz w:val="26"/>
          <w:szCs w:val="26"/>
        </w:rPr>
        <w:t xml:space="preserve"> w stosunkowo krótkim odstępie czasowym utworzyła się </w:t>
      </w:r>
      <w:r w:rsidRPr="00EF7224">
        <w:rPr>
          <w:b/>
          <w:sz w:val="26"/>
          <w:szCs w:val="26"/>
        </w:rPr>
        <w:t>formacja harami</w:t>
      </w:r>
      <w:r>
        <w:rPr>
          <w:sz w:val="26"/>
          <w:szCs w:val="26"/>
        </w:rPr>
        <w:t xml:space="preserve">. </w:t>
      </w: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</w:p>
    <w:p w:rsidR="00EF7224" w:rsidRPr="00EF7224" w:rsidRDefault="00EF7224" w:rsidP="00EF7224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Formacja ta ma różne znaczenie i zazwyczaj traktowana </w:t>
      </w:r>
      <w:proofErr w:type="gramStart"/>
      <w:r>
        <w:rPr>
          <w:sz w:val="26"/>
          <w:szCs w:val="26"/>
        </w:rPr>
        <w:t>jest jako</w:t>
      </w:r>
      <w:proofErr w:type="gramEnd"/>
      <w:r>
        <w:rPr>
          <w:sz w:val="26"/>
          <w:szCs w:val="26"/>
        </w:rPr>
        <w:t xml:space="preserve"> formacja kontynuacji dotychczasowego trendu, </w:t>
      </w:r>
      <w:r w:rsidRPr="00F16D70">
        <w:rPr>
          <w:b/>
          <w:sz w:val="26"/>
          <w:szCs w:val="26"/>
        </w:rPr>
        <w:t>ale</w:t>
      </w:r>
      <w:r>
        <w:rPr>
          <w:sz w:val="26"/>
          <w:szCs w:val="26"/>
        </w:rPr>
        <w:t xml:space="preserve"> </w:t>
      </w:r>
      <w:r w:rsidR="00F16D70">
        <w:rPr>
          <w:sz w:val="26"/>
          <w:szCs w:val="26"/>
        </w:rPr>
        <w:t xml:space="preserve">(!) </w:t>
      </w:r>
      <w:r>
        <w:rPr>
          <w:sz w:val="26"/>
          <w:szCs w:val="26"/>
        </w:rPr>
        <w:t xml:space="preserve">wówczas, gdy pojawia się w pobliżu ważnego wsparcia czy też oporu może być </w:t>
      </w:r>
      <w:proofErr w:type="gramStart"/>
      <w:r>
        <w:rPr>
          <w:sz w:val="26"/>
          <w:szCs w:val="26"/>
        </w:rPr>
        <w:t>traktowana jako</w:t>
      </w:r>
      <w:proofErr w:type="gramEnd"/>
      <w:r>
        <w:rPr>
          <w:sz w:val="26"/>
          <w:szCs w:val="26"/>
        </w:rPr>
        <w:t xml:space="preserve"> </w:t>
      </w:r>
      <w:r w:rsidRPr="00EF7224">
        <w:rPr>
          <w:b/>
          <w:sz w:val="26"/>
          <w:szCs w:val="26"/>
        </w:rPr>
        <w:t xml:space="preserve">formacja zmiany trendu. </w:t>
      </w: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Ponieważ w tym przypadku pojawiła się i to dwukrotnie w pobliżu wsparcia może być </w:t>
      </w:r>
      <w:proofErr w:type="gramStart"/>
      <w:r>
        <w:rPr>
          <w:sz w:val="26"/>
          <w:szCs w:val="26"/>
        </w:rPr>
        <w:t>potraktowana jako</w:t>
      </w:r>
      <w:proofErr w:type="gramEnd"/>
      <w:r>
        <w:rPr>
          <w:sz w:val="26"/>
          <w:szCs w:val="26"/>
        </w:rPr>
        <w:t xml:space="preserve"> formacja zmiany trendu </w:t>
      </w:r>
      <w:r w:rsidRPr="00EF7224">
        <w:rPr>
          <w:b/>
          <w:sz w:val="26"/>
          <w:szCs w:val="26"/>
        </w:rPr>
        <w:t>ze spadkowego na wzrost</w:t>
      </w:r>
      <w:r>
        <w:rPr>
          <w:b/>
          <w:sz w:val="26"/>
          <w:szCs w:val="26"/>
        </w:rPr>
        <w:t>owy</w:t>
      </w:r>
      <w:r>
        <w:rPr>
          <w:sz w:val="26"/>
          <w:szCs w:val="26"/>
        </w:rPr>
        <w:t xml:space="preserve">. To bardzo optymistyczny sygnał dla posiadaczy akcji dużych spółek. Dzięki temu można spodziewać się, że popyt na akcje spółek z indeksu WIG20 będzie silny w perspektywie najbliższych kilku lub nawet kilkunastu miesięcy, co związane może być </w:t>
      </w:r>
      <w:r>
        <w:rPr>
          <w:sz w:val="26"/>
          <w:szCs w:val="26"/>
        </w:rPr>
        <w:lastRenderedPageBreak/>
        <w:t xml:space="preserve">prawdopodobnie z napływem kapitału zagranicznego. Na poniższym </w:t>
      </w:r>
      <w:proofErr w:type="gramStart"/>
      <w:r>
        <w:rPr>
          <w:sz w:val="26"/>
          <w:szCs w:val="26"/>
        </w:rPr>
        <w:t>wykresie  zaznaczone</w:t>
      </w:r>
      <w:proofErr w:type="gramEnd"/>
      <w:r>
        <w:rPr>
          <w:sz w:val="26"/>
          <w:szCs w:val="26"/>
        </w:rPr>
        <w:t xml:space="preserve"> zostały zielonymi elipsami obie formacje harami. </w:t>
      </w:r>
    </w:p>
    <w:p w:rsidR="00EF7224" w:rsidRDefault="00EF7224" w:rsidP="00EF7224">
      <w:pPr>
        <w:pStyle w:val="Bezodstpw"/>
        <w:jc w:val="both"/>
        <w:rPr>
          <w:sz w:val="26"/>
          <w:szCs w:val="26"/>
        </w:rPr>
      </w:pPr>
    </w:p>
    <w:p w:rsidR="00EF7224" w:rsidRDefault="00EF7224" w:rsidP="00EF7224">
      <w:pPr>
        <w:pStyle w:val="Bezodstpw"/>
        <w:jc w:val="both"/>
        <w:rPr>
          <w:b/>
          <w:sz w:val="26"/>
          <w:szCs w:val="26"/>
          <w:u w:val="single"/>
        </w:rPr>
      </w:pPr>
      <w:r w:rsidRPr="00CA4987">
        <w:rPr>
          <w:b/>
          <w:sz w:val="26"/>
          <w:szCs w:val="26"/>
          <w:u w:val="single"/>
        </w:rPr>
        <w:t>WIG20</w:t>
      </w:r>
    </w:p>
    <w:p w:rsidR="00EF7224" w:rsidRDefault="00EF7224" w:rsidP="00EF7224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2C847A30" wp14:editId="7150509C">
            <wp:extent cx="5438775" cy="32575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224" w:rsidRDefault="00EF7224" w:rsidP="00EF7224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</w:p>
    <w:p w:rsidR="00EF7224" w:rsidRPr="00EF7224" w:rsidRDefault="00EF7224" w:rsidP="00EF7224">
      <w:pPr>
        <w:pStyle w:val="Bezodstpw"/>
        <w:jc w:val="both"/>
        <w:rPr>
          <w:b/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Spośród spólek wprowadzonych na przestrzeni ostatnich 12 miesięcy do rubryki ,,Wykres do przemyślenia” chciałbym zwrócić uwagę na wykres kursu </w:t>
      </w:r>
      <w:r w:rsidRPr="00EF7224">
        <w:rPr>
          <w:b/>
          <w:noProof/>
          <w:sz w:val="26"/>
          <w:szCs w:val="26"/>
          <w:lang w:eastAsia="pl-PL"/>
        </w:rPr>
        <w:t>akcji budowlanej spółki P.A. NOVA,</w:t>
      </w:r>
      <w:r>
        <w:rPr>
          <w:noProof/>
          <w:sz w:val="26"/>
          <w:szCs w:val="26"/>
          <w:lang w:eastAsia="pl-PL"/>
        </w:rPr>
        <w:t xml:space="preserve"> której akcje </w:t>
      </w:r>
      <w:bookmarkStart w:id="0" w:name="_GoBack"/>
      <w:bookmarkEnd w:id="0"/>
      <w:r>
        <w:rPr>
          <w:noProof/>
          <w:sz w:val="26"/>
          <w:szCs w:val="26"/>
          <w:lang w:eastAsia="pl-PL"/>
        </w:rPr>
        <w:t>w poprzednim tygodniu zyskały na wartości sporo, bo aż 9,0 %. Warto zauważyć, że na wykresie kursu akcji tej spólki nie wypełnila się jeszcze formacja podwójn</w:t>
      </w:r>
      <w:r w:rsidR="00F16D70">
        <w:rPr>
          <w:noProof/>
          <w:sz w:val="26"/>
          <w:szCs w:val="26"/>
          <w:lang w:eastAsia="pl-PL"/>
        </w:rPr>
        <w:t>e</w:t>
      </w:r>
      <w:r>
        <w:rPr>
          <w:noProof/>
          <w:sz w:val="26"/>
          <w:szCs w:val="26"/>
          <w:lang w:eastAsia="pl-PL"/>
        </w:rPr>
        <w:t xml:space="preserve">go dna. Gdyby formacja ta się wypełniła kurs powinien zwyżkować z 23,00 zl. do 33,17 zł, czyli </w:t>
      </w:r>
      <w:r w:rsidRPr="00EF7224">
        <w:rPr>
          <w:b/>
          <w:noProof/>
          <w:sz w:val="26"/>
          <w:szCs w:val="26"/>
          <w:lang w:eastAsia="pl-PL"/>
        </w:rPr>
        <w:t>o 44,2 %.</w:t>
      </w:r>
    </w:p>
    <w:p w:rsidR="00EF7224" w:rsidRDefault="00EF7224" w:rsidP="00EF7224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EF7224" w:rsidRPr="00B15326" w:rsidRDefault="00EF7224" w:rsidP="00EF7224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 w:rsidRPr="00B15326">
        <w:rPr>
          <w:b/>
          <w:noProof/>
          <w:sz w:val="26"/>
          <w:szCs w:val="26"/>
          <w:u w:val="single"/>
          <w:lang w:eastAsia="pl-PL"/>
        </w:rPr>
        <w:t>P.A. NOVA</w:t>
      </w:r>
    </w:p>
    <w:p w:rsidR="00EF7224" w:rsidRDefault="00EF7224" w:rsidP="00EF7224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31317452" wp14:editId="51484D2C">
            <wp:extent cx="4838700" cy="28956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224" w:rsidRPr="00EF7224" w:rsidRDefault="00EF7224" w:rsidP="00EF7224">
      <w:pPr>
        <w:shd w:val="clear" w:color="auto" w:fill="FFFF00"/>
      </w:pPr>
      <w:r w:rsidRPr="00EF7224">
        <w:rPr>
          <w:noProof/>
          <w:lang w:eastAsia="pl-PL"/>
        </w:rPr>
        <w:lastRenderedPageBreak/>
        <w:drawing>
          <wp:inline distT="0" distB="0" distL="0" distR="0" wp14:anchorId="09F6ADF7" wp14:editId="577C9AD8">
            <wp:extent cx="923925" cy="1318133"/>
            <wp:effectExtent l="0" t="0" r="0" b="0"/>
            <wp:docPr id="7" name="Obraz 7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24" w:rsidRPr="00EF7224" w:rsidRDefault="00EF7224" w:rsidP="00EF7224">
      <w:pPr>
        <w:shd w:val="clear" w:color="auto" w:fill="FFFF00"/>
      </w:pPr>
    </w:p>
    <w:p w:rsidR="00EF7224" w:rsidRPr="00EF7224" w:rsidRDefault="00EF7224" w:rsidP="00EF7224">
      <w:pPr>
        <w:shd w:val="clear" w:color="auto" w:fill="FFFF00"/>
        <w:jc w:val="center"/>
        <w:rPr>
          <w:sz w:val="140"/>
          <w:szCs w:val="140"/>
        </w:rPr>
      </w:pPr>
      <w:r w:rsidRPr="00EF7224">
        <w:rPr>
          <w:sz w:val="140"/>
          <w:szCs w:val="140"/>
        </w:rPr>
        <w:t>Rubryka</w:t>
      </w:r>
    </w:p>
    <w:p w:rsidR="00EF7224" w:rsidRPr="00EF7224" w:rsidRDefault="00EF7224" w:rsidP="00EF7224">
      <w:pPr>
        <w:shd w:val="clear" w:color="auto" w:fill="FFFF00"/>
        <w:jc w:val="center"/>
        <w:rPr>
          <w:sz w:val="90"/>
          <w:szCs w:val="90"/>
        </w:rPr>
      </w:pPr>
      <w:proofErr w:type="gramStart"/>
      <w:r w:rsidRPr="00EF7224">
        <w:rPr>
          <w:sz w:val="140"/>
          <w:szCs w:val="140"/>
        </w:rPr>
        <w:t>,,</w:t>
      </w:r>
      <w:proofErr w:type="gramEnd"/>
      <w:r w:rsidRPr="00EF7224">
        <w:rPr>
          <w:sz w:val="140"/>
          <w:szCs w:val="140"/>
        </w:rPr>
        <w:t>Wykres do przemyślenia”</w:t>
      </w:r>
    </w:p>
    <w:p w:rsidR="00EF7224" w:rsidRPr="00EF7224" w:rsidRDefault="00EF7224" w:rsidP="00EF7224">
      <w:pPr>
        <w:shd w:val="clear" w:color="auto" w:fill="FFFF00"/>
        <w:jc w:val="center"/>
        <w:rPr>
          <w:sz w:val="50"/>
          <w:szCs w:val="50"/>
        </w:rPr>
      </w:pPr>
      <w:r w:rsidRPr="00EF7224">
        <w:rPr>
          <w:sz w:val="50"/>
          <w:szCs w:val="50"/>
        </w:rPr>
        <w:t>Sławomir Kłusek</w:t>
      </w:r>
    </w:p>
    <w:p w:rsidR="00EF7224" w:rsidRPr="00EF7224" w:rsidRDefault="00EF7224" w:rsidP="00EF7224">
      <w:pPr>
        <w:shd w:val="clear" w:color="auto" w:fill="548DD4" w:themeFill="text2" w:themeFillTint="99"/>
        <w:jc w:val="center"/>
        <w:rPr>
          <w:smallCaps/>
          <w:color w:val="FFFFFF" w:themeColor="background1"/>
          <w:sz w:val="90"/>
          <w:szCs w:val="90"/>
        </w:rPr>
      </w:pPr>
      <w:proofErr w:type="gramStart"/>
      <w:r w:rsidRPr="00EF7224">
        <w:rPr>
          <w:smallCaps/>
          <w:color w:val="FFFFFF" w:themeColor="background1"/>
          <w:sz w:val="90"/>
          <w:szCs w:val="90"/>
        </w:rPr>
        <w:t>analizy-rynkowe</w:t>
      </w:r>
      <w:proofErr w:type="gramEnd"/>
      <w:r w:rsidRPr="00EF7224">
        <w:rPr>
          <w:smallCaps/>
          <w:color w:val="FFFFFF" w:themeColor="background1"/>
          <w:sz w:val="90"/>
          <w:szCs w:val="90"/>
        </w:rPr>
        <w:t>.</w:t>
      </w:r>
      <w:proofErr w:type="gramStart"/>
      <w:r w:rsidRPr="00EF7224">
        <w:rPr>
          <w:smallCaps/>
          <w:color w:val="FFFFFF" w:themeColor="background1"/>
          <w:sz w:val="90"/>
          <w:szCs w:val="90"/>
        </w:rPr>
        <w:t>pl</w:t>
      </w:r>
      <w:proofErr w:type="gramEnd"/>
    </w:p>
    <w:p w:rsidR="00EF7224" w:rsidRPr="00EF7224" w:rsidRDefault="00EF7224" w:rsidP="00EF7224">
      <w:pPr>
        <w:shd w:val="clear" w:color="auto" w:fill="FFFF00"/>
        <w:jc w:val="center"/>
        <w:rPr>
          <w:sz w:val="50"/>
          <w:szCs w:val="50"/>
        </w:rPr>
      </w:pPr>
    </w:p>
    <w:p w:rsidR="00EF7224" w:rsidRPr="00EF7224" w:rsidRDefault="00EF7224" w:rsidP="00EF7224">
      <w:pPr>
        <w:shd w:val="clear" w:color="auto" w:fill="FFFF00"/>
        <w:jc w:val="center"/>
        <w:rPr>
          <w:sz w:val="50"/>
          <w:szCs w:val="50"/>
        </w:rPr>
      </w:pPr>
    </w:p>
    <w:p w:rsidR="00EF7224" w:rsidRPr="00EF7224" w:rsidRDefault="00EF7224" w:rsidP="00EF7224">
      <w:pPr>
        <w:shd w:val="clear" w:color="auto" w:fill="FFFF00"/>
        <w:jc w:val="center"/>
        <w:rPr>
          <w:sz w:val="50"/>
          <w:szCs w:val="50"/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</w:t>
      </w:r>
      <w:proofErr w:type="gramStart"/>
      <w:r w:rsidRPr="00EF7224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była dotychczas </w:t>
      </w:r>
      <w:r w:rsidRPr="00EF7224"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lepsza o 22,4 punku procentowego od WIG-u</w:t>
      </w:r>
    </w:p>
    <w:p w:rsidR="00EF7224" w:rsidRPr="00EF7224" w:rsidRDefault="00EF7224" w:rsidP="00EF7224">
      <w:pPr>
        <w:spacing w:after="0" w:line="240" w:lineRule="auto"/>
        <w:jc w:val="center"/>
        <w:rPr>
          <w:rFonts w:eastAsiaTheme="minorEastAsia"/>
          <w:color w:val="FF0000"/>
          <w:sz w:val="60"/>
          <w:szCs w:val="6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224" w:rsidRPr="00EF7224" w:rsidRDefault="00EF7224" w:rsidP="00EF7224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EF7224" w:rsidRPr="00EF7224" w:rsidRDefault="00EF7224" w:rsidP="00EF7224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F7224" w:rsidRPr="00EF7224" w:rsidRDefault="00EF7224" w:rsidP="00EF7224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F7224" w:rsidRPr="00EF7224" w:rsidRDefault="00EF7224" w:rsidP="00EF7224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Pr="00EF7224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sierpnia 2016 roku  </w:t>
      </w:r>
    </w:p>
    <w:p w:rsidR="00EF7224" w:rsidRPr="00EF7224" w:rsidRDefault="00EF7224" w:rsidP="00EF7224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224" w:rsidRPr="00EF7224" w:rsidRDefault="00EF7224" w:rsidP="00EF7224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Dla 32 przypadków wprowadzenia spółki do rubryki </w:t>
      </w:r>
      <w:proofErr w:type="gramStart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można już obliczyć poziom 12-miesięcznej procentowej zmiany kursu akcji po wprowadzeniu danej spółki do rubryki ,,Wykres do przemyślenia” 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32 przypadków: 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STALPRODUKT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MOSTOSTAL WARSZAWA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CERAMIKA NOWA GALA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POLNORD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UNIMA 2000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ROPCZYCE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EUROCASH 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</w:t>
      </w:r>
      <w:proofErr w:type="gramStart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oraz zmiana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EF7224">
        <w:rPr>
          <w:rFonts w:eastAsiaTheme="minorEastAsia"/>
          <w:b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EF7224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000000" w:themeColor="text1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lang w:eastAsia="pl-PL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>Nazwa</w:t>
            </w:r>
          </w:p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spółki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giełdowej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kursu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WIG-u 20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EF7224" w:rsidRPr="00EF7224" w:rsidRDefault="00EF7224" w:rsidP="00EF7224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mWIG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>-u 40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r w:rsidRPr="00EF7224">
              <w:rPr>
                <w:rFonts w:eastAsiaTheme="minorEastAsia"/>
                <w:sz w:val="26"/>
                <w:szCs w:val="26"/>
              </w:rPr>
              <w:t>sWIG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 xml:space="preserve">-u </w:t>
            </w:r>
          </w:p>
          <w:p w:rsidR="00EF7224" w:rsidRPr="00EF7224" w:rsidRDefault="00EF7224" w:rsidP="00EF7224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6,2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5,9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5,5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3,6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9,2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8,4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9,1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 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8,2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9,8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 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4,5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9,1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4,1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-0,1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-1,8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MOSTOSTAL WARSZAWA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100,1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-5,0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lastRenderedPageBreak/>
              <w:t>Nazwa</w:t>
            </w:r>
          </w:p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spółki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giełdowej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kursu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WIG-u 20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EF7224" w:rsidRPr="00EF7224" w:rsidRDefault="00EF7224" w:rsidP="00EF7224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proofErr w:type="gramStart"/>
            <w:r w:rsidRPr="00EF7224">
              <w:rPr>
                <w:rFonts w:eastAsiaTheme="minorEastAsia"/>
                <w:sz w:val="26"/>
                <w:szCs w:val="26"/>
              </w:rPr>
              <w:t>mWIG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>-u 40  w</w:t>
            </w:r>
            <w:proofErr w:type="gramEnd"/>
            <w:r w:rsidRPr="00EF7224">
              <w:rPr>
                <w:rFonts w:eastAsiaTheme="minorEastAsia"/>
                <w:sz w:val="26"/>
                <w:szCs w:val="26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7224" w:rsidRPr="00EF7224" w:rsidRDefault="00EF7224" w:rsidP="00EF7224">
            <w:pPr>
              <w:rPr>
                <w:rFonts w:eastAsiaTheme="minorEastAsia"/>
                <w:sz w:val="26"/>
                <w:szCs w:val="26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Zmiana </w:t>
            </w:r>
            <w:proofErr w:type="spellStart"/>
            <w:r w:rsidRPr="00EF7224">
              <w:rPr>
                <w:rFonts w:eastAsiaTheme="minorEastAsia"/>
                <w:sz w:val="26"/>
                <w:szCs w:val="26"/>
              </w:rPr>
              <w:t>sWIG</w:t>
            </w:r>
            <w:proofErr w:type="spellEnd"/>
            <w:r w:rsidRPr="00EF7224">
              <w:rPr>
                <w:rFonts w:eastAsiaTheme="minorEastAsia"/>
                <w:sz w:val="26"/>
                <w:szCs w:val="26"/>
              </w:rPr>
              <w:t xml:space="preserve">-u </w:t>
            </w:r>
          </w:p>
          <w:p w:rsidR="00EF7224" w:rsidRPr="00EF7224" w:rsidRDefault="00EF7224" w:rsidP="00EF7224">
            <w:pPr>
              <w:rPr>
                <w:rFonts w:eastAsiaTheme="minorEastAsia"/>
              </w:rPr>
            </w:pPr>
            <w:r w:rsidRPr="00EF7224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CERAMIKA NOWA GALA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0,2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POLNORD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-0,9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19,6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UNIMA 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-3,9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>ROPCZYCE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F7224">
              <w:rPr>
                <w:rFonts w:eastAsiaTheme="minorEastAsia"/>
                <w:sz w:val="24"/>
                <w:szCs w:val="24"/>
              </w:rPr>
              <w:t xml:space="preserve">EUROCASH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-11,8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>-6,4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EF7224">
              <w:rPr>
                <w:rFonts w:eastAsiaTheme="minorEastAsia"/>
                <w:sz w:val="24"/>
                <w:szCs w:val="24"/>
                <w:lang w:eastAsia="pl-PL"/>
              </w:rPr>
              <w:t xml:space="preserve"> 1,4</w:t>
            </w:r>
          </w:p>
        </w:tc>
      </w:tr>
      <w:tr w:rsidR="00EF7224" w:rsidRPr="00EF7224" w:rsidTr="0011537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color w:val="FF66CC"/>
                <w:sz w:val="40"/>
                <w:szCs w:val="40"/>
              </w:rPr>
            </w:pPr>
            <w:r w:rsidRPr="00EF7224">
              <w:rPr>
                <w:rFonts w:ascii="Calibri" w:eastAsia="Times New Roman" w:hAnsi="Calibri" w:cs="Times New Roman"/>
                <w:color w:val="FF66CC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 w:rsidRPr="00EF7224">
              <w:rPr>
                <w:rFonts w:ascii="Calibri" w:eastAsia="Times New Roman" w:hAnsi="Calibri" w:cs="Times New Roman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12,6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-18,5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-9,8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-0,8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4" w:rsidRPr="00EF7224" w:rsidRDefault="00EF7224" w:rsidP="00EF7224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EF7224">
              <w:rPr>
                <w:rFonts w:eastAsiaTheme="minorEastAsia"/>
                <w:b/>
                <w:sz w:val="40"/>
                <w:szCs w:val="40"/>
                <w:lang w:eastAsia="pl-PL"/>
              </w:rPr>
              <w:t>4,8</w:t>
            </w:r>
          </w:p>
        </w:tc>
      </w:tr>
    </w:tbl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  <w:r w:rsidRPr="00EF7224">
        <w:rPr>
          <w:rFonts w:eastAsiaTheme="minorEastAsia"/>
          <w:sz w:val="80"/>
          <w:szCs w:val="80"/>
          <w:u w:val="single"/>
          <w:lang w:eastAsia="pl-PL"/>
        </w:rPr>
        <w:t>Wniosek końcowy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0000"/>
          <w:sz w:val="80"/>
          <w:szCs w:val="80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średnio </w:t>
      </w:r>
      <w:r w:rsidRPr="00EF7224"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12,6 %.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18,5 %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</w:t>
      </w:r>
      <w:proofErr w:type="gramStart"/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minus 9,8 %,  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indeksu</w:t>
      </w:r>
      <w:proofErr w:type="gramEnd"/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mWIG</w:t>
      </w:r>
      <w:proofErr w:type="spellEnd"/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minus 0,8 % a  </w:t>
      </w:r>
      <w:r w:rsidRPr="00EF7224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EF7224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sWIG80 plus 4,8 %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FF0000"/>
          <w:sz w:val="28"/>
          <w:szCs w:val="28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sz w:val="28"/>
          <w:szCs w:val="28"/>
          <w:lang w:eastAsia="pl-PL"/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pl-PL"/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EF7224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lastRenderedPageBreak/>
        <w:t xml:space="preserve">Dodatek graficzny: Średnia procentowa zmiana kursu akcji spółki po wprowadzeniu jej do rubryki </w:t>
      </w:r>
      <w:proofErr w:type="gramStart"/>
      <w:r w:rsidRPr="00EF7224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t>,,</w:t>
      </w:r>
      <w:proofErr w:type="gramEnd"/>
      <w:r w:rsidRPr="00EF7224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t xml:space="preserve">Wykres do przemyślenia” w okresie 12 pierwszych miesięcy po jej wprowadzeniu do tej rubryki oraz średnia procentowa zmiana 4 kluczowych indeksów polskiego rynku akcji w tym okresie </w:t>
      </w: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EF7224">
        <w:rPr>
          <w:rFonts w:eastAsiaTheme="minorEastAsia"/>
          <w:noProof/>
          <w:lang w:eastAsia="pl-PL"/>
        </w:rPr>
        <w:drawing>
          <wp:inline distT="0" distB="0" distL="0" distR="0" wp14:anchorId="700C8D49" wp14:editId="2C9526E0">
            <wp:extent cx="5572125" cy="7648575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7224" w:rsidRPr="00EF7224" w:rsidRDefault="00EF7224" w:rsidP="00EF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</w:pPr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lastRenderedPageBreak/>
        <w:t>Generalny wniosek:</w:t>
      </w:r>
    </w:p>
    <w:p w:rsidR="00EF7224" w:rsidRPr="00EF7224" w:rsidRDefault="00EF7224" w:rsidP="00EF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 xml:space="preserve">kursy akcji spółki po wprowadzeniu jej do rubryki ,,Wykres do przemyślenia” zasadniczo rzecz biorąc wykazują relatywną przewagę nad </w:t>
      </w:r>
      <w:proofErr w:type="gramStart"/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indeksami:  WIG</w:t>
      </w:r>
      <w:proofErr w:type="gramEnd"/>
      <w:r w:rsidRPr="00EF7224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20, WIG, WIG40 oraz sWIG80</w:t>
      </w:r>
    </w:p>
    <w:p w:rsidR="00EF7224" w:rsidRPr="00EF7224" w:rsidRDefault="00EF7224" w:rsidP="00EF7224">
      <w:pPr>
        <w:rPr>
          <w:rFonts w:eastAsiaTheme="minorEastAsia"/>
          <w:lang w:eastAsia="pl-PL"/>
        </w:rPr>
      </w:pPr>
    </w:p>
    <w:p w:rsidR="00EF7224" w:rsidRPr="00EF7224" w:rsidRDefault="00EF7224" w:rsidP="00EF7224">
      <w:pPr>
        <w:rPr>
          <w:rFonts w:eastAsiaTheme="minorEastAsia"/>
          <w:lang w:eastAsia="pl-PL"/>
        </w:rPr>
      </w:pPr>
    </w:p>
    <w:p w:rsidR="00EF7224" w:rsidRPr="00EF7224" w:rsidRDefault="00EF7224" w:rsidP="00EF7224">
      <w:pPr>
        <w:rPr>
          <w:rFonts w:eastAsiaTheme="minorEastAsia"/>
          <w:lang w:eastAsia="pl-PL"/>
        </w:rPr>
      </w:pPr>
    </w:p>
    <w:p w:rsidR="00EF7224" w:rsidRPr="00EF7224" w:rsidRDefault="00EF7224" w:rsidP="00EF7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color w:val="FF0000"/>
          <w:sz w:val="110"/>
          <w:szCs w:val="110"/>
          <w:lang w:eastAsia="pl-PL"/>
        </w:rPr>
      </w:pPr>
      <w:r w:rsidRPr="00EF7224">
        <w:rPr>
          <w:rFonts w:eastAsiaTheme="minorEastAsia"/>
          <w:sz w:val="110"/>
          <w:szCs w:val="110"/>
          <w:lang w:eastAsia="pl-PL"/>
        </w:rPr>
        <w:lastRenderedPageBreak/>
        <w:t xml:space="preserve">Aby dowiedzieć się które spółki będą umieszczane w rubryce </w:t>
      </w:r>
      <w:proofErr w:type="gramStart"/>
      <w:r w:rsidRPr="00EF7224">
        <w:rPr>
          <w:rFonts w:eastAsiaTheme="minorEastAsia"/>
          <w:sz w:val="110"/>
          <w:szCs w:val="110"/>
          <w:lang w:eastAsia="pl-PL"/>
        </w:rPr>
        <w:t>,,</w:t>
      </w:r>
      <w:proofErr w:type="gramEnd"/>
      <w:r w:rsidRPr="00EF7224">
        <w:rPr>
          <w:rFonts w:eastAsiaTheme="minorEastAsia"/>
          <w:sz w:val="110"/>
          <w:szCs w:val="110"/>
          <w:lang w:eastAsia="pl-PL"/>
        </w:rPr>
        <w:t xml:space="preserve">Wykres do przemyślenia” warto często odwiedzać stronę internetową </w:t>
      </w:r>
      <w:r w:rsidRPr="00EF7224">
        <w:rPr>
          <w:rFonts w:eastAsiaTheme="minorEastAsia"/>
          <w:color w:val="FF0000"/>
          <w:sz w:val="110"/>
          <w:szCs w:val="110"/>
          <w:lang w:eastAsia="pl-PL"/>
        </w:rPr>
        <w:t>analizy-rynkowe.</w:t>
      </w:r>
      <w:proofErr w:type="gramStart"/>
      <w:r w:rsidRPr="00EF7224">
        <w:rPr>
          <w:rFonts w:eastAsiaTheme="minorEastAsia"/>
          <w:color w:val="FF0000"/>
          <w:sz w:val="110"/>
          <w:szCs w:val="110"/>
          <w:lang w:eastAsia="pl-PL"/>
        </w:rPr>
        <w:t>pl</w:t>
      </w:r>
      <w:proofErr w:type="gramEnd"/>
    </w:p>
    <w:p w:rsidR="00EF7224" w:rsidRPr="00EF7224" w:rsidRDefault="00EF7224" w:rsidP="00EF7224">
      <w:pPr>
        <w:rPr>
          <w:rFonts w:eastAsiaTheme="minorEastAsia"/>
          <w:lang w:eastAsia="pl-PL"/>
        </w:rPr>
      </w:pPr>
    </w:p>
    <w:p w:rsidR="00EF7224" w:rsidRPr="00EF7224" w:rsidRDefault="00EF7224" w:rsidP="00EF7224">
      <w:pPr>
        <w:rPr>
          <w:rFonts w:eastAsiaTheme="minorEastAsia"/>
          <w:lang w:eastAsia="pl-PL"/>
        </w:rPr>
      </w:pPr>
    </w:p>
    <w:p w:rsidR="00EF7224" w:rsidRPr="00EF7224" w:rsidRDefault="00EF7224" w:rsidP="00EF7224">
      <w:pPr>
        <w:spacing w:after="0" w:line="240" w:lineRule="auto"/>
        <w:jc w:val="both"/>
      </w:pPr>
    </w:p>
    <w:p w:rsidR="00EF7224" w:rsidRPr="00EF7224" w:rsidRDefault="00EF7224" w:rsidP="00EF7224">
      <w:pPr>
        <w:spacing w:after="0" w:line="240" w:lineRule="auto"/>
        <w:jc w:val="both"/>
      </w:pPr>
    </w:p>
    <w:p w:rsidR="00EF7224" w:rsidRPr="00EF7224" w:rsidRDefault="00EF7224" w:rsidP="00EF7224">
      <w:pPr>
        <w:spacing w:after="0" w:line="240" w:lineRule="auto"/>
        <w:jc w:val="both"/>
      </w:pPr>
    </w:p>
    <w:p w:rsidR="00EF7224" w:rsidRPr="00EF7224" w:rsidRDefault="00EF7224" w:rsidP="00EF7224">
      <w:pPr>
        <w:spacing w:after="0" w:line="240" w:lineRule="auto"/>
        <w:jc w:val="both"/>
        <w:rPr>
          <w:rFonts w:eastAsia="Times New Roman" w:cs="Times New Roman"/>
          <w:b/>
        </w:rPr>
      </w:pPr>
      <w:r w:rsidRPr="00EF7224">
        <w:rPr>
          <w:rFonts w:eastAsia="Times New Roman" w:cs="Times New Roman"/>
          <w:b/>
        </w:rPr>
        <w:lastRenderedPageBreak/>
        <w:t>Wnioski końcowe</w:t>
      </w:r>
    </w:p>
    <w:p w:rsidR="00EF7224" w:rsidRPr="00EF7224" w:rsidRDefault="00EF7224" w:rsidP="00EF7224">
      <w:pPr>
        <w:spacing w:after="0" w:line="240" w:lineRule="auto"/>
        <w:jc w:val="both"/>
        <w:rPr>
          <w:rFonts w:eastAsia="Times New Roman" w:cs="Times New Roman"/>
        </w:rPr>
      </w:pPr>
    </w:p>
    <w:p w:rsidR="00EF7224" w:rsidRPr="00EF7224" w:rsidRDefault="00EF7224" w:rsidP="00EF722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EF7224">
        <w:rPr>
          <w:rFonts w:eastAsia="Times New Roman" w:cs="Times New Roman"/>
          <w:color w:val="000000" w:themeColor="text1"/>
        </w:rPr>
        <w:t>Kurs dolara amerykańskiego (w złotych) przebił zaznaczony na wykresie trend wzrostowy poprowadzony przez dołki z 9 lipca 2014 roku oraz 14 października 2015 roku. Pojawiła się szansa na wybicie z na razie tylko hipotetycznej formacji podwójnego szczytu. Dojdzie do tego wybicia, gdy kurs USD/PLN osiągnie (na zamknięciu notowań) poziom dołka z 4 kwietnia 2016 roku (</w:t>
      </w:r>
      <w:r w:rsidRPr="00EF7224">
        <w:rPr>
          <w:rFonts w:eastAsia="Times New Roman" w:cs="Times New Roman"/>
          <w:b/>
          <w:color w:val="FF0000"/>
        </w:rPr>
        <w:t>3,7230 zł</w:t>
      </w:r>
      <w:r w:rsidRPr="00EF7224">
        <w:rPr>
          <w:rFonts w:eastAsia="Times New Roman" w:cs="Times New Roman"/>
          <w:color w:val="000000" w:themeColor="text1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EF7224" w:rsidRPr="00EF7224" w:rsidRDefault="00EF7224" w:rsidP="00EF7224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EF7224" w:rsidRPr="00EF7224" w:rsidRDefault="00EF7224" w:rsidP="00EF722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EF7224">
        <w:rPr>
          <w:rFonts w:eastAsia="Times New Roman" w:cs="Times New Roman"/>
        </w:rPr>
        <w:t>Kurs euro amerykańskiego (w złotych) przebił zaznaczony na wykresie trend wzrostowy poprowadzony przez dołki z 27 kwietnia oraz 29 grudnia 2015 roku. Pojawiła się szansa na wybicie z na razie tylko hipotetycznej formacji podwójnego szczytu. Dojdzie do tego wybicia, gdy kurs USD/PLN osiągnie (na zamknięciu notowań) poziom dołka z 4 kwietnia 2016 roku (</w:t>
      </w:r>
      <w:r w:rsidRPr="00EF7224">
        <w:rPr>
          <w:rFonts w:eastAsia="Times New Roman" w:cs="Times New Roman"/>
          <w:b/>
          <w:color w:val="FF0000"/>
        </w:rPr>
        <w:t>4,2409 zł</w:t>
      </w:r>
      <w:r w:rsidRPr="00EF7224">
        <w:rPr>
          <w:rFonts w:eastAsia="Times New Roman" w:cs="Times New Roman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EF7224" w:rsidRPr="00EF7224" w:rsidRDefault="00EF7224" w:rsidP="00EF7224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</w:p>
    <w:p w:rsidR="00EF7224" w:rsidRPr="00EF7224" w:rsidRDefault="00EF7224" w:rsidP="00EF722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000000" w:themeColor="text1"/>
        </w:rPr>
      </w:pPr>
      <w:r w:rsidRPr="00EF7224">
        <w:rPr>
          <w:rFonts w:eastAsia="Times New Roman" w:cs="Times New Roman"/>
          <w:color w:val="000000" w:themeColor="text1"/>
        </w:rPr>
        <w:t xml:space="preserve">Początkowo </w:t>
      </w:r>
      <w:r w:rsidRPr="00EF7224">
        <w:rPr>
          <w:rFonts w:eastAsia="Times New Roman" w:cs="Times New Roman"/>
          <w:b/>
          <w:color w:val="000000" w:themeColor="text1"/>
        </w:rPr>
        <w:t>indeks amerykańskiego rynku akcji S&amp;P500</w:t>
      </w:r>
      <w:r w:rsidRPr="00EF7224">
        <w:rPr>
          <w:rFonts w:eastAsia="Times New Roman" w:cs="Times New Roman"/>
          <w:color w:val="000000" w:themeColor="text1"/>
        </w:rPr>
        <w:t xml:space="preserve"> wybił się z formacji podwójnego szczytu, co zapowiadało spadki. Wkrótce jednak indeks zaczął dynamicznie rosnąć. Przebił poziom wyższego szczytu. W rezultacie </w:t>
      </w:r>
      <w:r w:rsidRPr="00EF7224">
        <w:rPr>
          <w:rFonts w:eastAsia="Times New Roman" w:cs="Times New Roman"/>
          <w:b/>
          <w:color w:val="000000" w:themeColor="text1"/>
        </w:rPr>
        <w:t xml:space="preserve">doszło do </w:t>
      </w:r>
      <w:proofErr w:type="gramStart"/>
      <w:r w:rsidRPr="00EF7224">
        <w:rPr>
          <w:rFonts w:eastAsia="Times New Roman" w:cs="Times New Roman"/>
          <w:b/>
          <w:color w:val="000000" w:themeColor="text1"/>
        </w:rPr>
        <w:t>,,</w:t>
      </w:r>
      <w:proofErr w:type="gramEnd"/>
      <w:r w:rsidRPr="00EF7224">
        <w:rPr>
          <w:rFonts w:eastAsia="Times New Roman" w:cs="Times New Roman"/>
          <w:b/>
          <w:color w:val="000000" w:themeColor="text1"/>
        </w:rPr>
        <w:t>spalenia” formacji podwójnego szczytu.</w:t>
      </w:r>
      <w:r w:rsidRPr="00EF7224">
        <w:rPr>
          <w:rFonts w:eastAsia="Times New Roman" w:cs="Times New Roman"/>
          <w:color w:val="000000" w:themeColor="text1"/>
        </w:rPr>
        <w:t xml:space="preserve"> Pojawił się wiec bardzo </w:t>
      </w:r>
      <w:r w:rsidRPr="00EF7224">
        <w:rPr>
          <w:rFonts w:eastAsia="Times New Roman" w:cs="Times New Roman"/>
          <w:b/>
          <w:color w:val="000000" w:themeColor="text1"/>
        </w:rPr>
        <w:t xml:space="preserve">silny sygnał kupna. </w:t>
      </w:r>
    </w:p>
    <w:p w:rsidR="00EF7224" w:rsidRPr="00EF7224" w:rsidRDefault="00EF7224" w:rsidP="00EF7224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</w:rPr>
      </w:pPr>
    </w:p>
    <w:p w:rsidR="00EF7224" w:rsidRPr="00EF7224" w:rsidRDefault="00EF7224" w:rsidP="00EF722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EF7224">
        <w:rPr>
          <w:rFonts w:eastAsia="Times New Roman" w:cs="Times New Roman"/>
          <w:color w:val="000000" w:themeColor="text1"/>
        </w:rPr>
        <w:t xml:space="preserve">WIG20 wybił się z małej formacji podwójnego dna. Gdyby formacja ta miała się całkowicie zrealizować powinno dojść do wzrostów tego indeksu do </w:t>
      </w:r>
      <w:r w:rsidRPr="00EF7224">
        <w:rPr>
          <w:rFonts w:eastAsia="Times New Roman" w:cs="Times New Roman"/>
          <w:b/>
          <w:color w:val="000000" w:themeColor="text1"/>
        </w:rPr>
        <w:t>1982,28 pkt</w:t>
      </w:r>
      <w:r w:rsidRPr="00EF7224">
        <w:rPr>
          <w:rFonts w:eastAsia="Times New Roman" w:cs="Times New Roman"/>
          <w:color w:val="000000" w:themeColor="text1"/>
        </w:rPr>
        <w:t xml:space="preserve">., czyli o 6,7 %. W poprzednim tygodniu indeks WIG20 stracił na wartości 3,1 %. Spadek ten w dużym stopniu był prawdopodobnie spowodowany zniżkami indeksów opisujących sytuację na dojrzałych rynkach akcji. WIG20 w poprzednim tygodniu spadł o 0,8 %. Skala spadku nie była znaczna. Z perspektywy długoterminowej sytuacja nie uległa praktycznie zmianie. Nadal uważam, że znajdujemy się na progu silnej fali wzrostów w przypadku omawianego indeksu. Co skłania mnie do takiego </w:t>
      </w:r>
      <w:proofErr w:type="gramStart"/>
      <w:r w:rsidRPr="00EF7224">
        <w:rPr>
          <w:rFonts w:eastAsia="Times New Roman" w:cs="Times New Roman"/>
          <w:color w:val="000000" w:themeColor="text1"/>
        </w:rPr>
        <w:t xml:space="preserve">optymizmu ? </w:t>
      </w:r>
      <w:proofErr w:type="gramEnd"/>
      <w:r w:rsidRPr="00EF7224">
        <w:rPr>
          <w:rFonts w:eastAsia="Times New Roman" w:cs="Times New Roman"/>
          <w:color w:val="000000" w:themeColor="text1"/>
        </w:rPr>
        <w:t xml:space="preserve">Przede wszystkim to, że </w:t>
      </w:r>
      <w:r w:rsidRPr="00EF7224">
        <w:rPr>
          <w:rFonts w:eastAsia="Times New Roman" w:cs="Times New Roman"/>
          <w:b/>
          <w:color w:val="000000" w:themeColor="text1"/>
        </w:rPr>
        <w:t>na wykresie indeksu WIG20 znajdujemy się w pobliżu bardzo ważnego wsparcia</w:t>
      </w:r>
      <w:r w:rsidRPr="00EF7224">
        <w:rPr>
          <w:rFonts w:eastAsia="Times New Roman" w:cs="Times New Roman"/>
          <w:color w:val="000000" w:themeColor="text1"/>
        </w:rPr>
        <w:t xml:space="preserve"> w postaci linii trendu łączącej dołki z 2001 oraz 2009 roku. Dzięki temu można oczekiwać trwałego uaktywnienia strony popytowej w przypadku akcji spółek o największej kapitalizacji.</w:t>
      </w:r>
    </w:p>
    <w:p w:rsidR="00EF7224" w:rsidRPr="00EF7224" w:rsidRDefault="00EF7224" w:rsidP="00EF7224">
      <w:pPr>
        <w:spacing w:after="0" w:line="240" w:lineRule="auto"/>
        <w:ind w:left="720"/>
        <w:contextualSpacing/>
        <w:jc w:val="both"/>
        <w:rPr>
          <w:rFonts w:eastAsia="Times New Roman" w:cs="Times New Roman"/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="Times New Roman" w:cs="Times New Roman"/>
        </w:rPr>
      </w:pPr>
      <w:r w:rsidRPr="00EF7224">
        <w:rPr>
          <w:rFonts w:eastAsia="Times New Roman" w:cs="Times New Roman"/>
        </w:rPr>
        <w:t>Opracował: Sławomir Kłusek, 2</w:t>
      </w:r>
      <w:r>
        <w:rPr>
          <w:rFonts w:eastAsia="Times New Roman" w:cs="Times New Roman"/>
        </w:rPr>
        <w:t>9</w:t>
      </w:r>
      <w:r w:rsidRPr="00EF7224">
        <w:rPr>
          <w:rFonts w:eastAsia="Times New Roman" w:cs="Times New Roman"/>
        </w:rPr>
        <w:t xml:space="preserve"> sierpnia 2016 roku</w:t>
      </w:r>
    </w:p>
    <w:p w:rsidR="00EF7224" w:rsidRPr="00EF7224" w:rsidRDefault="00EF7224" w:rsidP="00EF7224">
      <w:pPr>
        <w:spacing w:after="0" w:line="240" w:lineRule="auto"/>
        <w:jc w:val="both"/>
        <w:rPr>
          <w:rFonts w:eastAsia="Times New Roman" w:cs="Times New Roman"/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="Times New Roman" w:cs="Times New Roman"/>
        </w:rPr>
      </w:pPr>
      <w:r w:rsidRPr="00EF7224">
        <w:rPr>
          <w:rFonts w:eastAsia="Times New Roman" w:cs="Times New Roman"/>
        </w:rPr>
        <w:t xml:space="preserve">Powyższy raport stanowi wyłącznie wyraz osobistych opinii autora. </w:t>
      </w:r>
    </w:p>
    <w:p w:rsidR="00EF7224" w:rsidRPr="00EF7224" w:rsidRDefault="00EF7224" w:rsidP="00EF7224">
      <w:pPr>
        <w:spacing w:after="0" w:line="240" w:lineRule="auto"/>
        <w:jc w:val="both"/>
        <w:rPr>
          <w:rFonts w:eastAsia="Times New Roman" w:cs="Times New Roman"/>
        </w:rPr>
      </w:pPr>
    </w:p>
    <w:p w:rsidR="00EF7224" w:rsidRPr="00EF7224" w:rsidRDefault="00EF7224" w:rsidP="00EF7224">
      <w:pPr>
        <w:spacing w:after="0" w:line="240" w:lineRule="auto"/>
        <w:jc w:val="both"/>
        <w:rPr>
          <w:rFonts w:eastAsia="Times New Roman" w:cs="Times New Roman"/>
        </w:rPr>
      </w:pPr>
      <w:r w:rsidRPr="00EF7224">
        <w:rPr>
          <w:rFonts w:eastAsia="Times New Roman" w:cs="Times New Roman"/>
        </w:rPr>
        <w:t xml:space="preserve">Treści zawarte na stronie internetowej </w:t>
      </w:r>
      <w:hyperlink r:id="rId14" w:history="1">
        <w:r w:rsidRPr="00EF7224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EF7224"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EF7224">
        <w:rPr>
          <w:rFonts w:eastAsia="Times New Roman" w:cs="Times New Roman"/>
        </w:rPr>
        <w:t>Dz.U</w:t>
      </w:r>
      <w:proofErr w:type="spellEnd"/>
      <w:r w:rsidRPr="00EF7224">
        <w:rPr>
          <w:rFonts w:eastAsia="Times New Roman" w:cs="Times New Roman"/>
        </w:rPr>
        <w:t xml:space="preserve">. </w:t>
      </w:r>
      <w:proofErr w:type="gramStart"/>
      <w:r w:rsidRPr="00EF7224">
        <w:rPr>
          <w:rFonts w:eastAsia="Times New Roman" w:cs="Times New Roman"/>
        </w:rPr>
        <w:t>z</w:t>
      </w:r>
      <w:proofErr w:type="gramEnd"/>
      <w:r w:rsidRPr="00EF7224">
        <w:rPr>
          <w:rFonts w:eastAsia="Times New Roman" w:cs="Times New Roman"/>
        </w:rPr>
        <w:t xml:space="preserve"> 2005 r. Nr 206, poz. 1715).</w:t>
      </w:r>
    </w:p>
    <w:p w:rsidR="00EF7224" w:rsidRPr="00EF7224" w:rsidRDefault="00EF7224" w:rsidP="00EF7224">
      <w:pPr>
        <w:spacing w:after="0" w:line="240" w:lineRule="auto"/>
        <w:jc w:val="both"/>
        <w:rPr>
          <w:rFonts w:eastAsia="Times New Roman" w:cs="Times New Roman"/>
        </w:rPr>
      </w:pPr>
    </w:p>
    <w:p w:rsidR="00EF7224" w:rsidRPr="00EF7224" w:rsidRDefault="00EF7224" w:rsidP="00EF7224">
      <w:pPr>
        <w:spacing w:after="0" w:line="240" w:lineRule="auto"/>
        <w:jc w:val="both"/>
      </w:pPr>
      <w:r w:rsidRPr="00EF7224"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15" w:history="1">
        <w:r w:rsidRPr="00EF7224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</w:p>
    <w:p w:rsidR="00D0720C" w:rsidRDefault="00D0720C"/>
    <w:sectPr w:rsidR="00D0720C" w:rsidSect="00FF5F52"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F16D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F5F52" w:rsidRDefault="00F16D7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24"/>
    <w:rsid w:val="00D0720C"/>
    <w:rsid w:val="00EF7224"/>
    <w:rsid w:val="00F1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72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722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F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72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72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722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F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72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0.0</c:formatCode>
                <c:ptCount val="5"/>
                <c:pt idx="0">
                  <c:v>12.6</c:v>
                </c:pt>
                <c:pt idx="1">
                  <c:v>4.8</c:v>
                </c:pt>
                <c:pt idx="2">
                  <c:v>-0.8</c:v>
                </c:pt>
                <c:pt idx="3">
                  <c:v>-9.8000000000000007</c:v>
                </c:pt>
                <c:pt idx="4">
                  <c:v>-18.5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00768"/>
        <c:axId val="163841536"/>
      </c:barChart>
      <c:catAx>
        <c:axId val="12800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841536"/>
        <c:crosses val="autoZero"/>
        <c:auto val="1"/>
        <c:lblAlgn val="ctr"/>
        <c:lblOffset val="100"/>
        <c:noMultiLvlLbl val="0"/>
      </c:catAx>
      <c:valAx>
        <c:axId val="16384153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28000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EC8C-533B-467D-B0A8-877DB89B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cp:lastPrinted>2016-08-28T18:54:00Z</cp:lastPrinted>
  <dcterms:created xsi:type="dcterms:W3CDTF">2016-08-28T18:48:00Z</dcterms:created>
  <dcterms:modified xsi:type="dcterms:W3CDTF">2016-08-28T18:55:00Z</dcterms:modified>
</cp:coreProperties>
</file>