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67" w:rsidRDefault="00283E67" w:rsidP="00283E67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283E67" w:rsidRDefault="00283E67" w:rsidP="00283E67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283E67" w:rsidRDefault="00283E67" w:rsidP="00283E67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283E67" w:rsidRDefault="00283E67" w:rsidP="00283E67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283E67" w:rsidRDefault="00283E67" w:rsidP="00283E67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283E67" w:rsidRDefault="00283E67" w:rsidP="00283E67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283E67" w:rsidRDefault="00283E67" w:rsidP="00283E67">
      <w:pPr>
        <w:spacing w:after="0" w:line="240" w:lineRule="auto"/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283E67" w:rsidRDefault="00283E67" w:rsidP="00283E67">
      <w:pPr>
        <w:spacing w:after="0" w:line="240" w:lineRule="auto"/>
        <w:jc w:val="center"/>
        <w:rPr>
          <w:rFonts w:eastAsiaTheme="minorEastAsia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3E67" w:rsidRDefault="00283E67" w:rsidP="00283E67">
      <w:pPr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283E67" w:rsidRDefault="00283E67" w:rsidP="00283E67">
      <w:pPr>
        <w:spacing w:after="0" w:line="240" w:lineRule="auto"/>
        <w:jc w:val="both"/>
        <w:rPr>
          <w:sz w:val="26"/>
          <w:szCs w:val="26"/>
        </w:rPr>
      </w:pPr>
    </w:p>
    <w:p w:rsidR="00283E67" w:rsidRDefault="00283E67" w:rsidP="00283E67">
      <w:pPr>
        <w:spacing w:after="0" w:line="240" w:lineRule="auto"/>
        <w:jc w:val="both"/>
        <w:rPr>
          <w:sz w:val="26"/>
          <w:szCs w:val="26"/>
        </w:rPr>
      </w:pPr>
    </w:p>
    <w:p w:rsidR="00283E67" w:rsidRDefault="00283E67" w:rsidP="00283E67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25 lipca 2016 roku</w:t>
      </w:r>
    </w:p>
    <w:p w:rsidR="00283E67" w:rsidRDefault="00283E67" w:rsidP="0028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USD/PLN – perspektywa długoterminowa, kurs z 22 lipca 2016 roku = 3,9713</w:t>
      </w:r>
    </w:p>
    <w:p w:rsidR="00283E67" w:rsidRDefault="00283E67" w:rsidP="00283E67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283E67" w:rsidRDefault="00283E67" w:rsidP="00283E67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09ADA673" wp14:editId="65D7433F">
            <wp:extent cx="4798800" cy="288000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E67" w:rsidRDefault="00283E67" w:rsidP="00283E67">
      <w:pPr>
        <w:spacing w:after="0" w:line="240" w:lineRule="auto"/>
        <w:jc w:val="both"/>
        <w:rPr>
          <w:rFonts w:eastAsiaTheme="minorEastAsia"/>
          <w:b/>
          <w:color w:val="FF0000"/>
          <w:lang w:eastAsia="pl-PL"/>
        </w:rPr>
      </w:pPr>
      <w:r>
        <w:rPr>
          <w:rFonts w:eastAsiaTheme="minorEastAsia"/>
          <w:lang w:eastAsia="pl-PL"/>
        </w:rPr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Theme="minorEastAsia"/>
          <w:b/>
          <w:color w:val="FF0000"/>
          <w:lang w:eastAsia="pl-PL"/>
        </w:rPr>
        <w:t xml:space="preserve">do 4,4252 zł. </w:t>
      </w:r>
    </w:p>
    <w:p w:rsidR="00283E67" w:rsidRDefault="00283E67" w:rsidP="0028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EUR/PLN – perspektywa średniookresowa, kurs z 22 lipca 2016 roku = 4,3580</w:t>
      </w:r>
    </w:p>
    <w:p w:rsidR="00283E67" w:rsidRDefault="00283E67" w:rsidP="00283E67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283E67" w:rsidRDefault="00283E67" w:rsidP="00283E67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0E3BADF1" wp14:editId="228CB92A">
            <wp:extent cx="4798800" cy="2880000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6A8" w:rsidRDefault="00283E67" w:rsidP="00283E67">
      <w:pPr>
        <w:spacing w:after="0" w:line="240" w:lineRule="auto"/>
        <w:jc w:val="both"/>
        <w:rPr>
          <w:rFonts w:eastAsiaTheme="minorEastAsia"/>
          <w:color w:val="000000" w:themeColor="text1"/>
          <w:lang w:eastAsia="pl-PL"/>
        </w:rPr>
      </w:pPr>
      <w:r>
        <w:rPr>
          <w:rFonts w:eastAsiaTheme="minorEastAsia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>
        <w:rPr>
          <w:rFonts w:eastAsiaTheme="minorEastAsia"/>
          <w:color w:val="000000" w:themeColor="text1"/>
          <w:lang w:eastAsia="pl-PL"/>
        </w:rPr>
        <w:t xml:space="preserve">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Theme="minorEastAsia"/>
          <w:b/>
          <w:color w:val="FF0000"/>
          <w:lang w:eastAsia="pl-PL"/>
        </w:rPr>
        <w:t>4,5644</w:t>
      </w:r>
      <w:r>
        <w:rPr>
          <w:rFonts w:eastAsiaTheme="minorEastAsia"/>
          <w:color w:val="FF0000"/>
          <w:lang w:eastAsia="pl-PL"/>
        </w:rPr>
        <w:t xml:space="preserve"> </w:t>
      </w:r>
      <w:r>
        <w:rPr>
          <w:rFonts w:eastAsiaTheme="minorEastAsia"/>
          <w:color w:val="000000" w:themeColor="text1"/>
          <w:lang w:eastAsia="pl-PL"/>
        </w:rPr>
        <w:t xml:space="preserve">(szczyt z 13 grudnia 2011 roku). </w:t>
      </w:r>
    </w:p>
    <w:p w:rsidR="00BA6316" w:rsidRPr="004A4F0E" w:rsidRDefault="00BA6316" w:rsidP="00BA631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4A4F0E">
        <w:rPr>
          <w:sz w:val="26"/>
          <w:szCs w:val="26"/>
        </w:rPr>
        <w:lastRenderedPageBreak/>
        <w:t>Niejednoznaczne sygnały</w:t>
      </w:r>
    </w:p>
    <w:p w:rsidR="00BA6316" w:rsidRDefault="00BA6316" w:rsidP="00BA6316">
      <w:pPr>
        <w:pStyle w:val="Bezodstpw"/>
        <w:jc w:val="center"/>
      </w:pP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Sytuacja na polskim rynku akcji, w tym w odniesieniu do kształtowania się indeksu WIG20 w dużym stopniu może być uzależniona od sytuacji na rynkach zagranicznych.</w:t>
      </w: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tym kontekście warto jednak zadać sobie pytanie: które zagraniczne rynki akcji mieć będą największe </w:t>
      </w:r>
      <w:proofErr w:type="gramStart"/>
      <w:r>
        <w:rPr>
          <w:sz w:val="26"/>
          <w:szCs w:val="26"/>
        </w:rPr>
        <w:t xml:space="preserve">znaczenie ?. </w:t>
      </w:r>
      <w:proofErr w:type="gramEnd"/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</w:p>
    <w:p w:rsidR="00BA6316" w:rsidRPr="00F958F6" w:rsidRDefault="00BA6316" w:rsidP="00BA6316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Sytuacja jest dość niejednoznaczna. Z </w:t>
      </w:r>
      <w:proofErr w:type="gramStart"/>
      <w:r>
        <w:rPr>
          <w:sz w:val="26"/>
          <w:szCs w:val="26"/>
        </w:rPr>
        <w:t>jednej bowiem</w:t>
      </w:r>
      <w:proofErr w:type="gramEnd"/>
      <w:r>
        <w:rPr>
          <w:sz w:val="26"/>
          <w:szCs w:val="26"/>
        </w:rPr>
        <w:t xml:space="preserve"> strony najważniejszy indeks amerykański </w:t>
      </w:r>
      <w:r w:rsidRPr="00F958F6">
        <w:rPr>
          <w:b/>
          <w:sz w:val="26"/>
          <w:szCs w:val="26"/>
        </w:rPr>
        <w:t xml:space="preserve">S&amp;P500 przebił swój szczyt historyczny. </w:t>
      </w: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Jakie mogły być przyczyny tego stanu </w:t>
      </w:r>
      <w:proofErr w:type="gramStart"/>
      <w:r>
        <w:rPr>
          <w:sz w:val="26"/>
          <w:szCs w:val="26"/>
        </w:rPr>
        <w:t xml:space="preserve">rzeczy ? </w:t>
      </w:r>
      <w:proofErr w:type="gramEnd"/>
      <w:r>
        <w:rPr>
          <w:sz w:val="26"/>
          <w:szCs w:val="26"/>
        </w:rPr>
        <w:t xml:space="preserve">Być może inwestorzy giełdowi uznali, że amerykański bank centralny ani w tym ani w przyszłym roku nie podwyższy już stóp procentowych. Taką przynajmniej prognozę zawarli w swej analizie analitycy banku inwestycyjnego Morgan Stanley. </w:t>
      </w: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  <w:hyperlink r:id="rId8" w:history="1">
        <w:r w:rsidRPr="000842EB">
          <w:rPr>
            <w:rStyle w:val="Hipercze"/>
            <w:sz w:val="26"/>
            <w:szCs w:val="26"/>
          </w:rPr>
          <w:t>http://www.pb.pl/4591737,51983,morgan-stanley-fed-nie-podwyzszy-stop-do-2018-roku</w:t>
        </w:r>
      </w:hyperlink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</w:p>
    <w:p w:rsidR="00BA6316" w:rsidRDefault="00BA6316" w:rsidP="00BA6316">
      <w:pPr>
        <w:pStyle w:val="Bezodstpw"/>
        <w:jc w:val="both"/>
        <w:rPr>
          <w:b/>
          <w:sz w:val="26"/>
          <w:szCs w:val="26"/>
          <w:u w:val="single"/>
        </w:rPr>
      </w:pPr>
      <w:r w:rsidRPr="004A4F0E">
        <w:rPr>
          <w:b/>
          <w:sz w:val="26"/>
          <w:szCs w:val="26"/>
          <w:u w:val="single"/>
        </w:rPr>
        <w:t>S&amp;P 500</w:t>
      </w:r>
      <w:r>
        <w:rPr>
          <w:b/>
          <w:sz w:val="26"/>
          <w:szCs w:val="26"/>
          <w:u w:val="single"/>
        </w:rPr>
        <w:t xml:space="preserve"> - USA</w:t>
      </w:r>
    </w:p>
    <w:p w:rsidR="00BA6316" w:rsidRDefault="00BA6316" w:rsidP="00BA6316">
      <w:pPr>
        <w:pStyle w:val="Bezodstpw"/>
        <w:jc w:val="both"/>
        <w:rPr>
          <w:b/>
          <w:sz w:val="26"/>
          <w:szCs w:val="26"/>
          <w:u w:val="single"/>
        </w:rPr>
      </w:pPr>
    </w:p>
    <w:p w:rsidR="00BA6316" w:rsidRPr="004A4F0E" w:rsidRDefault="00BA6316" w:rsidP="00BA6316">
      <w:pPr>
        <w:pStyle w:val="Bezodstpw"/>
        <w:jc w:val="both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pl-PL"/>
        </w:rPr>
        <w:drawing>
          <wp:inline distT="0" distB="0" distL="0" distR="0" wp14:anchorId="647AD52B" wp14:editId="5750B167">
            <wp:extent cx="5429250" cy="3257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316" w:rsidRDefault="00BA6316" w:rsidP="00BA6316">
      <w:pPr>
        <w:pStyle w:val="Bezodstpw"/>
        <w:jc w:val="both"/>
      </w:pPr>
    </w:p>
    <w:p w:rsidR="00BA6316" w:rsidRPr="00F958F6" w:rsidRDefault="00BA6316" w:rsidP="00BA6316">
      <w:pPr>
        <w:pStyle w:val="Bezodstpw"/>
        <w:jc w:val="both"/>
        <w:rPr>
          <w:b/>
          <w:sz w:val="26"/>
          <w:szCs w:val="26"/>
        </w:rPr>
      </w:pPr>
      <w:r w:rsidRPr="00501DCE">
        <w:rPr>
          <w:sz w:val="26"/>
          <w:szCs w:val="26"/>
        </w:rPr>
        <w:t>Tak mocne zachowanie indeksu giełdy amerykańskiej SP500 wska</w:t>
      </w:r>
      <w:r>
        <w:rPr>
          <w:sz w:val="26"/>
          <w:szCs w:val="26"/>
        </w:rPr>
        <w:t xml:space="preserve">zywałoby na to, że powinniśmy w okres stosunkowo korzystny dla tego rynku a także i dla innych zagranicznych (przynajmniej dojrzałych) rynków zagranicznych, co stwarzałoby dobre perspektywy także dla indeksu WIG20. Należy jednak zauważyć, że sytuacja pod tym </w:t>
      </w:r>
      <w:r>
        <w:rPr>
          <w:sz w:val="26"/>
          <w:szCs w:val="26"/>
        </w:rPr>
        <w:lastRenderedPageBreak/>
        <w:t xml:space="preserve">względem na europejskich rynkach akcji jest inna. W przypadku na przykład indeksu </w:t>
      </w:r>
      <w:r w:rsidRPr="00F958F6">
        <w:rPr>
          <w:b/>
          <w:sz w:val="26"/>
          <w:szCs w:val="26"/>
        </w:rPr>
        <w:t>giełdy szwajcarskiej</w:t>
      </w:r>
      <w:r>
        <w:rPr>
          <w:sz w:val="26"/>
          <w:szCs w:val="26"/>
        </w:rPr>
        <w:t xml:space="preserve"> </w:t>
      </w:r>
      <w:r w:rsidRPr="00F958F6">
        <w:rPr>
          <w:b/>
          <w:sz w:val="26"/>
          <w:szCs w:val="26"/>
        </w:rPr>
        <w:t xml:space="preserve">nie wypełniła się jeszcze formacja podwójnego szczytu. </w:t>
      </w: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</w:p>
    <w:p w:rsidR="00BA6316" w:rsidRPr="00501DCE" w:rsidRDefault="00BA6316" w:rsidP="00BA6316">
      <w:pPr>
        <w:pStyle w:val="Bezodstpw"/>
        <w:jc w:val="both"/>
        <w:rPr>
          <w:b/>
          <w:sz w:val="26"/>
          <w:szCs w:val="26"/>
          <w:u w:val="single"/>
        </w:rPr>
      </w:pPr>
      <w:r w:rsidRPr="00501DCE">
        <w:rPr>
          <w:b/>
          <w:sz w:val="26"/>
          <w:szCs w:val="26"/>
          <w:u w:val="single"/>
        </w:rPr>
        <w:t xml:space="preserve">SMI- SZWAJCARIA </w:t>
      </w: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4DB2B401" wp14:editId="5BB0604E">
            <wp:extent cx="5429250" cy="3257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Także w przypadku wielu indeksów krajów strefy euro indeksy znajdują się wyraźnie poniższej historycznych maksimów, co świadczy o ich relatywnej słabości. Co będzie miało więc większe </w:t>
      </w:r>
      <w:proofErr w:type="gramStart"/>
      <w:r>
        <w:rPr>
          <w:sz w:val="26"/>
          <w:szCs w:val="26"/>
        </w:rPr>
        <w:t xml:space="preserve">znaczenie ? </w:t>
      </w:r>
      <w:proofErr w:type="gramEnd"/>
      <w:r>
        <w:rPr>
          <w:sz w:val="26"/>
          <w:szCs w:val="26"/>
        </w:rPr>
        <w:t xml:space="preserve">Amerykańska siła czy zachodnioeuropejska </w:t>
      </w:r>
      <w:proofErr w:type="gramStart"/>
      <w:r>
        <w:rPr>
          <w:sz w:val="26"/>
          <w:szCs w:val="26"/>
        </w:rPr>
        <w:t xml:space="preserve">słabość ? </w:t>
      </w:r>
      <w:proofErr w:type="gramEnd"/>
      <w:r>
        <w:rPr>
          <w:sz w:val="26"/>
          <w:szCs w:val="26"/>
        </w:rPr>
        <w:t xml:space="preserve">Zobaczymy. W każdym razie warto przyjrzeć się wykresowi indeksu WIG20. </w:t>
      </w: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</w:p>
    <w:p w:rsidR="00BA6316" w:rsidRPr="00F0489B" w:rsidRDefault="00BA6316" w:rsidP="00BA6316">
      <w:pPr>
        <w:pStyle w:val="Bezodstpw"/>
        <w:jc w:val="both"/>
        <w:rPr>
          <w:b/>
          <w:sz w:val="26"/>
          <w:szCs w:val="26"/>
          <w:u w:val="single"/>
        </w:rPr>
      </w:pPr>
      <w:r w:rsidRPr="00F0489B">
        <w:rPr>
          <w:b/>
          <w:sz w:val="26"/>
          <w:szCs w:val="26"/>
          <w:u w:val="single"/>
        </w:rPr>
        <w:t>WIG20</w:t>
      </w:r>
      <w:r>
        <w:rPr>
          <w:b/>
          <w:sz w:val="26"/>
          <w:szCs w:val="26"/>
          <w:u w:val="single"/>
        </w:rPr>
        <w:t xml:space="preserve"> – POLSKA </w:t>
      </w: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186B774A" wp14:editId="6DCC1B63">
            <wp:extent cx="3629025" cy="21812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316" w:rsidRDefault="00BA6316" w:rsidP="00BA6316">
      <w:pPr>
        <w:pStyle w:val="Bezodstpw"/>
        <w:jc w:val="both"/>
        <w:rPr>
          <w:sz w:val="26"/>
          <w:szCs w:val="26"/>
        </w:rPr>
      </w:pPr>
    </w:p>
    <w:p w:rsidR="00BA6316" w:rsidRDefault="00BA6316" w:rsidP="00BA6316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Na wykresie indeksu WIG20 próbuje się ukształtować się nietypowa </w:t>
      </w:r>
      <w:r w:rsidRPr="00F958F6">
        <w:rPr>
          <w:b/>
          <w:sz w:val="26"/>
          <w:szCs w:val="26"/>
        </w:rPr>
        <w:t>formacja podwójnego dna</w:t>
      </w:r>
      <w:r>
        <w:rPr>
          <w:sz w:val="26"/>
          <w:szCs w:val="26"/>
        </w:rPr>
        <w:t xml:space="preserve">. Gdyby WIG20 doszedł do </w:t>
      </w:r>
      <w:r w:rsidRPr="00F958F6">
        <w:rPr>
          <w:b/>
          <w:sz w:val="26"/>
          <w:szCs w:val="26"/>
        </w:rPr>
        <w:t>1853,71 pkt</w:t>
      </w:r>
      <w:r>
        <w:rPr>
          <w:sz w:val="26"/>
          <w:szCs w:val="26"/>
        </w:rPr>
        <w:t xml:space="preserve">. pojawiałaby się szansa na wzrost indeksu do </w:t>
      </w:r>
      <w:r w:rsidRPr="00F958F6">
        <w:rPr>
          <w:b/>
          <w:sz w:val="26"/>
          <w:szCs w:val="26"/>
        </w:rPr>
        <w:t xml:space="preserve">1982,3 pkt. </w:t>
      </w:r>
    </w:p>
    <w:p w:rsidR="00BA6316" w:rsidRDefault="00BA6316" w:rsidP="00BA6316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BA6316" w:rsidRDefault="00BA6316" w:rsidP="00BA6316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  <w:lang w:eastAsia="pl-PL"/>
        </w:rPr>
      </w:pPr>
      <w:r>
        <w:rPr>
          <w:rFonts w:eastAsia="Times New Roman" w:cs="Times New Roman"/>
          <w:b/>
          <w:sz w:val="100"/>
          <w:szCs w:val="100"/>
          <w:lang w:eastAsia="pl-PL"/>
        </w:rPr>
        <w:t xml:space="preserve">Ile wynosiła średnia procentowa zmiana kursu akcji spółki po wprowadzeniu jej do rubryki </w:t>
      </w:r>
      <w:proofErr w:type="gramStart"/>
      <w:r>
        <w:rPr>
          <w:rFonts w:eastAsia="Times New Roman" w:cs="Times New Roman"/>
          <w:b/>
          <w:sz w:val="100"/>
          <w:szCs w:val="100"/>
          <w:lang w:eastAsia="pl-PL"/>
        </w:rPr>
        <w:t>,,</w:t>
      </w:r>
      <w:proofErr w:type="gramEnd"/>
      <w:r>
        <w:rPr>
          <w:rFonts w:eastAsia="Times New Roman" w:cs="Times New Roman"/>
          <w:b/>
          <w:sz w:val="100"/>
          <w:szCs w:val="100"/>
          <w:lang w:eastAsia="pl-PL"/>
        </w:rPr>
        <w:t>Wykres do przemyślenia” w okresie 12 pierwszych miesięcy po jej wprowadzeniu do tej rubryki ?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BA6316" w:rsidRDefault="00BA6316" w:rsidP="00BA631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 xml:space="preserve">Obliczenia według stanu na </w:t>
      </w:r>
      <w:r w:rsidR="0090365D">
        <w:rPr>
          <w:rFonts w:eastAsia="Times New Roman" w:cs="Times New Roman"/>
          <w:b/>
          <w:sz w:val="32"/>
          <w:szCs w:val="32"/>
          <w:u w:val="single"/>
          <w:lang w:eastAsia="pl-PL"/>
        </w:rPr>
        <w:t>22 lipca</w:t>
      </w: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 xml:space="preserve"> 2016 roku</w:t>
      </w:r>
    </w:p>
    <w:p w:rsidR="00BA6316" w:rsidRDefault="00BA6316" w:rsidP="00BA631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>
        <w:rPr>
          <w:rFonts w:eastAsia="Times New Roman" w:cs="Times New Roman"/>
          <w:b/>
          <w:sz w:val="32"/>
          <w:szCs w:val="32"/>
          <w:lang w:eastAsia="pl-PL"/>
        </w:rPr>
        <w:t xml:space="preserve">Wprowadzenie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Strona internetowa </w:t>
      </w:r>
      <w:hyperlink r:id="rId12" w:history="1">
        <w:r>
          <w:rPr>
            <w:rStyle w:val="Hipercze"/>
            <w:rFonts w:eastAsia="Times New Roman" w:cs="Times New Roman"/>
            <w:sz w:val="32"/>
            <w:szCs w:val="32"/>
            <w:lang w:eastAsia="pl-PL"/>
          </w:rPr>
          <w:t>http://analizy-rynkowe.pl/</w:t>
        </w:r>
      </w:hyperlink>
      <w:r>
        <w:rPr>
          <w:rFonts w:eastAsia="Times New Roman" w:cs="Times New Roman"/>
          <w:sz w:val="32"/>
          <w:szCs w:val="32"/>
          <w:lang w:eastAsia="pl-PL"/>
        </w:rPr>
        <w:t xml:space="preserve"> prowadzona jest od września 2014 roku.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Co tydzień publikowany jest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>Raport Tygodniowy”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Od czasu do czasu umieszczam wybrane spółki w rubryce </w:t>
      </w:r>
      <w:proofErr w:type="gramStart"/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>,,</w:t>
      </w:r>
      <w:proofErr w:type="gramEnd"/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Wykres do przemyślenia”.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Umieszczane są tam te przykładowe spółki, których kurs </w:t>
      </w: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wybił się z formacji podwójnego dna.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Formacja podwójnego dna ma </w:t>
      </w:r>
      <w:r>
        <w:rPr>
          <w:rFonts w:eastAsia="Times New Roman" w:cs="Times New Roman"/>
          <w:b/>
          <w:sz w:val="32"/>
          <w:szCs w:val="32"/>
          <w:lang w:eastAsia="pl-PL"/>
        </w:rPr>
        <w:t xml:space="preserve">2 </w:t>
      </w:r>
      <w:proofErr w:type="gramStart"/>
      <w:r>
        <w:rPr>
          <w:rFonts w:eastAsia="Times New Roman" w:cs="Times New Roman"/>
          <w:b/>
          <w:sz w:val="32"/>
          <w:szCs w:val="32"/>
          <w:lang w:eastAsia="pl-PL"/>
        </w:rPr>
        <w:t>,,</w:t>
      </w:r>
      <w:proofErr w:type="gramEnd"/>
      <w:r>
        <w:rPr>
          <w:rFonts w:eastAsia="Times New Roman" w:cs="Times New Roman"/>
          <w:b/>
          <w:sz w:val="32"/>
          <w:szCs w:val="32"/>
          <w:lang w:eastAsia="pl-PL"/>
        </w:rPr>
        <w:t xml:space="preserve">zadania”.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Podstawowym, minimalnym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zadaniem” tej formacji jest jej wypełnienie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Drugim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zadaniem” tej formacji jest doprowadzenie do zmiany trendu ze spadkowego na wzrostowy.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Osobiście wyróżniam </w:t>
      </w:r>
      <w:r>
        <w:rPr>
          <w:rFonts w:eastAsia="Times New Roman" w:cs="Times New Roman"/>
          <w:b/>
          <w:sz w:val="32"/>
          <w:szCs w:val="32"/>
          <w:lang w:eastAsia="pl-PL"/>
        </w:rPr>
        <w:t>typowe oraz nietypowe podwójne dno.</w:t>
      </w:r>
      <w:r>
        <w:rPr>
          <w:rFonts w:eastAsia="Times New Roman" w:cs="Times New Roman"/>
          <w:sz w:val="32"/>
          <w:szCs w:val="32"/>
          <w:lang w:eastAsia="pl-PL"/>
        </w:rPr>
        <w:t xml:space="preserve">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Typowa formacja podwójnego dna charakteryzuje się tym, że dołki w formacji kształtują się na poziomie identycznym, bądź prawie identycznym.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>Natomiast w przypadku nietypowej formacji podwójnego dna kształtują się one na poziomie zupełnie odmiennym.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>
        <w:rPr>
          <w:rFonts w:eastAsia="Times New Roman" w:cs="Times New Roman"/>
          <w:sz w:val="32"/>
          <w:szCs w:val="32"/>
          <w:lang w:eastAsia="pl-PL"/>
        </w:rPr>
        <w:t xml:space="preserve">Od pierwszego numeru </w:t>
      </w:r>
      <w:proofErr w:type="gramStart"/>
      <w:r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>
        <w:rPr>
          <w:rFonts w:eastAsia="Times New Roman" w:cs="Times New Roman"/>
          <w:sz w:val="32"/>
          <w:szCs w:val="32"/>
          <w:lang w:eastAsia="pl-PL"/>
        </w:rPr>
        <w:t xml:space="preserve">Raportu Tygodniowego” postanowiłem, że będę </w:t>
      </w:r>
      <w:r>
        <w:rPr>
          <w:rFonts w:eastAsia="Times New Roman" w:cs="Times New Roman"/>
          <w:b/>
          <w:sz w:val="32"/>
          <w:szCs w:val="32"/>
          <w:lang w:eastAsia="pl-PL"/>
        </w:rPr>
        <w:t>porównywał</w:t>
      </w:r>
      <w:r>
        <w:rPr>
          <w:rFonts w:eastAsia="Times New Roman" w:cs="Times New Roman"/>
          <w:sz w:val="32"/>
          <w:szCs w:val="32"/>
          <w:lang w:eastAsia="pl-PL"/>
        </w:rPr>
        <w:t xml:space="preserve"> zachowanie kursu akcji spółki po wprowadzeniu jej do rubryki ,,Wykres do przemyślenia” </w:t>
      </w:r>
      <w:r>
        <w:rPr>
          <w:rFonts w:eastAsia="Times New Roman" w:cs="Times New Roman"/>
          <w:b/>
          <w:sz w:val="32"/>
          <w:szCs w:val="32"/>
          <w:lang w:eastAsia="pl-PL"/>
        </w:rPr>
        <w:t xml:space="preserve">z zachowaniem indeksu WIG20.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 akcji czterech spółek, których akcje zostały wymienione w pierwszym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+15,2 %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+11,3 %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+55,4 %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+58,1 %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+35,0 %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 -15,5 %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drugim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-20,8 %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-20,8 %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-12,5 %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16 września na stronie internetowej </w:t>
      </w:r>
      <w:hyperlink r:id="rId13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15 września do 15 września 2015 roku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24,2 %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24,2 %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lastRenderedPageBreak/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-12,2 %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trzecim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2,3 %</w:t>
            </w:r>
          </w:p>
        </w:tc>
      </w:tr>
      <w:tr w:rsidR="00BA6316" w:rsidTr="001A2A91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2,3 %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-13,2 %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25 września na stronie internetowej </w:t>
      </w:r>
      <w:hyperlink r:id="rId14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24 września 2014 roku do 24 września 2015 roku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+29,7 %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+29,7 %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-15,8 %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 akcji trzech spółek, których akcje zostały wymienione w czwartym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+19,9 %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>spółki  CD</w:t>
            </w:r>
            <w:proofErr w:type="gramEnd"/>
            <w:r>
              <w:rPr>
                <w:rFonts w:eastAsiaTheme="minorEastAsia"/>
                <w:lang w:eastAsia="pl-PL"/>
              </w:rP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+61,5 %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Sygnity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- 49,9 %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+10,5% 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- 15,8 %</w:t>
            </w:r>
          </w:p>
        </w:tc>
      </w:tr>
    </w:tbl>
    <w:p w:rsidR="00BA6316" w:rsidRDefault="00BA6316" w:rsidP="00BA631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piątym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+13,9 %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+13,9 %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-16,7 %</w:t>
            </w:r>
          </w:p>
        </w:tc>
      </w:tr>
    </w:tbl>
    <w:p w:rsidR="00BA6316" w:rsidRDefault="00BA6316" w:rsidP="00BA631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szóstym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Tauron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-38,0 %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-38,0 %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-11,6 %</w:t>
            </w:r>
          </w:p>
        </w:tc>
      </w:tr>
    </w:tbl>
    <w:p w:rsidR="00BA6316" w:rsidRDefault="00BA6316" w:rsidP="00BA6316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22 października na stronie internetowej </w:t>
      </w:r>
      <w:hyperlink r:id="rId1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21 października do 19 czerwca 2015 roku do 21 października 2015 roku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Elektrotim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+ 114,5 %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-3,3 %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+ 55,6 %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2 105,65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siódmym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Tesgas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-14,4 %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-14,4 %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2 107,43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12,83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-19,8 %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-19,8 %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-16,4 %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1 grudnia 2014 roku w rubryce ,,Wykres do przemyślenia” w okresie od 28 listopada 2014 roku do 27 listopada 2015 roku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+73,6 %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+73,6 %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1 936,05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-19,9 %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 grudnia na stronie internetowej </w:t>
      </w:r>
      <w:hyperlink r:id="rId1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 grudnia 2014 roku do 1 grudnia 2015 roku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-27,8 %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-27,8 %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1 923,94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-20,4 %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lang w:eastAsia="pl-PL"/>
        </w:rPr>
        <w:t>,,</w:t>
      </w:r>
      <w:proofErr w:type="gramEnd"/>
      <w:r>
        <w:rPr>
          <w:rFonts w:eastAsia="Times New Roman" w:cs="Times New Roman"/>
          <w:lang w:eastAsia="pl-PL"/>
        </w:rPr>
        <w:t xml:space="preserve">Raportu Tygodniowego” z 15 grudnia 2014 roku w rubryce ,,Wykres do przemyślenia” w okresie od 12 grudnia 2014 roku do 11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Mercor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8,60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+5,7 %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+5,7 %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1 757,37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  25,5 %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7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30 grudnia 2014 roku do 23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114,05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-1,3 %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-1,3 %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1 859,15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-19,7  %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8" w:history="1">
        <w:r>
          <w:rPr>
            <w:rStyle w:val="Hipercze"/>
            <w:rFonts w:eastAsia="Times New Roman" w:cs="Times New Roman"/>
            <w:lang w:eastAsia="pl-PL"/>
          </w:rPr>
          <w:t>www.analizy-rynkowe.</w:t>
        </w:r>
        <w:proofErr w:type="gramStart"/>
        <w:r>
          <w:rPr>
            <w:rStyle w:val="Hipercze"/>
            <w:rFonts w:eastAsia="Times New Roman" w:cs="Times New Roman"/>
            <w:lang w:eastAsia="pl-PL"/>
          </w:rPr>
          <w:t>pl</w:t>
        </w:r>
      </w:hyperlink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9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stycznia 2015 roku do 8 stycznia 2016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-15,0 %0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-15,0 %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1 725,14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-28,6 %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30 stycznia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20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29 stycznia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0,78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-29,7 %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-29,7 %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-26,3 %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10 lutego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1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9 lutego 2015 roku do 9 lutego 2016 roku  oraz procentowa zmiana indeksu WIG 20 w tym okresie.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-11,1 %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-11,1 %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1 790,87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-24,5%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3 marca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2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2 marca 2015 roku do 2 marca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14,38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+90,0 %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+90,0 %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-21,8 %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lastRenderedPageBreak/>
        <w:t xml:space="preserve">Tabela: Procentowa zmiana ceny akcji spółki, której akcje zostały umieszczone 9 kwietnia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3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8 kwietnia 2015 roku do 8 kwietnia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+15,2 %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+15,2 %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-20,8 %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5 maja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4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5 maja 2015 roku do 5 maja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04.05.2016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12,96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+16,8 %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+16,8 %</w:t>
            </w:r>
          </w:p>
        </w:tc>
      </w:tr>
      <w:tr w:rsidR="00BA6316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1 865,25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-26,1 %</w:t>
            </w:r>
          </w:p>
        </w:tc>
      </w:tr>
    </w:tbl>
    <w:p w:rsidR="00BA6316" w:rsidRPr="00EB5398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EB5398">
        <w:rPr>
          <w:rFonts w:eastAsia="Times New Roman" w:cs="Times New Roman"/>
          <w:sz w:val="32"/>
          <w:szCs w:val="32"/>
          <w:lang w:eastAsia="pl-PL"/>
        </w:rPr>
        <w:t xml:space="preserve">Tabela: Procentowa zmiana cen akcji trzech spółek, których akcje zostały umieszczone w dniu 1 lipca na stronie internetowej </w:t>
      </w:r>
      <w:hyperlink r:id="rId25" w:history="1">
        <w:r w:rsidRPr="00EB5398">
          <w:rPr>
            <w:rFonts w:eastAsia="Times New Roman" w:cs="Times New Roman"/>
            <w:color w:val="0000FF" w:themeColor="hyperlink"/>
            <w:sz w:val="32"/>
            <w:szCs w:val="32"/>
            <w:u w:val="single"/>
            <w:lang w:eastAsia="pl-PL"/>
          </w:rPr>
          <w:t>http://analizy-rynkowe.pl/</w:t>
        </w:r>
      </w:hyperlink>
      <w:r w:rsidRPr="00EB5398">
        <w:rPr>
          <w:rFonts w:eastAsia="Times New Roman" w:cs="Times New Roman"/>
          <w:sz w:val="32"/>
          <w:szCs w:val="32"/>
          <w:lang w:eastAsia="pl-PL"/>
        </w:rPr>
        <w:t xml:space="preserve"> w rubryce ,,Wykres do przemyślenia” w okresie od 30 czerwca 2015 roku </w:t>
      </w:r>
      <w:r w:rsidRPr="00EB5398">
        <w:rPr>
          <w:rFonts w:eastAsia="Times New Roman" w:cs="Times New Roman"/>
          <w:sz w:val="30"/>
          <w:szCs w:val="30"/>
          <w:lang w:eastAsia="pl-PL"/>
        </w:rPr>
        <w:t xml:space="preserve">do </w:t>
      </w:r>
      <w:r>
        <w:rPr>
          <w:rFonts w:eastAsia="Times New Roman" w:cs="Times New Roman"/>
          <w:sz w:val="30"/>
          <w:szCs w:val="30"/>
          <w:lang w:eastAsia="pl-PL"/>
        </w:rPr>
        <w:t xml:space="preserve">30 czerwca </w:t>
      </w:r>
      <w:r w:rsidRPr="00EB5398">
        <w:rPr>
          <w:rFonts w:eastAsia="Times New Roman" w:cs="Times New Roman"/>
          <w:sz w:val="30"/>
          <w:szCs w:val="30"/>
          <w:lang w:eastAsia="pl-PL"/>
        </w:rPr>
        <w:t xml:space="preserve">2016 </w:t>
      </w:r>
      <w:proofErr w:type="gramStart"/>
      <w:r w:rsidRPr="00EB5398">
        <w:rPr>
          <w:rFonts w:eastAsia="Times New Roman" w:cs="Times New Roman"/>
          <w:sz w:val="30"/>
          <w:szCs w:val="30"/>
          <w:lang w:eastAsia="pl-PL"/>
        </w:rPr>
        <w:t xml:space="preserve">roku  </w:t>
      </w:r>
      <w:r w:rsidRPr="00EB5398">
        <w:rPr>
          <w:rFonts w:eastAsia="Times New Roman" w:cs="Times New Roman"/>
          <w:sz w:val="32"/>
          <w:szCs w:val="32"/>
          <w:lang w:eastAsia="pl-PL"/>
        </w:rPr>
        <w:t>oraz</w:t>
      </w:r>
      <w:proofErr w:type="gramEnd"/>
      <w:r w:rsidRPr="00EB5398">
        <w:rPr>
          <w:rFonts w:eastAsia="Times New Roman" w:cs="Times New Roman"/>
          <w:sz w:val="32"/>
          <w:szCs w:val="32"/>
          <w:lang w:eastAsia="pl-PL"/>
        </w:rPr>
        <w:t xml:space="preserve">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 xml:space="preserve">Poziom – </w:t>
            </w:r>
            <w:r>
              <w:rPr>
                <w:rFonts w:eastAsiaTheme="minorEastAsia"/>
                <w:lang w:eastAsia="pl-PL"/>
              </w:rPr>
              <w:t>30</w:t>
            </w:r>
            <w:r w:rsidRPr="00EB5398">
              <w:rPr>
                <w:rFonts w:eastAsiaTheme="minorEastAsia"/>
                <w:lang w:eastAsia="pl-PL"/>
              </w:rPr>
              <w:t>.0</w:t>
            </w:r>
            <w:r>
              <w:rPr>
                <w:rFonts w:eastAsiaTheme="minorEastAsia"/>
                <w:lang w:eastAsia="pl-PL"/>
              </w:rPr>
              <w:t>6</w:t>
            </w:r>
            <w:r w:rsidRPr="00EB5398">
              <w:rPr>
                <w:rFonts w:eastAsiaTheme="minorEastAsia"/>
                <w:lang w:eastAsia="pl-PL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</w:t>
            </w:r>
            <w:r w:rsidRPr="00EB5398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35</w:t>
            </w:r>
            <w:r w:rsidRPr="00EB5398">
              <w:rPr>
                <w:rFonts w:eastAsiaTheme="minorEastAsia"/>
                <w:lang w:eastAsia="pl-PL"/>
              </w:rP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19,6</w:t>
            </w:r>
            <w:r w:rsidRPr="00EB5398">
              <w:rPr>
                <w:rFonts w:eastAsiaTheme="minorEastAsia"/>
                <w:lang w:eastAsia="pl-PL"/>
              </w:rPr>
              <w:t xml:space="preserve"> %</w:t>
            </w:r>
          </w:p>
        </w:tc>
      </w:tr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 w:rsidRPr="00EB5398"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 w:rsidRPr="00EB5398">
              <w:rPr>
                <w:rFonts w:eastAsiaTheme="minorEastAsia"/>
                <w:lang w:eastAsia="pl-PL"/>
              </w:rPr>
              <w:t>Unima</w:t>
            </w:r>
            <w:proofErr w:type="spellEnd"/>
            <w:proofErr w:type="gramEnd"/>
            <w:r w:rsidRPr="00EB5398">
              <w:rPr>
                <w:rFonts w:eastAsiaTheme="minorEastAsia"/>
                <w:lang w:eastAsia="pl-PL"/>
              </w:rP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2,</w:t>
            </w:r>
            <w:r>
              <w:rPr>
                <w:rFonts w:eastAsiaTheme="minorEastAsia"/>
                <w:lang w:eastAsia="pl-PL"/>
              </w:rPr>
              <w:t>48</w:t>
            </w:r>
            <w:r w:rsidRPr="00EB5398">
              <w:rPr>
                <w:rFonts w:eastAsiaTheme="minorEastAsia"/>
                <w:lang w:eastAsia="pl-PL"/>
              </w:rP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-</w:t>
            </w:r>
            <w:r>
              <w:rPr>
                <w:rFonts w:eastAsiaTheme="minorEastAsia"/>
                <w:lang w:eastAsia="pl-PL"/>
              </w:rPr>
              <w:t>3</w:t>
            </w:r>
            <w:r w:rsidRPr="00EB5398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9</w:t>
            </w:r>
            <w:r w:rsidRPr="00EB5398">
              <w:rPr>
                <w:rFonts w:eastAsiaTheme="minorEastAsia"/>
                <w:lang w:eastAsia="pl-PL"/>
              </w:rPr>
              <w:t xml:space="preserve"> %</w:t>
            </w:r>
          </w:p>
        </w:tc>
      </w:tr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 w:rsidRPr="00EB5398">
              <w:rPr>
                <w:rFonts w:eastAsiaTheme="minorEastAsia"/>
                <w:lang w:eastAsia="pl-PL"/>
              </w:rPr>
              <w:t>Variant</w:t>
            </w:r>
            <w:proofErr w:type="spellEnd"/>
            <w:r w:rsidRPr="00EB5398"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1,68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-5,1  %</w:t>
            </w:r>
          </w:p>
        </w:tc>
      </w:tr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EB5398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3</w:t>
            </w:r>
            <w:r w:rsidRPr="00EB5398">
              <w:rPr>
                <w:rFonts w:eastAsiaTheme="minorEastAsia"/>
                <w:b/>
                <w:color w:val="FF0000"/>
                <w:lang w:eastAsia="pl-PL"/>
              </w:rPr>
              <w:t>,</w:t>
            </w:r>
            <w:r>
              <w:rPr>
                <w:rFonts w:eastAsiaTheme="minorEastAsia"/>
                <w:b/>
                <w:color w:val="FF0000"/>
                <w:lang w:eastAsia="pl-PL"/>
              </w:rPr>
              <w:t>5</w:t>
            </w:r>
            <w:r w:rsidRPr="00EB5398">
              <w:rPr>
                <w:rFonts w:eastAsiaTheme="minorEastAsia"/>
                <w:b/>
                <w:color w:val="FF0000"/>
                <w:lang w:eastAsia="pl-PL"/>
              </w:rPr>
              <w:t xml:space="preserve">  %</w:t>
            </w:r>
          </w:p>
        </w:tc>
      </w:tr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 xml:space="preserve">2317,84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1 </w:t>
            </w:r>
            <w:r>
              <w:rPr>
                <w:rFonts w:eastAsiaTheme="minorEastAsia"/>
                <w:lang w:eastAsia="pl-PL"/>
              </w:rPr>
              <w:t>750</w:t>
            </w:r>
            <w:r w:rsidRPr="00EB5398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69</w:t>
            </w:r>
            <w:r w:rsidRPr="00EB5398"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-</w:t>
            </w:r>
            <w:r>
              <w:rPr>
                <w:rFonts w:eastAsiaTheme="minorEastAsia"/>
                <w:lang w:eastAsia="pl-PL"/>
              </w:rPr>
              <w:t>24</w:t>
            </w:r>
            <w:r w:rsidRPr="00EB5398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5</w:t>
            </w:r>
            <w:r w:rsidRPr="00EB5398">
              <w:rPr>
                <w:rFonts w:eastAsiaTheme="minorEastAsia"/>
                <w:lang w:eastAsia="pl-PL"/>
              </w:rPr>
              <w:t xml:space="preserve"> %</w:t>
            </w:r>
          </w:p>
        </w:tc>
      </w:tr>
    </w:tbl>
    <w:p w:rsidR="00BA6316" w:rsidRPr="00EB5398" w:rsidRDefault="00BA6316" w:rsidP="00BA631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EB5398">
        <w:rPr>
          <w:rFonts w:eastAsia="Times New Roman" w:cs="Times New Roman"/>
          <w:sz w:val="28"/>
          <w:szCs w:val="28"/>
          <w:lang w:eastAsia="pl-PL"/>
        </w:rPr>
        <w:lastRenderedPageBreak/>
        <w:t xml:space="preserve">Tabela: Procentowa zmiana ceny akcji spółki, której akcje zostały umieszczone 21 lipca 2015 roku </w:t>
      </w:r>
      <w:proofErr w:type="gramStart"/>
      <w:r w:rsidRPr="00EB5398">
        <w:rPr>
          <w:rFonts w:eastAsia="Times New Roman" w:cs="Times New Roman"/>
          <w:sz w:val="28"/>
          <w:szCs w:val="28"/>
          <w:lang w:eastAsia="pl-PL"/>
        </w:rPr>
        <w:t>na  stronie</w:t>
      </w:r>
      <w:proofErr w:type="gramEnd"/>
      <w:r w:rsidRPr="00EB5398">
        <w:rPr>
          <w:rFonts w:eastAsia="Times New Roman" w:cs="Times New Roman"/>
          <w:sz w:val="28"/>
          <w:szCs w:val="28"/>
          <w:lang w:eastAsia="pl-PL"/>
        </w:rPr>
        <w:t xml:space="preserve"> internetowej </w:t>
      </w:r>
      <w:hyperlink r:id="rId26" w:history="1">
        <w:r w:rsidRPr="00EB5398">
          <w:rPr>
            <w:rFonts w:eastAsia="Times New Roman" w:cs="Times New Roman"/>
            <w:color w:val="0000FF" w:themeColor="hyperlink"/>
            <w:sz w:val="28"/>
            <w:szCs w:val="28"/>
            <w:u w:val="single"/>
            <w:lang w:eastAsia="pl-PL"/>
          </w:rPr>
          <w:t>www.analizy-rynkowe.pl</w:t>
        </w:r>
      </w:hyperlink>
      <w:r w:rsidRPr="00EB5398">
        <w:rPr>
          <w:rFonts w:eastAsia="Times New Roman" w:cs="Times New Roman"/>
          <w:sz w:val="28"/>
          <w:szCs w:val="28"/>
          <w:lang w:eastAsia="pl-PL"/>
        </w:rPr>
        <w:t xml:space="preserve"> w </w:t>
      </w:r>
      <w:proofErr w:type="gramStart"/>
      <w:r w:rsidRPr="00EB5398">
        <w:rPr>
          <w:rFonts w:eastAsia="Times New Roman" w:cs="Times New Roman"/>
          <w:sz w:val="28"/>
          <w:szCs w:val="28"/>
          <w:lang w:eastAsia="pl-PL"/>
        </w:rPr>
        <w:t>rubryce  ,,Wykres</w:t>
      </w:r>
      <w:proofErr w:type="gramEnd"/>
      <w:r w:rsidRPr="00EB5398">
        <w:rPr>
          <w:rFonts w:eastAsia="Times New Roman" w:cs="Times New Roman"/>
          <w:sz w:val="28"/>
          <w:szCs w:val="28"/>
          <w:lang w:eastAsia="pl-PL"/>
        </w:rPr>
        <w:t xml:space="preserve"> do przemyślenia” w okresie od 2</w:t>
      </w:r>
      <w:r>
        <w:rPr>
          <w:rFonts w:eastAsia="Times New Roman" w:cs="Times New Roman"/>
          <w:sz w:val="28"/>
          <w:szCs w:val="28"/>
          <w:lang w:eastAsia="pl-PL"/>
        </w:rPr>
        <w:t>0</w:t>
      </w:r>
      <w:r w:rsidRPr="00EB5398">
        <w:rPr>
          <w:rFonts w:eastAsia="Times New Roman" w:cs="Times New Roman"/>
          <w:sz w:val="28"/>
          <w:szCs w:val="28"/>
          <w:lang w:eastAsia="pl-PL"/>
        </w:rPr>
        <w:t xml:space="preserve"> lipca 2015 roku </w:t>
      </w:r>
      <w:r w:rsidRPr="00EB5398">
        <w:rPr>
          <w:rFonts w:eastAsia="Times New Roman" w:cs="Times New Roman"/>
          <w:sz w:val="30"/>
          <w:szCs w:val="30"/>
          <w:lang w:eastAsia="pl-PL"/>
        </w:rPr>
        <w:t xml:space="preserve">do </w:t>
      </w:r>
      <w:r>
        <w:rPr>
          <w:rFonts w:eastAsia="Times New Roman" w:cs="Times New Roman"/>
          <w:sz w:val="30"/>
          <w:szCs w:val="30"/>
          <w:lang w:eastAsia="pl-PL"/>
        </w:rPr>
        <w:t xml:space="preserve">20 lipca </w:t>
      </w:r>
      <w:r w:rsidRPr="00EB5398">
        <w:rPr>
          <w:rFonts w:eastAsia="Times New Roman" w:cs="Times New Roman"/>
          <w:sz w:val="30"/>
          <w:szCs w:val="30"/>
          <w:lang w:eastAsia="pl-PL"/>
        </w:rPr>
        <w:t xml:space="preserve">kwietnia 2016 roku    </w:t>
      </w:r>
      <w:r w:rsidRPr="00EB5398">
        <w:rPr>
          <w:rFonts w:eastAsia="Times New Roman" w:cs="Times New Roman"/>
          <w:sz w:val="28"/>
          <w:szCs w:val="28"/>
          <w:lang w:eastAsia="pl-PL"/>
        </w:rPr>
        <w:t xml:space="preserve">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Poziom – 2</w:t>
            </w:r>
            <w:r>
              <w:rPr>
                <w:rFonts w:eastAsiaTheme="minorEastAsia"/>
                <w:lang w:eastAsia="pl-PL"/>
              </w:rPr>
              <w:t>0</w:t>
            </w:r>
            <w:r w:rsidRPr="00EB5398">
              <w:rPr>
                <w:rFonts w:eastAsiaTheme="minorEastAsia"/>
                <w:lang w:eastAsia="pl-PL"/>
              </w:rPr>
              <w:t>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Poziom – 2</w:t>
            </w:r>
            <w:r>
              <w:rPr>
                <w:rFonts w:eastAsiaTheme="minorEastAsia"/>
                <w:lang w:eastAsia="pl-PL"/>
              </w:rPr>
              <w:t>0</w:t>
            </w:r>
            <w:r w:rsidRPr="00EB5398">
              <w:rPr>
                <w:rFonts w:eastAsiaTheme="minorEastAsia"/>
                <w:lang w:eastAsia="pl-PL"/>
              </w:rPr>
              <w:t>.07.201</w:t>
            </w:r>
            <w:r>
              <w:rPr>
                <w:rFonts w:eastAsiaTheme="minorEastAsia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2</w:t>
            </w:r>
            <w:r>
              <w:rPr>
                <w:rFonts w:eastAsiaTheme="minorEastAsia"/>
                <w:lang w:eastAsia="pl-PL"/>
              </w:rPr>
              <w:t>0</w:t>
            </w:r>
            <w:r w:rsidRPr="00EB5398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30</w:t>
            </w:r>
            <w:r w:rsidRPr="00EB5398">
              <w:rPr>
                <w:rFonts w:eastAsiaTheme="minorEastAsia"/>
                <w:lang w:eastAsia="pl-PL"/>
              </w:rP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-2,4</w:t>
            </w:r>
            <w:r w:rsidRPr="00EB5398">
              <w:rPr>
                <w:rFonts w:eastAsiaTheme="minorEastAsia"/>
                <w:lang w:eastAsia="pl-PL"/>
              </w:rPr>
              <w:t xml:space="preserve"> %</w:t>
            </w:r>
          </w:p>
        </w:tc>
      </w:tr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EB5398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-2,4</w:t>
            </w:r>
            <w:r w:rsidRPr="00EB5398">
              <w:rPr>
                <w:rFonts w:eastAsiaTheme="minorEastAsia"/>
                <w:b/>
                <w:color w:val="FF0000"/>
                <w:lang w:eastAsia="pl-PL"/>
              </w:rPr>
              <w:t>%</w:t>
            </w:r>
          </w:p>
        </w:tc>
      </w:tr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 xml:space="preserve">2 444,63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1</w:t>
            </w:r>
            <w:r>
              <w:rPr>
                <w:rFonts w:eastAsiaTheme="minorEastAsia"/>
                <w:lang w:eastAsia="pl-PL"/>
              </w:rPr>
              <w:t xml:space="preserve"> 800,41 </w:t>
            </w:r>
            <w:r w:rsidRPr="00EB5398">
              <w:rPr>
                <w:rFonts w:eastAsiaTheme="minorEastAsia"/>
                <w:lang w:eastAsia="pl-PL"/>
              </w:rPr>
              <w:t>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-19,8</w:t>
            </w:r>
            <w:r w:rsidRPr="00EB5398">
              <w:rPr>
                <w:rFonts w:eastAsiaTheme="minorEastAsia"/>
                <w:lang w:eastAsia="pl-PL"/>
              </w:rPr>
              <w:t xml:space="preserve">  %</w:t>
            </w:r>
          </w:p>
        </w:tc>
      </w:tr>
    </w:tbl>
    <w:p w:rsidR="00BA6316" w:rsidRPr="00EB5398" w:rsidRDefault="00BA6316" w:rsidP="00BA6316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EB5398">
        <w:rPr>
          <w:rFonts w:eastAsia="Times New Roman" w:cs="Times New Roman"/>
          <w:sz w:val="32"/>
          <w:szCs w:val="32"/>
          <w:lang w:eastAsia="pl-PL"/>
        </w:rPr>
        <w:t xml:space="preserve">Tabela: Procentowa zmiana ceny akcji spółki, której akcje zostały umieszczone 23 lipca 2015 roku </w:t>
      </w:r>
      <w:proofErr w:type="gramStart"/>
      <w:r w:rsidRPr="00EB5398">
        <w:rPr>
          <w:rFonts w:eastAsia="Times New Roman" w:cs="Times New Roman"/>
          <w:sz w:val="32"/>
          <w:szCs w:val="32"/>
          <w:lang w:eastAsia="pl-PL"/>
        </w:rPr>
        <w:t>na  stronie</w:t>
      </w:r>
      <w:proofErr w:type="gramEnd"/>
      <w:r w:rsidRPr="00EB5398">
        <w:rPr>
          <w:rFonts w:eastAsia="Times New Roman" w:cs="Times New Roman"/>
          <w:sz w:val="32"/>
          <w:szCs w:val="32"/>
          <w:lang w:eastAsia="pl-PL"/>
        </w:rPr>
        <w:t xml:space="preserve"> internetowej </w:t>
      </w:r>
      <w:hyperlink r:id="rId27" w:history="1">
        <w:r w:rsidRPr="00EB5398">
          <w:rPr>
            <w:rFonts w:eastAsia="Times New Roman" w:cs="Times New Roman"/>
            <w:color w:val="0000FF" w:themeColor="hyperlink"/>
            <w:sz w:val="32"/>
            <w:szCs w:val="32"/>
            <w:u w:val="single"/>
            <w:lang w:eastAsia="pl-PL"/>
          </w:rPr>
          <w:t>www.analizy-rynkowe.pl</w:t>
        </w:r>
      </w:hyperlink>
      <w:r w:rsidRPr="00EB5398">
        <w:rPr>
          <w:rFonts w:eastAsia="Times New Roman" w:cs="Times New Roman"/>
          <w:sz w:val="32"/>
          <w:szCs w:val="32"/>
          <w:lang w:eastAsia="pl-PL"/>
        </w:rPr>
        <w:t xml:space="preserve"> w </w:t>
      </w:r>
      <w:proofErr w:type="gramStart"/>
      <w:r w:rsidRPr="00EB5398">
        <w:rPr>
          <w:rFonts w:eastAsia="Times New Roman" w:cs="Times New Roman"/>
          <w:sz w:val="32"/>
          <w:szCs w:val="32"/>
          <w:lang w:eastAsia="pl-PL"/>
        </w:rPr>
        <w:t>rubryce  ,,Wykres</w:t>
      </w:r>
      <w:proofErr w:type="gramEnd"/>
      <w:r w:rsidRPr="00EB5398">
        <w:rPr>
          <w:rFonts w:eastAsia="Times New Roman" w:cs="Times New Roman"/>
          <w:sz w:val="32"/>
          <w:szCs w:val="32"/>
          <w:lang w:eastAsia="pl-PL"/>
        </w:rPr>
        <w:t xml:space="preserve"> do przemyślenia” w okresie od 22 lipca 2015 roku </w:t>
      </w:r>
      <w:r w:rsidRPr="00EB5398">
        <w:rPr>
          <w:rFonts w:eastAsia="Times New Roman" w:cs="Times New Roman"/>
          <w:sz w:val="30"/>
          <w:szCs w:val="30"/>
          <w:lang w:eastAsia="pl-PL"/>
        </w:rPr>
        <w:t xml:space="preserve">do 1 kwietnia 2016 roku  </w:t>
      </w:r>
      <w:r w:rsidRPr="00EB5398">
        <w:rPr>
          <w:rFonts w:eastAsia="Times New Roman" w:cs="Times New Roman"/>
          <w:sz w:val="32"/>
          <w:szCs w:val="32"/>
          <w:lang w:eastAsia="pl-PL"/>
        </w:rPr>
        <w:t xml:space="preserve">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22.07.2016</w:t>
            </w:r>
          </w:p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Zmiana (w %)</w:t>
            </w:r>
          </w:p>
        </w:tc>
      </w:tr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45</w:t>
            </w:r>
            <w:r w:rsidRPr="00EB5398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38</w:t>
            </w:r>
            <w:r w:rsidRPr="00EB5398">
              <w:rPr>
                <w:rFonts w:eastAsiaTheme="minorEastAsia"/>
                <w:lang w:eastAsia="pl-PL"/>
              </w:rPr>
              <w:t xml:space="preserve">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+29,4 %</w:t>
            </w:r>
          </w:p>
        </w:tc>
      </w:tr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EB5398"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 w:rsidRPr="00EB5398">
              <w:rPr>
                <w:rFonts w:eastAsiaTheme="minorEastAsia"/>
                <w:b/>
                <w:color w:val="FF0000"/>
                <w:lang w:eastAsia="pl-PL"/>
              </w:rPr>
              <w:t>+29,4%</w:t>
            </w:r>
          </w:p>
        </w:tc>
      </w:tr>
      <w:tr w:rsidR="00BA6316" w:rsidRPr="00EB5398" w:rsidTr="001A2A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 xml:space="preserve">2 185,83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b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1 </w:t>
            </w:r>
            <w:r>
              <w:rPr>
                <w:rFonts w:eastAsiaTheme="minorEastAsia"/>
                <w:lang w:eastAsia="pl-PL"/>
              </w:rPr>
              <w:t>792</w:t>
            </w:r>
            <w:r w:rsidRPr="00EB5398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97</w:t>
            </w:r>
            <w:r w:rsidRPr="00EB5398">
              <w:rPr>
                <w:rFonts w:eastAsiaTheme="minorEastAsia"/>
                <w:lang w:eastAsia="pl-PL"/>
              </w:rPr>
              <w:t xml:space="preserve">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316" w:rsidRPr="00EB5398" w:rsidRDefault="00BA6316" w:rsidP="001A2A91">
            <w:pPr>
              <w:jc w:val="center"/>
              <w:rPr>
                <w:rFonts w:eastAsiaTheme="minorEastAsia"/>
                <w:lang w:eastAsia="pl-PL"/>
              </w:rPr>
            </w:pPr>
            <w:r w:rsidRPr="00EB5398">
              <w:rPr>
                <w:rFonts w:eastAsiaTheme="minorEastAsia"/>
                <w:lang w:eastAsia="pl-PL"/>
              </w:rPr>
              <w:t>-</w:t>
            </w:r>
            <w:r>
              <w:rPr>
                <w:rFonts w:eastAsiaTheme="minorEastAsia"/>
                <w:lang w:eastAsia="pl-PL"/>
              </w:rPr>
              <w:t>18</w:t>
            </w:r>
            <w:r w:rsidRPr="00EB5398">
              <w:rPr>
                <w:rFonts w:eastAsiaTheme="minorEastAsia"/>
                <w:lang w:eastAsia="pl-PL"/>
              </w:rPr>
              <w:t>,</w:t>
            </w:r>
            <w:r>
              <w:rPr>
                <w:rFonts w:eastAsiaTheme="minorEastAsia"/>
                <w:lang w:eastAsia="pl-PL"/>
              </w:rPr>
              <w:t>0</w:t>
            </w:r>
            <w:r w:rsidRPr="00EB5398">
              <w:rPr>
                <w:rFonts w:eastAsiaTheme="minorEastAsia"/>
                <w:lang w:eastAsia="pl-PL"/>
              </w:rPr>
              <w:t xml:space="preserve"> %</w:t>
            </w:r>
          </w:p>
        </w:tc>
      </w:tr>
    </w:tbl>
    <w:p w:rsidR="00BA6316" w:rsidRDefault="00BA6316" w:rsidP="00BA6316">
      <w:pPr>
        <w:spacing w:after="0" w:line="240" w:lineRule="auto"/>
        <w:jc w:val="both"/>
        <w:rPr>
          <w:rFonts w:ascii="Calibri" w:eastAsia="Times New Roman" w:hAnsi="Calibri" w:cs="Times New Roman"/>
          <w:sz w:val="40"/>
          <w:szCs w:val="40"/>
          <w:u w:val="single"/>
          <w:lang w:eastAsia="pl-PL"/>
        </w:rPr>
      </w:pPr>
    </w:p>
    <w:p w:rsidR="00BA6316" w:rsidRPr="00EB5398" w:rsidRDefault="00BA6316" w:rsidP="00BA6316">
      <w:pPr>
        <w:spacing w:after="0" w:line="240" w:lineRule="auto"/>
        <w:jc w:val="both"/>
        <w:rPr>
          <w:rFonts w:ascii="Calibri" w:eastAsia="Times New Roman" w:hAnsi="Calibri" w:cs="Times New Roman"/>
          <w:sz w:val="44"/>
          <w:szCs w:val="44"/>
          <w:u w:val="single"/>
          <w:lang w:eastAsia="pl-PL"/>
        </w:rPr>
      </w:pPr>
      <w:r w:rsidRPr="00EB5398">
        <w:rPr>
          <w:rFonts w:ascii="Calibri" w:eastAsia="Times New Roman" w:hAnsi="Calibri" w:cs="Times New Roman"/>
          <w:sz w:val="44"/>
          <w:szCs w:val="44"/>
          <w:u w:val="single"/>
          <w:lang w:eastAsia="pl-PL"/>
        </w:rPr>
        <w:t>Wniosek końcowy z powyższych rozważań brzmi następująco:</w:t>
      </w:r>
    </w:p>
    <w:p w:rsidR="00BA6316" w:rsidRPr="00EB5398" w:rsidRDefault="00BA6316" w:rsidP="00BA6316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44"/>
          <w:szCs w:val="44"/>
          <w:u w:val="single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44"/>
          <w:szCs w:val="44"/>
          <w:u w:val="single"/>
          <w:lang w:eastAsia="pl-PL"/>
        </w:rPr>
      </w:pPr>
      <w:r w:rsidRPr="00EB5398">
        <w:rPr>
          <w:rFonts w:ascii="Calibri" w:eastAsia="Times New Roman" w:hAnsi="Calibri" w:cs="Times New Roman"/>
          <w:color w:val="000000"/>
          <w:sz w:val="44"/>
          <w:szCs w:val="44"/>
          <w:lang w:eastAsia="pl-PL"/>
        </w:rPr>
        <w:t xml:space="preserve">Średnia procentowa zmiana kursu akcji spółki po wprowadzeniu jej do rubryki </w:t>
      </w:r>
      <w:proofErr w:type="gramStart"/>
      <w:r w:rsidRPr="00EB5398">
        <w:rPr>
          <w:rFonts w:ascii="Calibri" w:eastAsia="Times New Roman" w:hAnsi="Calibri" w:cs="Times New Roman"/>
          <w:b/>
          <w:color w:val="FF0000"/>
          <w:sz w:val="44"/>
          <w:szCs w:val="44"/>
          <w:lang w:eastAsia="pl-PL"/>
        </w:rPr>
        <w:t>,,</w:t>
      </w:r>
      <w:proofErr w:type="gramEnd"/>
      <w:r w:rsidRPr="00EB5398">
        <w:rPr>
          <w:rFonts w:ascii="Calibri" w:eastAsia="Times New Roman" w:hAnsi="Calibri" w:cs="Times New Roman"/>
          <w:b/>
          <w:color w:val="FF0000"/>
          <w:sz w:val="44"/>
          <w:szCs w:val="44"/>
          <w:lang w:eastAsia="pl-PL"/>
        </w:rPr>
        <w:t>Wykres do przemyślenia”</w:t>
      </w:r>
      <w:r w:rsidRPr="00EB5398">
        <w:rPr>
          <w:rFonts w:ascii="Calibri" w:eastAsia="Times New Roman" w:hAnsi="Calibri" w:cs="Times New Roman"/>
          <w:color w:val="000000"/>
          <w:sz w:val="44"/>
          <w:szCs w:val="44"/>
          <w:lang w:eastAsia="pl-PL"/>
        </w:rPr>
        <w:t xml:space="preserve"> w okresie 12 pierwszych miesięcy po jej wprowadzeniu do tej rubryki wynosiła </w:t>
      </w:r>
      <w:r w:rsidRPr="00EB5398">
        <w:rPr>
          <w:rFonts w:ascii="Calibri" w:eastAsia="Times New Roman" w:hAnsi="Calibri" w:cs="Times New Roman"/>
          <w:b/>
          <w:color w:val="FF0000"/>
          <w:sz w:val="44"/>
          <w:szCs w:val="44"/>
          <w:lang w:eastAsia="pl-PL"/>
        </w:rPr>
        <w:t>plus 1</w:t>
      </w:r>
      <w:r>
        <w:rPr>
          <w:rFonts w:ascii="Calibri" w:eastAsia="Times New Roman" w:hAnsi="Calibri" w:cs="Times New Roman"/>
          <w:b/>
          <w:color w:val="FF0000"/>
          <w:sz w:val="44"/>
          <w:szCs w:val="44"/>
          <w:lang w:eastAsia="pl-PL"/>
        </w:rPr>
        <w:t>2</w:t>
      </w:r>
      <w:r w:rsidRPr="00EB5398">
        <w:rPr>
          <w:rFonts w:ascii="Calibri" w:eastAsia="Times New Roman" w:hAnsi="Calibri" w:cs="Times New Roman"/>
          <w:b/>
          <w:color w:val="FF0000"/>
          <w:sz w:val="44"/>
          <w:szCs w:val="44"/>
          <w:lang w:eastAsia="pl-PL"/>
        </w:rPr>
        <w:t>,</w:t>
      </w:r>
      <w:r>
        <w:rPr>
          <w:rFonts w:ascii="Calibri" w:eastAsia="Times New Roman" w:hAnsi="Calibri" w:cs="Times New Roman"/>
          <w:b/>
          <w:color w:val="FF0000"/>
          <w:sz w:val="44"/>
          <w:szCs w:val="44"/>
          <w:lang w:eastAsia="pl-PL"/>
        </w:rPr>
        <w:t>6</w:t>
      </w:r>
      <w:r w:rsidRPr="00EB5398">
        <w:rPr>
          <w:rFonts w:ascii="Calibri" w:eastAsia="Times New Roman" w:hAnsi="Calibri" w:cs="Times New Roman"/>
          <w:b/>
          <w:color w:val="FF0000"/>
          <w:sz w:val="44"/>
          <w:szCs w:val="44"/>
          <w:lang w:eastAsia="pl-PL"/>
        </w:rPr>
        <w:t xml:space="preserve"> %.</w:t>
      </w:r>
      <w:r w:rsidRPr="00EB5398">
        <w:rPr>
          <w:rFonts w:ascii="Calibri" w:eastAsia="Times New Roman" w:hAnsi="Calibri" w:cs="Times New Roman"/>
          <w:color w:val="FF0000"/>
          <w:sz w:val="44"/>
          <w:szCs w:val="44"/>
          <w:lang w:eastAsia="pl-PL"/>
        </w:rPr>
        <w:t xml:space="preserve"> </w:t>
      </w:r>
      <w:r w:rsidRPr="00EB5398">
        <w:rPr>
          <w:rFonts w:ascii="Calibri" w:eastAsia="Times New Roman" w:hAnsi="Calibri" w:cs="Times New Roman"/>
          <w:color w:val="000000" w:themeColor="text1"/>
          <w:sz w:val="44"/>
          <w:szCs w:val="44"/>
          <w:lang w:eastAsia="pl-PL"/>
        </w:rPr>
        <w:t xml:space="preserve">Średnia procentowa zmiana indeksu </w:t>
      </w:r>
      <w:r w:rsidRPr="00EB5398">
        <w:rPr>
          <w:rFonts w:ascii="Calibri" w:eastAsia="Times New Roman" w:hAnsi="Calibri" w:cs="Times New Roman"/>
          <w:color w:val="000000" w:themeColor="text1"/>
          <w:sz w:val="44"/>
          <w:szCs w:val="44"/>
          <w:u w:val="single"/>
          <w:lang w:eastAsia="pl-PL"/>
        </w:rPr>
        <w:t xml:space="preserve">WIG20 </w:t>
      </w:r>
      <w:r w:rsidRPr="00EB5398">
        <w:rPr>
          <w:rFonts w:ascii="Calibri" w:eastAsia="Times New Roman" w:hAnsi="Calibri" w:cs="Times New Roman"/>
          <w:color w:val="000000" w:themeColor="text1"/>
          <w:sz w:val="44"/>
          <w:szCs w:val="44"/>
          <w:lang w:eastAsia="pl-PL"/>
        </w:rPr>
        <w:t xml:space="preserve">w tym okresie wynosiła </w:t>
      </w:r>
      <w:r w:rsidRPr="00EB5398">
        <w:rPr>
          <w:rFonts w:ascii="Calibri" w:eastAsia="Times New Roman" w:hAnsi="Calibri" w:cs="Times New Roman"/>
          <w:b/>
          <w:color w:val="000000" w:themeColor="text1"/>
          <w:sz w:val="44"/>
          <w:szCs w:val="44"/>
          <w:u w:val="single"/>
          <w:lang w:eastAsia="pl-PL"/>
        </w:rPr>
        <w:t>minus 1</w:t>
      </w:r>
      <w:r>
        <w:rPr>
          <w:rFonts w:ascii="Calibri" w:eastAsia="Times New Roman" w:hAnsi="Calibri" w:cs="Times New Roman"/>
          <w:b/>
          <w:color w:val="000000" w:themeColor="text1"/>
          <w:sz w:val="44"/>
          <w:szCs w:val="44"/>
          <w:u w:val="single"/>
          <w:lang w:eastAsia="pl-PL"/>
        </w:rPr>
        <w:t>8</w:t>
      </w:r>
      <w:r w:rsidRPr="00EB5398">
        <w:rPr>
          <w:rFonts w:ascii="Calibri" w:eastAsia="Times New Roman" w:hAnsi="Calibri" w:cs="Times New Roman"/>
          <w:b/>
          <w:color w:val="000000" w:themeColor="text1"/>
          <w:sz w:val="44"/>
          <w:szCs w:val="44"/>
          <w:u w:val="single"/>
          <w:lang w:eastAsia="pl-PL"/>
        </w:rPr>
        <w:t>,</w:t>
      </w:r>
      <w:r>
        <w:rPr>
          <w:rFonts w:ascii="Calibri" w:eastAsia="Times New Roman" w:hAnsi="Calibri" w:cs="Times New Roman"/>
          <w:b/>
          <w:color w:val="000000" w:themeColor="text1"/>
          <w:sz w:val="44"/>
          <w:szCs w:val="44"/>
          <w:u w:val="single"/>
          <w:lang w:eastAsia="pl-PL"/>
        </w:rPr>
        <w:t>5</w:t>
      </w:r>
      <w:r w:rsidRPr="00EB5398">
        <w:rPr>
          <w:rFonts w:ascii="Calibri" w:eastAsia="Times New Roman" w:hAnsi="Calibri" w:cs="Times New Roman"/>
          <w:b/>
          <w:color w:val="000000" w:themeColor="text1"/>
          <w:sz w:val="44"/>
          <w:szCs w:val="44"/>
          <w:u w:val="single"/>
          <w:lang w:eastAsia="pl-PL"/>
        </w:rPr>
        <w:t xml:space="preserve"> %.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Wnioski końcowe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A6316" w:rsidRDefault="00BA6316" w:rsidP="00BA631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Kurs </w:t>
      </w:r>
      <w:r>
        <w:rPr>
          <w:rFonts w:eastAsia="Times New Roman" w:cs="Times New Roman"/>
          <w:lang w:eastAsia="pl-PL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="Times New Roman" w:cs="Times New Roman"/>
          <w:b/>
          <w:color w:val="FF0000"/>
          <w:lang w:eastAsia="pl-PL"/>
        </w:rPr>
        <w:t xml:space="preserve">do 4,4252 zł. </w:t>
      </w:r>
    </w:p>
    <w:p w:rsidR="00BA6316" w:rsidRDefault="00BA6316" w:rsidP="00BA6316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</w:p>
    <w:p w:rsidR="00BA6316" w:rsidRDefault="00BA6316" w:rsidP="00BA631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="Times New Roman" w:cs="Times New Roman"/>
          <w:b/>
          <w:color w:val="FF0000"/>
          <w:lang w:eastAsia="pl-PL"/>
        </w:rPr>
        <w:t>4,5644</w:t>
      </w:r>
      <w:r>
        <w:rPr>
          <w:rFonts w:eastAsia="Times New Roman" w:cs="Times New Roman"/>
          <w:color w:val="FF0000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(szczyt z 13 grudnia 2011 roku).</w:t>
      </w:r>
    </w:p>
    <w:p w:rsidR="00BA6316" w:rsidRDefault="00BA6316" w:rsidP="00BA6316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BA6316" w:rsidRPr="009E732D" w:rsidRDefault="00BA6316" w:rsidP="00BA631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D65C0A">
        <w:rPr>
          <w:rFonts w:eastAsia="Times New Roman" w:cs="Times New Roman"/>
          <w:color w:val="000000" w:themeColor="text1"/>
          <w:lang w:eastAsia="pl-PL"/>
        </w:rPr>
        <w:t xml:space="preserve">Sytuacja na polskim rynku akcji, w tym w odniesieniu do kształtowania się indeksu WIG20 w dużym stopniu może być uzależniona od sytuacji na rynkach zagranicznych. W tym kontekście warto jednak zadać sobie pytanie: które zagraniczne rynki akcji mieć będą największe </w:t>
      </w:r>
      <w:proofErr w:type="gramStart"/>
      <w:r w:rsidRPr="00D65C0A">
        <w:rPr>
          <w:rFonts w:eastAsia="Times New Roman" w:cs="Times New Roman"/>
          <w:color w:val="000000" w:themeColor="text1"/>
          <w:lang w:eastAsia="pl-PL"/>
        </w:rPr>
        <w:t xml:space="preserve">znaczenie ?. </w:t>
      </w:r>
      <w:proofErr w:type="gramEnd"/>
      <w:r w:rsidRPr="00D65C0A">
        <w:rPr>
          <w:rFonts w:eastAsia="Times New Roman" w:cs="Times New Roman"/>
          <w:color w:val="000000" w:themeColor="text1"/>
          <w:lang w:eastAsia="pl-PL"/>
        </w:rPr>
        <w:t xml:space="preserve">Sytuacja jest dość niejednoznaczna. </w:t>
      </w:r>
      <w:r w:rsidRPr="0090365D">
        <w:rPr>
          <w:rFonts w:eastAsia="Times New Roman" w:cs="Times New Roman"/>
          <w:b/>
          <w:color w:val="000000" w:themeColor="text1"/>
          <w:lang w:eastAsia="pl-PL"/>
        </w:rPr>
        <w:t xml:space="preserve">Z </w:t>
      </w:r>
      <w:proofErr w:type="gramStart"/>
      <w:r w:rsidRPr="0090365D">
        <w:rPr>
          <w:rFonts w:eastAsia="Times New Roman" w:cs="Times New Roman"/>
          <w:b/>
          <w:color w:val="000000" w:themeColor="text1"/>
          <w:lang w:eastAsia="pl-PL"/>
        </w:rPr>
        <w:t>jednej bowiem</w:t>
      </w:r>
      <w:proofErr w:type="gramEnd"/>
      <w:r w:rsidRPr="0090365D">
        <w:rPr>
          <w:rFonts w:eastAsia="Times New Roman" w:cs="Times New Roman"/>
          <w:b/>
          <w:color w:val="000000" w:themeColor="text1"/>
          <w:lang w:eastAsia="pl-PL"/>
        </w:rPr>
        <w:t xml:space="preserve"> strony najważniejszy indeks amerykański S&amp;P500 przebił swój szczyt historyczny</w:t>
      </w:r>
      <w:r w:rsidRPr="00D65C0A">
        <w:rPr>
          <w:rFonts w:eastAsia="Times New Roman" w:cs="Times New Roman"/>
          <w:color w:val="000000" w:themeColor="text1"/>
          <w:lang w:eastAsia="pl-PL"/>
        </w:rPr>
        <w:t xml:space="preserve">. Tak mocne zachowanie indeksu giełdy amerykańskiej SP500 wskazywałoby na to, że powinniśmy w okres stosunkowo korzystny dla tego rynku a także i dla innych zagranicznych (przynajmniej dojrzałych) rynków zagranicznych, co stwarzałoby dobre perspektywy także dla indeksu WIG20. </w:t>
      </w:r>
      <w:r w:rsidRPr="0090365D">
        <w:rPr>
          <w:rFonts w:eastAsia="Times New Roman" w:cs="Times New Roman"/>
          <w:b/>
          <w:color w:val="000000" w:themeColor="text1"/>
          <w:lang w:eastAsia="pl-PL"/>
        </w:rPr>
        <w:t>Należy jednak zauważyć, że sytuacja pod tym względem na europejskich rynkach akcji jest inna</w:t>
      </w:r>
      <w:r w:rsidRPr="00D65C0A">
        <w:rPr>
          <w:rFonts w:eastAsia="Times New Roman" w:cs="Times New Roman"/>
          <w:color w:val="000000" w:themeColor="text1"/>
          <w:lang w:eastAsia="pl-PL"/>
        </w:rPr>
        <w:t xml:space="preserve">. W przypadku na przykład indeksu giełdy szwajcarskiej nie wypełniła się jeszcze formacja podwójnego szczytu. Na wykresie indeksu WIG20 próbuje się ukształtować się nietypowa formacja podwójnego dna. </w:t>
      </w:r>
      <w:r w:rsidRPr="00D65C0A">
        <w:rPr>
          <w:rFonts w:eastAsia="Times New Roman" w:cs="Times New Roman"/>
          <w:b/>
          <w:color w:val="000000" w:themeColor="text1"/>
          <w:u w:val="single"/>
          <w:lang w:eastAsia="pl-PL"/>
        </w:rPr>
        <w:t>Gdyby WIG20 doszedł do 1853,71</w:t>
      </w:r>
      <w:r w:rsidRPr="00D65C0A">
        <w:rPr>
          <w:rFonts w:eastAsia="Times New Roman" w:cs="Times New Roman"/>
          <w:color w:val="000000" w:themeColor="text1"/>
          <w:lang w:eastAsia="pl-PL"/>
        </w:rPr>
        <w:t xml:space="preserve"> pkt. pojawiałaby się szansa na wzrost indeksu do 1982,3 pkt.</w:t>
      </w:r>
    </w:p>
    <w:p w:rsidR="00BA6316" w:rsidRPr="009E732D" w:rsidRDefault="00BA6316" w:rsidP="00BA6316">
      <w:pPr>
        <w:spacing w:after="0" w:line="240" w:lineRule="auto"/>
        <w:ind w:left="720"/>
        <w:contextualSpacing/>
        <w:jc w:val="both"/>
        <w:rPr>
          <w:rFonts w:eastAsia="Times New Roman" w:cs="Times New Roman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Opracował: Sławomir Kłusek, 25 lipca 2016 roku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Powyższy raport stanowi wyłącznie wyraz osobistych opinii autora. 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28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BA6316" w:rsidRDefault="00BA6316" w:rsidP="00BA6316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A6316" w:rsidRDefault="00BA6316" w:rsidP="00BA6316">
      <w:pPr>
        <w:spacing w:after="0" w:line="240" w:lineRule="auto"/>
        <w:jc w:val="both"/>
        <w:rPr>
          <w:rStyle w:val="Hipercze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29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p w:rsidR="00BA6316" w:rsidRPr="00283E67" w:rsidRDefault="00BA6316" w:rsidP="00283E67">
      <w:pPr>
        <w:spacing w:after="0" w:line="240" w:lineRule="auto"/>
        <w:jc w:val="both"/>
      </w:pPr>
    </w:p>
    <w:sectPr w:rsidR="00BA6316" w:rsidRPr="0028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7"/>
    <w:rsid w:val="00283E67"/>
    <w:rsid w:val="0090365D"/>
    <w:rsid w:val="00BA6316"/>
    <w:rsid w:val="00F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E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83E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E6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83E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pl/4591737,51983,morgan-stanley-fed-nie-podwyzszy-stop-do-2018-roku" TargetMode="External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www.analizy-rynkowe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analizy-rynkowe.pl/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analizy-rynkow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24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hyperlink" Target="http://www.analizy-rynkowe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2928</Words>
  <Characters>17571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2016-07-25T08:07:00Z</dcterms:created>
  <dcterms:modified xsi:type="dcterms:W3CDTF">2016-07-25T08:07:00Z</dcterms:modified>
</cp:coreProperties>
</file>