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D0" w:rsidRDefault="00F27ED0" w:rsidP="00F27ED0">
      <w:pPr>
        <w:spacing w:after="0" w:line="240" w:lineRule="auto"/>
        <w:jc w:val="center"/>
        <w:rPr>
          <w:color w:val="FF0000"/>
          <w:sz w:val="180"/>
          <w:szCs w:val="180"/>
          <w14:shadow w14:blurRad="50800" w14:dist="38100" w14:dir="2700000" w14:sx="100000" w14:sy="100000" w14:kx="0" w14:ky="0" w14:algn="tl">
            <w14:srgbClr w14:val="000000">
              <w14:alpha w14:val="60000"/>
            </w14:srgbClr>
          </w14:shadow>
        </w:rPr>
      </w:pPr>
      <w:bookmarkStart w:id="0" w:name="_GoBack"/>
      <w:bookmarkEnd w:id="0"/>
      <w:r>
        <w:rPr>
          <w:color w:val="FF0000"/>
          <w:sz w:val="180"/>
          <w:szCs w:val="180"/>
          <w14:shadow w14:blurRad="50800" w14:dist="38100" w14:dir="2700000" w14:sx="100000" w14:sy="100000" w14:kx="0" w14:ky="0" w14:algn="tl">
            <w14:srgbClr w14:val="000000">
              <w14:alpha w14:val="60000"/>
            </w14:srgbClr>
          </w14:shadow>
        </w:rPr>
        <w:t>Raport</w:t>
      </w:r>
    </w:p>
    <w:p w:rsidR="00F27ED0" w:rsidRDefault="00F27ED0" w:rsidP="00F27ED0">
      <w:pPr>
        <w:spacing w:after="0" w:line="240" w:lineRule="auto"/>
        <w:jc w:val="center"/>
        <w:rPr>
          <w:color w:val="FF0000"/>
          <w:sz w:val="180"/>
          <w:szCs w:val="180"/>
          <w14:shadow w14:blurRad="50800" w14:dist="38100" w14:dir="2700000" w14:sx="100000" w14:sy="100000" w14:kx="0" w14:ky="0" w14:algn="tl">
            <w14:srgbClr w14:val="000000">
              <w14:alpha w14:val="60000"/>
            </w14:srgbClr>
          </w14:shadow>
        </w:rPr>
      </w:pPr>
      <w:r>
        <w:rPr>
          <w:color w:val="FF0000"/>
          <w:sz w:val="180"/>
          <w:szCs w:val="180"/>
          <w14:shadow w14:blurRad="50800" w14:dist="38100" w14:dir="2700000" w14:sx="100000" w14:sy="100000" w14:kx="0" w14:ky="0" w14:algn="tl">
            <w14:srgbClr w14:val="000000">
              <w14:alpha w14:val="60000"/>
            </w14:srgbClr>
          </w14:shadow>
        </w:rPr>
        <w:t>Tygodniowy</w:t>
      </w:r>
    </w:p>
    <w:p w:rsidR="00F27ED0" w:rsidRDefault="00F27ED0" w:rsidP="00F27ED0">
      <w:pPr>
        <w:spacing w:after="0" w:line="240" w:lineRule="auto"/>
        <w:jc w:val="center"/>
        <w:rPr>
          <w:color w:val="FF0000"/>
          <w:sz w:val="100"/>
          <w:szCs w:val="100"/>
          <w14:shadow w14:blurRad="50800" w14:dist="38100" w14:dir="2700000" w14:sx="100000" w14:sy="100000" w14:kx="0" w14:ky="0" w14:algn="tl">
            <w14:srgbClr w14:val="000000">
              <w14:alpha w14:val="60000"/>
            </w14:srgbClr>
          </w14:shadow>
        </w:rPr>
      </w:pPr>
      <w:proofErr w:type="gramStart"/>
      <w:r>
        <w:rPr>
          <w:color w:val="FF0000"/>
          <w:sz w:val="100"/>
          <w:szCs w:val="100"/>
          <w14:shadow w14:blurRad="50800" w14:dist="38100" w14:dir="2700000" w14:sx="100000" w14:sy="100000" w14:kx="0" w14:ky="0" w14:algn="tl">
            <w14:srgbClr w14:val="000000">
              <w14:alpha w14:val="60000"/>
            </w14:srgbClr>
          </w14:shadow>
        </w:rPr>
        <w:t>o</w:t>
      </w:r>
      <w:proofErr w:type="gramEnd"/>
      <w:r>
        <w:rPr>
          <w:color w:val="FF0000"/>
          <w:sz w:val="100"/>
          <w:szCs w:val="100"/>
          <w14:shadow w14:blurRad="50800" w14:dist="38100" w14:dir="2700000" w14:sx="100000" w14:sy="100000" w14:kx="0" w14:ky="0" w14:algn="tl">
            <w14:srgbClr w14:val="000000">
              <w14:alpha w14:val="60000"/>
            </w14:srgbClr>
          </w14:shadow>
        </w:rPr>
        <w:t xml:space="preserve"> sytuacji na</w:t>
      </w:r>
    </w:p>
    <w:p w:rsidR="00F27ED0" w:rsidRDefault="00F27ED0" w:rsidP="00F27ED0">
      <w:pPr>
        <w:spacing w:after="0" w:line="240" w:lineRule="auto"/>
        <w:jc w:val="center"/>
        <w:rPr>
          <w:color w:val="FF0000"/>
          <w:sz w:val="100"/>
          <w:szCs w:val="100"/>
          <w14:shadow w14:blurRad="50800" w14:dist="38100" w14:dir="2700000" w14:sx="100000" w14:sy="100000" w14:kx="0" w14:ky="0" w14:algn="tl">
            <w14:srgbClr w14:val="000000">
              <w14:alpha w14:val="60000"/>
            </w14:srgbClr>
          </w14:shadow>
        </w:rPr>
      </w:pPr>
      <w:proofErr w:type="gramStart"/>
      <w:r>
        <w:rPr>
          <w:color w:val="FF0000"/>
          <w:sz w:val="100"/>
          <w:szCs w:val="100"/>
          <w14:shadow w14:blurRad="50800" w14:dist="38100" w14:dir="2700000" w14:sx="100000" w14:sy="100000" w14:kx="0" w14:ky="0" w14:algn="tl">
            <w14:srgbClr w14:val="000000">
              <w14:alpha w14:val="60000"/>
            </w14:srgbClr>
          </w14:shadow>
        </w:rPr>
        <w:t>rynkach</w:t>
      </w:r>
      <w:proofErr w:type="gramEnd"/>
      <w:r>
        <w:rPr>
          <w:color w:val="FF0000"/>
          <w:sz w:val="100"/>
          <w:szCs w:val="100"/>
          <w14:shadow w14:blurRad="50800" w14:dist="38100" w14:dir="2700000" w14:sx="100000" w14:sy="100000" w14:kx="0" w14:ky="0" w14:algn="tl">
            <w14:srgbClr w14:val="000000">
              <w14:alpha w14:val="60000"/>
            </w14:srgbClr>
          </w14:shadow>
        </w:rPr>
        <w:t xml:space="preserve"> finansowych</w:t>
      </w:r>
    </w:p>
    <w:p w:rsidR="00F27ED0" w:rsidRDefault="00F27ED0" w:rsidP="00F27ED0">
      <w:pPr>
        <w:spacing w:after="0" w:line="240" w:lineRule="auto"/>
        <w:jc w:val="center"/>
        <w:rPr>
          <w:sz w:val="48"/>
          <w:szCs w:val="48"/>
        </w:rPr>
      </w:pPr>
    </w:p>
    <w:p w:rsidR="00F27ED0" w:rsidRDefault="00F27ED0" w:rsidP="00F27ED0">
      <w:pPr>
        <w:spacing w:after="0" w:line="240" w:lineRule="auto"/>
        <w:jc w:val="center"/>
        <w:rPr>
          <w:sz w:val="48"/>
          <w:szCs w:val="48"/>
        </w:rPr>
      </w:pPr>
    </w:p>
    <w:p w:rsidR="00F27ED0" w:rsidRDefault="00F27ED0" w:rsidP="00F27ED0">
      <w:pPr>
        <w:spacing w:after="0" w:line="240" w:lineRule="auto"/>
        <w:jc w:val="center"/>
        <w:rPr>
          <w:sz w:val="100"/>
          <w:szCs w:val="100"/>
          <w:u w:val="single"/>
          <w14:shadow w14:blurRad="50800" w14:dist="38100" w14:dir="2700000" w14:sx="100000" w14:sy="100000" w14:kx="0" w14:ky="0" w14:algn="tl">
            <w14:srgbClr w14:val="000000">
              <w14:alpha w14:val="60000"/>
            </w14:srgbClr>
          </w14:shadow>
        </w:rPr>
      </w:pPr>
      <w:r>
        <w:rPr>
          <w:sz w:val="100"/>
          <w:szCs w:val="100"/>
          <w:u w:val="single"/>
          <w14:shadow w14:blurRad="50800" w14:dist="38100" w14:dir="2700000" w14:sx="100000" w14:sy="100000" w14:kx="0" w14:ky="0" w14:algn="tl">
            <w14:srgbClr w14:val="000000">
              <w14:alpha w14:val="60000"/>
            </w14:srgbClr>
          </w14:shadow>
        </w:rPr>
        <w:t>Rynek walutowy</w:t>
      </w:r>
    </w:p>
    <w:p w:rsidR="00F27ED0" w:rsidRDefault="00F27ED0" w:rsidP="00F27ED0">
      <w:pPr>
        <w:spacing w:after="0" w:line="240" w:lineRule="auto"/>
        <w:jc w:val="center"/>
        <w:rPr>
          <w:sz w:val="100"/>
          <w:szCs w:val="100"/>
          <w14:shadow w14:blurRad="50800" w14:dist="38100" w14:dir="2700000" w14:sx="100000" w14:sy="100000" w14:kx="0" w14:ky="0" w14:algn="tl">
            <w14:srgbClr w14:val="000000">
              <w14:alpha w14:val="60000"/>
            </w14:srgbClr>
          </w14:shadow>
        </w:rPr>
      </w:pPr>
    </w:p>
    <w:p w:rsidR="00F27ED0" w:rsidRDefault="00F27ED0" w:rsidP="00F27ED0">
      <w:pPr>
        <w:jc w:val="center"/>
        <w:rPr>
          <w:sz w:val="100"/>
          <w:szCs w:val="100"/>
          <w:u w:val="single"/>
          <w14:shadow w14:blurRad="50800" w14:dist="38100" w14:dir="2700000" w14:sx="100000" w14:sy="100000" w14:kx="0" w14:ky="0" w14:algn="tl">
            <w14:srgbClr w14:val="000000">
              <w14:alpha w14:val="60000"/>
            </w14:srgbClr>
          </w14:shadow>
        </w:rPr>
      </w:pPr>
      <w:r>
        <w:rPr>
          <w:sz w:val="100"/>
          <w:szCs w:val="100"/>
          <w:u w:val="single"/>
          <w14:shadow w14:blurRad="50800" w14:dist="38100" w14:dir="2700000" w14:sx="100000" w14:sy="100000" w14:kx="0" w14:ky="0" w14:algn="tl">
            <w14:srgbClr w14:val="000000">
              <w14:alpha w14:val="60000"/>
            </w14:srgbClr>
          </w14:shadow>
        </w:rPr>
        <w:t>Rynek akcji</w:t>
      </w:r>
    </w:p>
    <w:p w:rsidR="00F27ED0" w:rsidRDefault="00F27ED0" w:rsidP="00F27ED0">
      <w:pPr>
        <w:spacing w:after="0" w:line="240" w:lineRule="auto"/>
        <w:jc w:val="both"/>
        <w:rPr>
          <w:sz w:val="26"/>
          <w:szCs w:val="26"/>
        </w:rPr>
      </w:pPr>
    </w:p>
    <w:p w:rsidR="00F27ED0" w:rsidRDefault="00F27ED0" w:rsidP="00F27ED0">
      <w:pPr>
        <w:spacing w:after="0" w:line="240" w:lineRule="auto"/>
        <w:jc w:val="both"/>
        <w:rPr>
          <w:sz w:val="26"/>
          <w:szCs w:val="26"/>
        </w:rPr>
      </w:pPr>
    </w:p>
    <w:p w:rsidR="00F27ED0" w:rsidRDefault="00F27ED0" w:rsidP="00F27ED0">
      <w:pPr>
        <w:spacing w:after="0" w:line="240" w:lineRule="auto"/>
        <w:jc w:val="both"/>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lastRenderedPageBreak/>
        <w:t>Poniedziałek, 1 sierpnia 2016 roku</w:t>
      </w:r>
    </w:p>
    <w:p w:rsidR="00F27ED0" w:rsidRDefault="00F27ED0" w:rsidP="00F27ED0">
      <w:pPr>
        <w:pBdr>
          <w:top w:val="single" w:sz="4" w:space="1" w:color="auto"/>
          <w:left w:val="single" w:sz="4" w:space="4" w:color="auto"/>
          <w:bottom w:val="single" w:sz="4" w:space="1" w:color="auto"/>
          <w:right w:val="single" w:sz="4" w:space="4" w:color="auto"/>
        </w:pBdr>
        <w:spacing w:after="0" w:line="240" w:lineRule="auto"/>
        <w:jc w:val="center"/>
      </w:pPr>
      <w:r>
        <w:t>Kurs USD/PLN – perspektywa długoterminowa, kurs z 29 lipca 2016 roku = 3,8964</w:t>
      </w:r>
    </w:p>
    <w:p w:rsidR="00F27ED0" w:rsidRDefault="00F27ED0" w:rsidP="00F27ED0">
      <w:pPr>
        <w:spacing w:after="0" w:line="240" w:lineRule="auto"/>
        <w:jc w:val="both"/>
      </w:pPr>
    </w:p>
    <w:p w:rsidR="00F27ED0" w:rsidRDefault="00F27ED0" w:rsidP="00F27ED0">
      <w:pPr>
        <w:spacing w:after="0" w:line="240" w:lineRule="auto"/>
        <w:jc w:val="both"/>
      </w:pPr>
      <w:r>
        <w:rPr>
          <w:noProof/>
        </w:rPr>
        <w:drawing>
          <wp:inline distT="0" distB="0" distL="0" distR="0" wp14:anchorId="32C7BD44" wp14:editId="33B4A1C9">
            <wp:extent cx="4798800" cy="2880000"/>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8800" cy="2880000"/>
                    </a:xfrm>
                    <a:prstGeom prst="rect">
                      <a:avLst/>
                    </a:prstGeom>
                    <a:noFill/>
                  </pic:spPr>
                </pic:pic>
              </a:graphicData>
            </a:graphic>
          </wp:inline>
        </w:drawing>
      </w:r>
    </w:p>
    <w:p w:rsidR="00F27ED0" w:rsidRDefault="00F27ED0" w:rsidP="00F27ED0">
      <w:pPr>
        <w:spacing w:after="0" w:line="240" w:lineRule="auto"/>
        <w:jc w:val="both"/>
        <w:rPr>
          <w:b/>
          <w:color w:val="FF0000"/>
        </w:rPr>
      </w:pPr>
      <w:r>
        <w:t xml:space="preserve">Kurs 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b/>
          <w:color w:val="FF0000"/>
        </w:rPr>
        <w:t xml:space="preserve">do 4,4252 zł. </w:t>
      </w:r>
    </w:p>
    <w:p w:rsidR="00F27ED0" w:rsidRDefault="00F27ED0" w:rsidP="00F27ED0">
      <w:pPr>
        <w:pBdr>
          <w:top w:val="single" w:sz="4" w:space="1" w:color="auto"/>
          <w:left w:val="single" w:sz="4" w:space="4" w:color="auto"/>
          <w:bottom w:val="single" w:sz="4" w:space="1" w:color="auto"/>
          <w:right w:val="single" w:sz="4" w:space="4" w:color="auto"/>
        </w:pBdr>
        <w:spacing w:after="0" w:line="240" w:lineRule="auto"/>
        <w:jc w:val="center"/>
      </w:pPr>
      <w:r>
        <w:t>Kurs EUR/PLN – perspektywa średniookresowa, kurs z 29 lipca 2016 roku = 4,3559</w:t>
      </w:r>
    </w:p>
    <w:p w:rsidR="00F27ED0" w:rsidRDefault="00F27ED0" w:rsidP="00F27ED0">
      <w:pPr>
        <w:spacing w:after="0" w:line="240" w:lineRule="auto"/>
        <w:jc w:val="both"/>
      </w:pPr>
    </w:p>
    <w:p w:rsidR="00F27ED0" w:rsidRDefault="00F27ED0" w:rsidP="00F27ED0">
      <w:pPr>
        <w:spacing w:after="0" w:line="240" w:lineRule="auto"/>
        <w:jc w:val="both"/>
      </w:pPr>
      <w:r>
        <w:rPr>
          <w:noProof/>
        </w:rPr>
        <w:drawing>
          <wp:inline distT="0" distB="0" distL="0" distR="0" wp14:anchorId="33AF6BD2" wp14:editId="6BC81BEC">
            <wp:extent cx="4798800" cy="2880000"/>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8800" cy="2880000"/>
                    </a:xfrm>
                    <a:prstGeom prst="rect">
                      <a:avLst/>
                    </a:prstGeom>
                    <a:noFill/>
                  </pic:spPr>
                </pic:pic>
              </a:graphicData>
            </a:graphic>
          </wp:inline>
        </w:drawing>
      </w:r>
    </w:p>
    <w:p w:rsidR="00F27ED0" w:rsidRDefault="00F27ED0" w:rsidP="00F27ED0">
      <w:pPr>
        <w:spacing w:after="0" w:line="240" w:lineRule="auto"/>
        <w:jc w:val="both"/>
        <w:rPr>
          <w:color w:val="000000" w:themeColor="text1"/>
        </w:rPr>
      </w:pPr>
      <w: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w:t>
      </w:r>
      <w:r>
        <w:rPr>
          <w:color w:val="000000" w:themeColor="text1"/>
        </w:rPr>
        <w:t xml:space="preserve">4,3607 zł. Dojście do oporu (szczyt z 26 grudnia 2014 roku) może osłabiło kursu euro (w złotych). W piątek 15 stycznia popyt zaatakował. Przebite zostało roczne maksimum. Można oczekiwać wzrostu w kierunku </w:t>
      </w:r>
      <w:r>
        <w:rPr>
          <w:b/>
          <w:color w:val="FF0000"/>
        </w:rPr>
        <w:t>4,5644</w:t>
      </w:r>
      <w:r>
        <w:rPr>
          <w:color w:val="FF0000"/>
        </w:rPr>
        <w:t xml:space="preserve"> </w:t>
      </w:r>
      <w:r>
        <w:rPr>
          <w:color w:val="000000" w:themeColor="text1"/>
        </w:rPr>
        <w:t xml:space="preserve">(szczyt z 13 grudnia 2011 roku). </w:t>
      </w:r>
    </w:p>
    <w:p w:rsidR="00F27ED0" w:rsidRPr="00310577" w:rsidRDefault="00F27ED0" w:rsidP="00F27ED0">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sidRPr="00310577">
        <w:rPr>
          <w:sz w:val="26"/>
          <w:szCs w:val="26"/>
        </w:rPr>
        <w:lastRenderedPageBreak/>
        <w:t xml:space="preserve">S&amp;P500 - </w:t>
      </w:r>
      <w:proofErr w:type="gramStart"/>
      <w:r w:rsidRPr="00310577">
        <w:rPr>
          <w:sz w:val="26"/>
          <w:szCs w:val="26"/>
        </w:rPr>
        <w:t>,,</w:t>
      </w:r>
      <w:proofErr w:type="gramEnd"/>
      <w:r w:rsidRPr="00310577">
        <w:rPr>
          <w:sz w:val="26"/>
          <w:szCs w:val="26"/>
        </w:rPr>
        <w:t>spalenie” formacji podwójnego szczytu sygnałem kupna !</w:t>
      </w:r>
    </w:p>
    <w:p w:rsidR="00F27ED0" w:rsidRPr="00310577" w:rsidRDefault="00F27ED0" w:rsidP="00F27ED0">
      <w:pPr>
        <w:pStyle w:val="Bezodstpw"/>
        <w:jc w:val="both"/>
        <w:rPr>
          <w:sz w:val="26"/>
          <w:szCs w:val="26"/>
        </w:rPr>
      </w:pPr>
    </w:p>
    <w:p w:rsidR="00F27ED0" w:rsidRPr="00310577" w:rsidRDefault="00F27ED0" w:rsidP="00F27ED0">
      <w:pPr>
        <w:pStyle w:val="Bezodstpw"/>
        <w:jc w:val="both"/>
        <w:rPr>
          <w:sz w:val="26"/>
          <w:szCs w:val="26"/>
        </w:rPr>
      </w:pPr>
      <w:r w:rsidRPr="00310577">
        <w:rPr>
          <w:sz w:val="26"/>
          <w:szCs w:val="26"/>
        </w:rPr>
        <w:t>Jednymi z najbardziej popularnych formacji zmiany trendu są: formacja podwójnego dna oraz formacja podwójnego szczytu. Minimalnym zadaniem formacji podwójnego dna jest jej wypełnienie się. Także wypełnienie się jest minimalnym zadaniem formacji podwójnego szczytu.</w:t>
      </w:r>
    </w:p>
    <w:p w:rsidR="00F27ED0" w:rsidRPr="00310577" w:rsidRDefault="00F27ED0" w:rsidP="00F27ED0">
      <w:pPr>
        <w:pStyle w:val="Bezodstpw"/>
        <w:jc w:val="both"/>
        <w:rPr>
          <w:sz w:val="26"/>
          <w:szCs w:val="26"/>
        </w:rPr>
      </w:pPr>
    </w:p>
    <w:p w:rsidR="00F27ED0" w:rsidRPr="00310577" w:rsidRDefault="00F27ED0" w:rsidP="00F27ED0">
      <w:pPr>
        <w:pStyle w:val="Bezodstpw"/>
        <w:jc w:val="both"/>
        <w:rPr>
          <w:sz w:val="26"/>
          <w:szCs w:val="26"/>
        </w:rPr>
      </w:pPr>
      <w:r w:rsidRPr="00310577">
        <w:rPr>
          <w:sz w:val="26"/>
          <w:szCs w:val="26"/>
        </w:rPr>
        <w:t xml:space="preserve">Zdarza się także niekiedy, że kurs po wybiciu z formacji podwójnego szczytu początkowo spada, ale wkrótce zaczyna rosnąć. Kiedy wzrośnie powyżej poziomu wyższego szczytu tej formacji mamy do czynienia z tak </w:t>
      </w:r>
      <w:proofErr w:type="gramStart"/>
      <w:r w:rsidRPr="00310577">
        <w:rPr>
          <w:sz w:val="26"/>
          <w:szCs w:val="26"/>
        </w:rPr>
        <w:t>zwanym  ,,spaleniem</w:t>
      </w:r>
      <w:proofErr w:type="gramEnd"/>
      <w:r w:rsidRPr="00310577">
        <w:rPr>
          <w:sz w:val="26"/>
          <w:szCs w:val="26"/>
        </w:rPr>
        <w:t>” formacji podwójnego szczytu. Powstaje wówczas bardzo silny sygnał kupna.</w:t>
      </w:r>
    </w:p>
    <w:p w:rsidR="00F27ED0" w:rsidRPr="00310577" w:rsidRDefault="00F27ED0" w:rsidP="00F27ED0">
      <w:pPr>
        <w:pStyle w:val="Bezodstpw"/>
        <w:jc w:val="both"/>
        <w:rPr>
          <w:sz w:val="26"/>
          <w:szCs w:val="26"/>
        </w:rPr>
      </w:pPr>
    </w:p>
    <w:p w:rsidR="00F27ED0" w:rsidRPr="00310577" w:rsidRDefault="00F27ED0" w:rsidP="00F27ED0">
      <w:pPr>
        <w:pStyle w:val="Bezodstpw"/>
        <w:jc w:val="both"/>
        <w:rPr>
          <w:sz w:val="26"/>
          <w:szCs w:val="26"/>
        </w:rPr>
      </w:pPr>
      <w:r w:rsidRPr="00310577">
        <w:rPr>
          <w:sz w:val="26"/>
          <w:szCs w:val="26"/>
        </w:rPr>
        <w:t xml:space="preserve">O formacjach </w:t>
      </w:r>
      <w:proofErr w:type="gramStart"/>
      <w:r w:rsidRPr="00310577">
        <w:rPr>
          <w:sz w:val="26"/>
          <w:szCs w:val="26"/>
        </w:rPr>
        <w:t>,,</w:t>
      </w:r>
      <w:proofErr w:type="gramEnd"/>
      <w:r w:rsidRPr="00310577">
        <w:rPr>
          <w:sz w:val="26"/>
          <w:szCs w:val="26"/>
        </w:rPr>
        <w:t xml:space="preserve">spalonych” pisze w swych książkach Thomas Bulkowski. Dotychczas Wydawnictwo Linia wydało dwie książki tego autora. Są to: </w:t>
      </w:r>
      <w:proofErr w:type="gramStart"/>
      <w:r w:rsidRPr="00310577">
        <w:rPr>
          <w:sz w:val="26"/>
          <w:szCs w:val="26"/>
        </w:rPr>
        <w:t>,,</w:t>
      </w:r>
      <w:proofErr w:type="gramEnd"/>
      <w:r w:rsidRPr="00310577">
        <w:rPr>
          <w:sz w:val="26"/>
          <w:szCs w:val="26"/>
        </w:rPr>
        <w:t xml:space="preserve">Analiza formacji na wykresach giełdowych. Wprowadzenie” (2011 rok) oraz </w:t>
      </w:r>
      <w:proofErr w:type="gramStart"/>
      <w:r w:rsidRPr="00310577">
        <w:rPr>
          <w:sz w:val="26"/>
          <w:szCs w:val="26"/>
        </w:rPr>
        <w:t>,,</w:t>
      </w:r>
      <w:proofErr w:type="gramEnd"/>
      <w:r w:rsidRPr="00310577">
        <w:rPr>
          <w:sz w:val="26"/>
          <w:szCs w:val="26"/>
        </w:rPr>
        <w:t>Podstawy spekulacji. Ewolucja gracza giełdowego” (2014 rok).</w:t>
      </w:r>
    </w:p>
    <w:p w:rsidR="00F27ED0" w:rsidRPr="00310577" w:rsidRDefault="00F27ED0" w:rsidP="00F27ED0">
      <w:pPr>
        <w:pStyle w:val="Bezodstpw"/>
        <w:jc w:val="both"/>
        <w:rPr>
          <w:sz w:val="26"/>
          <w:szCs w:val="26"/>
        </w:rPr>
      </w:pPr>
    </w:p>
    <w:p w:rsidR="00F27ED0" w:rsidRDefault="00F27ED0" w:rsidP="00F27ED0">
      <w:pPr>
        <w:pStyle w:val="Bezodstpw"/>
        <w:jc w:val="both"/>
        <w:rPr>
          <w:sz w:val="26"/>
          <w:szCs w:val="26"/>
        </w:rPr>
      </w:pPr>
      <w:r w:rsidRPr="00310577">
        <w:rPr>
          <w:sz w:val="26"/>
          <w:szCs w:val="26"/>
        </w:rPr>
        <w:t>Aktualnie możemy obserwować w praktyce czym je</w:t>
      </w:r>
      <w:r>
        <w:rPr>
          <w:sz w:val="26"/>
          <w:szCs w:val="26"/>
        </w:rPr>
        <w:t xml:space="preserve">st </w:t>
      </w:r>
      <w:proofErr w:type="gramStart"/>
      <w:r>
        <w:rPr>
          <w:sz w:val="26"/>
          <w:szCs w:val="26"/>
        </w:rPr>
        <w:t>,,</w:t>
      </w:r>
      <w:proofErr w:type="gramEnd"/>
      <w:r>
        <w:rPr>
          <w:sz w:val="26"/>
          <w:szCs w:val="26"/>
        </w:rPr>
        <w:t xml:space="preserve">spalenie” formacji podwójnego szczytu w przypadku indeksu S&amp;P 500. </w:t>
      </w:r>
    </w:p>
    <w:p w:rsidR="00F27ED0" w:rsidRDefault="00F27ED0" w:rsidP="00F27ED0">
      <w:pPr>
        <w:pStyle w:val="Bezodstpw"/>
        <w:jc w:val="both"/>
        <w:rPr>
          <w:sz w:val="26"/>
          <w:szCs w:val="26"/>
        </w:rPr>
      </w:pPr>
    </w:p>
    <w:p w:rsidR="00F27ED0" w:rsidRDefault="00F27ED0" w:rsidP="00844DFB">
      <w:pPr>
        <w:pStyle w:val="Bezodstpw"/>
        <w:pBdr>
          <w:top w:val="single" w:sz="4" w:space="1" w:color="auto"/>
          <w:left w:val="single" w:sz="4" w:space="4" w:color="auto"/>
          <w:bottom w:val="single" w:sz="4" w:space="1" w:color="auto"/>
          <w:right w:val="single" w:sz="4" w:space="4" w:color="auto"/>
        </w:pBdr>
        <w:shd w:val="clear" w:color="auto" w:fill="05FB7A"/>
        <w:jc w:val="both"/>
        <w:rPr>
          <w:sz w:val="26"/>
          <w:szCs w:val="26"/>
        </w:rPr>
      </w:pPr>
      <w:r w:rsidRPr="00310577">
        <w:rPr>
          <w:sz w:val="26"/>
          <w:szCs w:val="26"/>
        </w:rPr>
        <w:t xml:space="preserve">Początkowo indeks </w:t>
      </w:r>
      <w:r>
        <w:rPr>
          <w:sz w:val="26"/>
          <w:szCs w:val="26"/>
        </w:rPr>
        <w:t>amerykańskiego rynku akcji S&amp;P500</w:t>
      </w:r>
      <w:r w:rsidRPr="00310577">
        <w:rPr>
          <w:sz w:val="26"/>
          <w:szCs w:val="26"/>
        </w:rPr>
        <w:t xml:space="preserve"> wybił się z formacji podwójnego szczytu, co zapowiadało spadki. Wkrótce jednak indeks zaczął dynamicznie rosnąć. Przebił poziom wyższego szczytu. W rezultacie doszło do </w:t>
      </w:r>
      <w:proofErr w:type="gramStart"/>
      <w:r w:rsidRPr="00310577">
        <w:rPr>
          <w:sz w:val="26"/>
          <w:szCs w:val="26"/>
        </w:rPr>
        <w:t>,,</w:t>
      </w:r>
      <w:proofErr w:type="gramEnd"/>
      <w:r w:rsidRPr="00310577">
        <w:rPr>
          <w:sz w:val="26"/>
          <w:szCs w:val="26"/>
        </w:rPr>
        <w:t>spalenia” formacji podwójnego szczytu. Pojawił się wiec bardzo silny sygnał kupna.</w:t>
      </w:r>
    </w:p>
    <w:p w:rsidR="00F27ED0" w:rsidRDefault="00F27ED0" w:rsidP="00F27ED0">
      <w:pPr>
        <w:pStyle w:val="Bezodstpw"/>
        <w:jc w:val="both"/>
        <w:rPr>
          <w:sz w:val="26"/>
          <w:szCs w:val="26"/>
        </w:rPr>
      </w:pPr>
    </w:p>
    <w:p w:rsidR="00F27ED0" w:rsidRDefault="00F27ED0" w:rsidP="00F27ED0">
      <w:pPr>
        <w:pStyle w:val="Bezodstpw"/>
        <w:jc w:val="both"/>
        <w:rPr>
          <w:b/>
          <w:sz w:val="26"/>
          <w:szCs w:val="26"/>
          <w:u w:val="single"/>
        </w:rPr>
      </w:pPr>
      <w:r w:rsidRPr="00310577">
        <w:rPr>
          <w:b/>
          <w:sz w:val="26"/>
          <w:szCs w:val="26"/>
          <w:u w:val="single"/>
        </w:rPr>
        <w:t>S&amp;P500</w:t>
      </w:r>
    </w:p>
    <w:p w:rsidR="00F27ED0" w:rsidRDefault="00F27ED0" w:rsidP="00F27ED0">
      <w:pPr>
        <w:pStyle w:val="Bezodstpw"/>
        <w:jc w:val="both"/>
        <w:rPr>
          <w:b/>
          <w:sz w:val="26"/>
          <w:szCs w:val="26"/>
          <w:u w:val="single"/>
        </w:rPr>
      </w:pPr>
    </w:p>
    <w:p w:rsidR="00F27ED0" w:rsidRDefault="00F27ED0" w:rsidP="00F27ED0">
      <w:pPr>
        <w:pStyle w:val="Bezodstpw"/>
        <w:jc w:val="both"/>
        <w:rPr>
          <w:b/>
          <w:sz w:val="26"/>
          <w:szCs w:val="26"/>
          <w:u w:val="single"/>
        </w:rPr>
      </w:pPr>
      <w:r>
        <w:rPr>
          <w:b/>
          <w:noProof/>
          <w:sz w:val="26"/>
          <w:szCs w:val="26"/>
          <w:u w:val="single"/>
        </w:rPr>
        <w:drawing>
          <wp:inline distT="0" distB="0" distL="0" distR="0" wp14:anchorId="76E41542" wp14:editId="27106DCE">
            <wp:extent cx="5419725" cy="32575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3257550"/>
                    </a:xfrm>
                    <a:prstGeom prst="rect">
                      <a:avLst/>
                    </a:prstGeom>
                    <a:noFill/>
                  </pic:spPr>
                </pic:pic>
              </a:graphicData>
            </a:graphic>
          </wp:inline>
        </w:drawing>
      </w:r>
    </w:p>
    <w:p w:rsidR="00F27ED0" w:rsidRDefault="00F27ED0" w:rsidP="00F27ED0">
      <w:pPr>
        <w:pStyle w:val="Bezodstpw"/>
        <w:jc w:val="both"/>
        <w:rPr>
          <w:sz w:val="26"/>
          <w:szCs w:val="26"/>
        </w:rPr>
      </w:pPr>
      <w:r w:rsidRPr="00D3180D">
        <w:rPr>
          <w:sz w:val="26"/>
          <w:szCs w:val="26"/>
        </w:rPr>
        <w:lastRenderedPageBreak/>
        <w:t>Przyznam</w:t>
      </w:r>
      <w:r>
        <w:rPr>
          <w:sz w:val="26"/>
          <w:szCs w:val="26"/>
        </w:rPr>
        <w:t xml:space="preserve">, że dotychczas uważałem, że bardziej trwałe wzrosty czołowych indeksów w naszym kraju (WIG20 oraz WIG) rozpoczną się dopiero na przełomie października i listopada tego roku. </w:t>
      </w:r>
    </w:p>
    <w:p w:rsidR="00F27ED0" w:rsidRDefault="00F27ED0" w:rsidP="00F27ED0">
      <w:pPr>
        <w:pStyle w:val="Bezodstpw"/>
        <w:jc w:val="both"/>
        <w:rPr>
          <w:sz w:val="26"/>
          <w:szCs w:val="26"/>
        </w:rPr>
      </w:pPr>
    </w:p>
    <w:p w:rsidR="00F27ED0" w:rsidRDefault="00F27ED0" w:rsidP="00F27ED0">
      <w:pPr>
        <w:pStyle w:val="Bezodstpw"/>
        <w:jc w:val="both"/>
        <w:rPr>
          <w:sz w:val="26"/>
          <w:szCs w:val="26"/>
        </w:rPr>
      </w:pPr>
      <w:r>
        <w:rPr>
          <w:sz w:val="26"/>
          <w:szCs w:val="26"/>
        </w:rPr>
        <w:t xml:space="preserve">Ze statystycznego punktu widzenia okres pomiędzy końcem października roku T a końcem kwietnia roku T+1 </w:t>
      </w:r>
      <w:proofErr w:type="gramStart"/>
      <w:r>
        <w:rPr>
          <w:sz w:val="26"/>
          <w:szCs w:val="26"/>
        </w:rPr>
        <w:t>jest bowiem</w:t>
      </w:r>
      <w:proofErr w:type="gramEnd"/>
      <w:r>
        <w:rPr>
          <w:sz w:val="26"/>
          <w:szCs w:val="26"/>
        </w:rPr>
        <w:t xml:space="preserve"> generalnie stosunkowo udany dla posiadaczy akcji. Okres od końca kwietnia do końca października roku T+1 jest natomiast stosunkowo niekorzystny. </w:t>
      </w:r>
    </w:p>
    <w:p w:rsidR="00F27ED0" w:rsidRDefault="00F27ED0" w:rsidP="00F27ED0">
      <w:pPr>
        <w:pStyle w:val="Bezodstpw"/>
        <w:jc w:val="both"/>
        <w:rPr>
          <w:sz w:val="26"/>
          <w:szCs w:val="26"/>
        </w:rPr>
      </w:pPr>
    </w:p>
    <w:p w:rsidR="00F27ED0" w:rsidRPr="00844DFB" w:rsidRDefault="00F27ED0" w:rsidP="00F27ED0">
      <w:pPr>
        <w:pStyle w:val="Bezodstpw"/>
        <w:jc w:val="both"/>
        <w:rPr>
          <w:b/>
          <w:sz w:val="26"/>
          <w:szCs w:val="26"/>
          <w:u w:val="single"/>
        </w:rPr>
      </w:pPr>
      <w:r w:rsidRPr="00844DFB">
        <w:rPr>
          <w:b/>
          <w:sz w:val="26"/>
          <w:szCs w:val="26"/>
          <w:u w:val="single"/>
        </w:rPr>
        <w:t xml:space="preserve">Przyznam, że po tym jak na indeksie S&amp;P500 doszło do </w:t>
      </w:r>
      <w:proofErr w:type="gramStart"/>
      <w:r w:rsidRPr="00844DFB">
        <w:rPr>
          <w:b/>
          <w:sz w:val="26"/>
          <w:szCs w:val="26"/>
          <w:u w:val="single"/>
        </w:rPr>
        <w:t>,,</w:t>
      </w:r>
      <w:proofErr w:type="gramEnd"/>
      <w:r w:rsidRPr="00844DFB">
        <w:rPr>
          <w:b/>
          <w:sz w:val="26"/>
          <w:szCs w:val="26"/>
          <w:u w:val="single"/>
        </w:rPr>
        <w:t xml:space="preserve">spalenia” formacji podwójnego szczytu otwierają się lepsze, niż dotychczas sądziłem perspektywy dla polskiego rynku akcji. </w:t>
      </w:r>
    </w:p>
    <w:p w:rsidR="00F27ED0" w:rsidRDefault="00F27ED0" w:rsidP="00F27ED0">
      <w:pPr>
        <w:pStyle w:val="Bezodstpw"/>
        <w:jc w:val="both"/>
        <w:rPr>
          <w:sz w:val="26"/>
          <w:szCs w:val="26"/>
        </w:rPr>
      </w:pPr>
    </w:p>
    <w:p w:rsidR="00F27ED0" w:rsidRDefault="00F27ED0" w:rsidP="00F27ED0">
      <w:pPr>
        <w:pStyle w:val="Bezodstpw"/>
        <w:jc w:val="both"/>
        <w:rPr>
          <w:sz w:val="26"/>
          <w:szCs w:val="26"/>
        </w:rPr>
      </w:pPr>
      <w:r>
        <w:rPr>
          <w:sz w:val="26"/>
          <w:szCs w:val="26"/>
        </w:rPr>
        <w:t xml:space="preserve">Teraz zaprezentuję Państwu wykres siły względnej S&amp;P500/RTS. Na wykresie tym wybiciu z formacji podwójnego dna doszło do korekty spadkowej, która prawdopodobnie dobiega końca. </w:t>
      </w:r>
    </w:p>
    <w:p w:rsidR="00F27ED0" w:rsidRDefault="00F27ED0" w:rsidP="00F27ED0">
      <w:pPr>
        <w:pStyle w:val="Bezodstpw"/>
        <w:jc w:val="both"/>
        <w:rPr>
          <w:sz w:val="26"/>
          <w:szCs w:val="26"/>
        </w:rPr>
      </w:pPr>
    </w:p>
    <w:p w:rsidR="00F27ED0" w:rsidRPr="00D3180D" w:rsidRDefault="00F27ED0" w:rsidP="00F27ED0">
      <w:pPr>
        <w:pStyle w:val="Bezodstpw"/>
        <w:jc w:val="both"/>
        <w:rPr>
          <w:b/>
          <w:sz w:val="26"/>
          <w:szCs w:val="26"/>
          <w:u w:val="single"/>
        </w:rPr>
      </w:pPr>
      <w:r w:rsidRPr="00D3180D">
        <w:rPr>
          <w:b/>
          <w:sz w:val="26"/>
          <w:szCs w:val="26"/>
          <w:u w:val="single"/>
        </w:rPr>
        <w:t>S&amp;P500/RTS</w:t>
      </w:r>
    </w:p>
    <w:p w:rsidR="00F27ED0" w:rsidRDefault="00F27ED0" w:rsidP="00F27ED0">
      <w:pPr>
        <w:pStyle w:val="Bezodstpw"/>
        <w:jc w:val="both"/>
        <w:rPr>
          <w:sz w:val="26"/>
          <w:szCs w:val="26"/>
        </w:rPr>
      </w:pPr>
    </w:p>
    <w:p w:rsidR="00F27ED0" w:rsidRDefault="00F27ED0" w:rsidP="00F27ED0">
      <w:pPr>
        <w:pStyle w:val="Bezodstpw"/>
        <w:jc w:val="both"/>
        <w:rPr>
          <w:sz w:val="26"/>
          <w:szCs w:val="26"/>
        </w:rPr>
      </w:pPr>
      <w:r>
        <w:rPr>
          <w:noProof/>
          <w:sz w:val="26"/>
          <w:szCs w:val="26"/>
        </w:rPr>
        <w:drawing>
          <wp:inline distT="0" distB="0" distL="0" distR="0" wp14:anchorId="3C512FCF" wp14:editId="11A3E5FA">
            <wp:extent cx="5429250" cy="32575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F27ED0" w:rsidRDefault="00F27ED0" w:rsidP="00F27ED0">
      <w:pPr>
        <w:pStyle w:val="Bezodstpw"/>
        <w:jc w:val="both"/>
        <w:rPr>
          <w:sz w:val="26"/>
          <w:szCs w:val="26"/>
        </w:rPr>
      </w:pPr>
    </w:p>
    <w:p w:rsidR="00F27ED0" w:rsidRDefault="00F27ED0" w:rsidP="00F27ED0">
      <w:pPr>
        <w:pStyle w:val="Bezodstpw"/>
        <w:jc w:val="both"/>
        <w:rPr>
          <w:sz w:val="26"/>
          <w:szCs w:val="26"/>
        </w:rPr>
      </w:pPr>
      <w:r>
        <w:rPr>
          <w:sz w:val="26"/>
          <w:szCs w:val="26"/>
        </w:rPr>
        <w:t xml:space="preserve">Skoro teraz indeks S&amp;P500 miałby być lepszy od indeksu RTS, to można się spodziewać, że mogą pojawić się czynniki sprzyjające dużej relatywnej sile indeksu S&amp;P500 oraz dużej relatywnej słabości indeksu RTS. </w:t>
      </w:r>
    </w:p>
    <w:p w:rsidR="00F27ED0" w:rsidRDefault="00F27ED0" w:rsidP="00F27ED0">
      <w:pPr>
        <w:pStyle w:val="Bezodstpw"/>
        <w:jc w:val="both"/>
        <w:rPr>
          <w:sz w:val="26"/>
          <w:szCs w:val="26"/>
        </w:rPr>
      </w:pPr>
    </w:p>
    <w:p w:rsidR="00F27ED0" w:rsidRDefault="00F27ED0" w:rsidP="00F27ED0">
      <w:pPr>
        <w:pStyle w:val="Bezodstpw"/>
        <w:jc w:val="both"/>
        <w:rPr>
          <w:sz w:val="26"/>
          <w:szCs w:val="26"/>
        </w:rPr>
      </w:pPr>
      <w:r w:rsidRPr="00844DFB">
        <w:rPr>
          <w:b/>
          <w:sz w:val="26"/>
          <w:szCs w:val="26"/>
          <w:u w:val="single"/>
        </w:rPr>
        <w:t xml:space="preserve">Szczególnie warto zwrócić na realną perspektywę słabości indeksu RTS. Z czego może ona </w:t>
      </w:r>
      <w:proofErr w:type="gramStart"/>
      <w:r w:rsidRPr="00844DFB">
        <w:rPr>
          <w:b/>
          <w:sz w:val="26"/>
          <w:szCs w:val="26"/>
          <w:u w:val="single"/>
        </w:rPr>
        <w:t xml:space="preserve">wynikać ? </w:t>
      </w:r>
      <w:proofErr w:type="gramEnd"/>
      <w:r w:rsidRPr="00844DFB">
        <w:rPr>
          <w:b/>
          <w:sz w:val="26"/>
          <w:szCs w:val="26"/>
          <w:u w:val="single"/>
        </w:rPr>
        <w:t xml:space="preserve">Być może z tego co </w:t>
      </w:r>
      <w:proofErr w:type="gramStart"/>
      <w:r w:rsidRPr="00844DFB">
        <w:rPr>
          <w:b/>
          <w:sz w:val="26"/>
          <w:szCs w:val="26"/>
          <w:u w:val="single"/>
        </w:rPr>
        <w:t xml:space="preserve">zazwyczaj ? </w:t>
      </w:r>
      <w:proofErr w:type="gramEnd"/>
      <w:r w:rsidRPr="00844DFB">
        <w:rPr>
          <w:b/>
          <w:sz w:val="26"/>
          <w:szCs w:val="26"/>
          <w:u w:val="single"/>
        </w:rPr>
        <w:t>Z realnej perspektywy słabości cen surowców, w tym ropy naftowej</w:t>
      </w:r>
      <w:r>
        <w:rPr>
          <w:sz w:val="26"/>
          <w:szCs w:val="26"/>
        </w:rPr>
        <w:t xml:space="preserve">. To jest pewne niebezpieczeństwo także dla </w:t>
      </w:r>
      <w:r>
        <w:rPr>
          <w:sz w:val="26"/>
          <w:szCs w:val="26"/>
        </w:rPr>
        <w:lastRenderedPageBreak/>
        <w:t>innych wschodzących rynków akcji. Jest jednak pewien czynnik pozytywny. Popatrzmy na wykres WIG/RTS</w:t>
      </w:r>
    </w:p>
    <w:p w:rsidR="00F27ED0" w:rsidRDefault="00F27ED0" w:rsidP="00F27ED0">
      <w:pPr>
        <w:pStyle w:val="Bezodstpw"/>
        <w:jc w:val="both"/>
        <w:rPr>
          <w:sz w:val="26"/>
          <w:szCs w:val="26"/>
        </w:rPr>
      </w:pPr>
    </w:p>
    <w:p w:rsidR="00F27ED0" w:rsidRPr="00191862" w:rsidRDefault="00F27ED0" w:rsidP="00F27ED0">
      <w:pPr>
        <w:pStyle w:val="Bezodstpw"/>
        <w:jc w:val="both"/>
        <w:rPr>
          <w:b/>
          <w:sz w:val="26"/>
          <w:szCs w:val="26"/>
          <w:u w:val="single"/>
        </w:rPr>
      </w:pPr>
      <w:r w:rsidRPr="00191862">
        <w:rPr>
          <w:b/>
          <w:sz w:val="26"/>
          <w:szCs w:val="26"/>
          <w:u w:val="single"/>
        </w:rPr>
        <w:t>WIG/RTS</w:t>
      </w:r>
    </w:p>
    <w:p w:rsidR="00F27ED0" w:rsidRDefault="00F27ED0" w:rsidP="00F27ED0">
      <w:pPr>
        <w:pStyle w:val="Bezodstpw"/>
        <w:jc w:val="both"/>
        <w:rPr>
          <w:sz w:val="26"/>
          <w:szCs w:val="26"/>
        </w:rPr>
      </w:pPr>
    </w:p>
    <w:p w:rsidR="00F27ED0" w:rsidRDefault="00F27ED0" w:rsidP="00F27ED0">
      <w:pPr>
        <w:pStyle w:val="Bezodstpw"/>
        <w:jc w:val="both"/>
        <w:rPr>
          <w:sz w:val="26"/>
          <w:szCs w:val="26"/>
        </w:rPr>
      </w:pPr>
      <w:r>
        <w:rPr>
          <w:noProof/>
          <w:sz w:val="26"/>
          <w:szCs w:val="26"/>
        </w:rPr>
        <w:drawing>
          <wp:inline distT="0" distB="0" distL="0" distR="0" wp14:anchorId="57BA7020" wp14:editId="266C6055">
            <wp:extent cx="5438775" cy="32575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8775" cy="3257550"/>
                    </a:xfrm>
                    <a:prstGeom prst="rect">
                      <a:avLst/>
                    </a:prstGeom>
                    <a:noFill/>
                  </pic:spPr>
                </pic:pic>
              </a:graphicData>
            </a:graphic>
          </wp:inline>
        </w:drawing>
      </w:r>
    </w:p>
    <w:p w:rsidR="00F27ED0" w:rsidRDefault="00F27ED0" w:rsidP="00F27ED0">
      <w:pPr>
        <w:pStyle w:val="Bezodstpw"/>
        <w:jc w:val="both"/>
        <w:rPr>
          <w:sz w:val="26"/>
          <w:szCs w:val="26"/>
        </w:rPr>
      </w:pPr>
    </w:p>
    <w:p w:rsidR="00F27ED0" w:rsidRPr="00844DFB" w:rsidRDefault="00F27ED0" w:rsidP="00F27ED0">
      <w:pPr>
        <w:pStyle w:val="Bezodstpw"/>
        <w:jc w:val="both"/>
        <w:rPr>
          <w:b/>
          <w:sz w:val="26"/>
          <w:szCs w:val="26"/>
          <w:u w:val="single"/>
        </w:rPr>
      </w:pPr>
      <w:r>
        <w:rPr>
          <w:sz w:val="26"/>
          <w:szCs w:val="26"/>
        </w:rPr>
        <w:t xml:space="preserve">Na wykresie tym wybiciu z formacji podwójnego dna doszło do korekty spadkowej, która prawdopodobnie dobiega końca. Czyli WIG powinien być teraz lepszy od indeksu RTS. </w:t>
      </w:r>
      <w:r w:rsidRPr="00844DFB">
        <w:rPr>
          <w:b/>
          <w:sz w:val="26"/>
          <w:szCs w:val="26"/>
          <w:u w:val="single"/>
        </w:rPr>
        <w:t xml:space="preserve">Może wiec będzie tak, że (tak zakładam) wysoce prawdopodobnej słabości rosyjskiego rynku akcji towarzyszyć będzie przepływ kapitału z rosyjskiego rynku akcji na polski rynek </w:t>
      </w:r>
      <w:proofErr w:type="gramStart"/>
      <w:r w:rsidRPr="00844DFB">
        <w:rPr>
          <w:b/>
          <w:sz w:val="26"/>
          <w:szCs w:val="26"/>
          <w:u w:val="single"/>
        </w:rPr>
        <w:t>akcji ?.</w:t>
      </w:r>
      <w:proofErr w:type="gramEnd"/>
    </w:p>
    <w:p w:rsidR="00F27ED0" w:rsidRDefault="00F27ED0" w:rsidP="00F27ED0">
      <w:pPr>
        <w:pStyle w:val="Bezodstpw"/>
        <w:jc w:val="both"/>
        <w:rPr>
          <w:sz w:val="26"/>
          <w:szCs w:val="26"/>
        </w:rPr>
      </w:pPr>
    </w:p>
    <w:p w:rsidR="00F27ED0" w:rsidRDefault="00F27ED0" w:rsidP="00F27ED0">
      <w:pPr>
        <w:pStyle w:val="Bezodstpw"/>
        <w:jc w:val="both"/>
        <w:rPr>
          <w:sz w:val="26"/>
          <w:szCs w:val="26"/>
        </w:rPr>
      </w:pPr>
      <w:r>
        <w:rPr>
          <w:sz w:val="26"/>
          <w:szCs w:val="26"/>
        </w:rPr>
        <w:t xml:space="preserve">To jest bardzo realne. Popatrzmy jeszcze teraz na WIG. Doszło na wykresie do wybicia z małej formacji podwójnego dna. To dobry </w:t>
      </w:r>
      <w:proofErr w:type="gramStart"/>
      <w:r>
        <w:rPr>
          <w:sz w:val="26"/>
          <w:szCs w:val="26"/>
        </w:rPr>
        <w:t xml:space="preserve">sygnał ! </w:t>
      </w:r>
      <w:proofErr w:type="gramEnd"/>
      <w:r>
        <w:rPr>
          <w:sz w:val="26"/>
          <w:szCs w:val="26"/>
        </w:rPr>
        <w:t xml:space="preserve">Wydaje się, że </w:t>
      </w:r>
      <w:proofErr w:type="gramStart"/>
      <w:r>
        <w:rPr>
          <w:sz w:val="26"/>
          <w:szCs w:val="26"/>
        </w:rPr>
        <w:t>,,</w:t>
      </w:r>
      <w:proofErr w:type="gramEnd"/>
      <w:r>
        <w:rPr>
          <w:sz w:val="26"/>
          <w:szCs w:val="26"/>
        </w:rPr>
        <w:t xml:space="preserve">spalenie” formacji podwójnego szczytu na wykresie indeksu S&amp;P50 pomoże też WIG-owi. </w:t>
      </w:r>
    </w:p>
    <w:p w:rsidR="00F27ED0" w:rsidRDefault="00F27ED0" w:rsidP="00F27ED0">
      <w:pPr>
        <w:pStyle w:val="Bezodstpw"/>
        <w:jc w:val="both"/>
        <w:rPr>
          <w:sz w:val="26"/>
          <w:szCs w:val="26"/>
        </w:rPr>
      </w:pPr>
    </w:p>
    <w:p w:rsidR="00F27ED0" w:rsidRPr="00191862" w:rsidRDefault="00F27ED0" w:rsidP="00F27ED0">
      <w:pPr>
        <w:pStyle w:val="Bezodstpw"/>
        <w:jc w:val="both"/>
        <w:rPr>
          <w:b/>
          <w:sz w:val="26"/>
          <w:szCs w:val="26"/>
          <w:u w:val="single"/>
        </w:rPr>
      </w:pPr>
      <w:r w:rsidRPr="00191862">
        <w:rPr>
          <w:b/>
          <w:sz w:val="26"/>
          <w:szCs w:val="26"/>
          <w:u w:val="single"/>
        </w:rPr>
        <w:t>WIG</w:t>
      </w:r>
    </w:p>
    <w:p w:rsidR="00F27ED0" w:rsidRDefault="00F27ED0" w:rsidP="00F27ED0">
      <w:pPr>
        <w:pStyle w:val="Bezodstpw"/>
        <w:jc w:val="both"/>
        <w:rPr>
          <w:sz w:val="26"/>
          <w:szCs w:val="26"/>
        </w:rPr>
      </w:pPr>
    </w:p>
    <w:p w:rsidR="00F27ED0" w:rsidRDefault="00F27ED0" w:rsidP="00F27ED0">
      <w:pPr>
        <w:pStyle w:val="Bezodstpw"/>
        <w:jc w:val="both"/>
        <w:rPr>
          <w:sz w:val="26"/>
          <w:szCs w:val="26"/>
        </w:rPr>
      </w:pPr>
      <w:r>
        <w:rPr>
          <w:noProof/>
          <w:sz w:val="26"/>
          <w:szCs w:val="26"/>
        </w:rPr>
        <w:drawing>
          <wp:inline distT="0" distB="0" distL="0" distR="0" wp14:anchorId="26B85527" wp14:editId="08A77C75">
            <wp:extent cx="3028950" cy="181927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1819275"/>
                    </a:xfrm>
                    <a:prstGeom prst="rect">
                      <a:avLst/>
                    </a:prstGeom>
                    <a:noFill/>
                  </pic:spPr>
                </pic:pic>
              </a:graphicData>
            </a:graphic>
          </wp:inline>
        </w:drawing>
      </w:r>
    </w:p>
    <w:p w:rsidR="00F27ED0" w:rsidRDefault="00F27ED0" w:rsidP="00F27ED0">
      <w:pPr>
        <w:spacing w:after="0" w:line="240" w:lineRule="auto"/>
        <w:jc w:val="both"/>
        <w:rPr>
          <w:b/>
          <w:sz w:val="26"/>
          <w:szCs w:val="26"/>
          <w:u w:val="single"/>
        </w:rPr>
      </w:pPr>
    </w:p>
    <w:p w:rsidR="00F27ED0" w:rsidRDefault="00F27ED0" w:rsidP="00F27ED0">
      <w:pPr>
        <w:shd w:val="clear" w:color="auto" w:fill="FFFF00"/>
        <w:spacing w:after="0" w:line="240" w:lineRule="auto"/>
        <w:jc w:val="center"/>
        <w:rPr>
          <w:rFonts w:eastAsia="Times New Roman" w:cs="Times New Roman"/>
          <w:b/>
          <w:sz w:val="100"/>
          <w:szCs w:val="100"/>
        </w:rPr>
      </w:pPr>
      <w:r>
        <w:rPr>
          <w:rFonts w:eastAsia="Times New Roman" w:cs="Times New Roman"/>
          <w:b/>
          <w:sz w:val="100"/>
          <w:szCs w:val="100"/>
        </w:rPr>
        <w:t xml:space="preserve">Ile wynosiła średnia procentowa zmiana kursu akcji spółki po wprowadzeniu jej do rubryki </w:t>
      </w:r>
      <w:proofErr w:type="gramStart"/>
      <w:r>
        <w:rPr>
          <w:rFonts w:eastAsia="Times New Roman" w:cs="Times New Roman"/>
          <w:b/>
          <w:sz w:val="100"/>
          <w:szCs w:val="100"/>
        </w:rPr>
        <w:t>,,</w:t>
      </w:r>
      <w:proofErr w:type="gramEnd"/>
      <w:r>
        <w:rPr>
          <w:rFonts w:eastAsia="Times New Roman" w:cs="Times New Roman"/>
          <w:b/>
          <w:sz w:val="100"/>
          <w:szCs w:val="100"/>
        </w:rPr>
        <w:t>Wykres do przemyślenia” w okresie 12 pierwszych miesięcy po jej wprowadzeniu do tej rubryki ?</w:t>
      </w:r>
    </w:p>
    <w:p w:rsidR="00F27ED0" w:rsidRDefault="00F27ED0" w:rsidP="00F27ED0">
      <w:pPr>
        <w:spacing w:after="0" w:line="240" w:lineRule="auto"/>
        <w:jc w:val="both"/>
        <w:rPr>
          <w:rFonts w:eastAsia="Times New Roman" w:cs="Times New Roman"/>
          <w:b/>
          <w:sz w:val="26"/>
          <w:szCs w:val="26"/>
        </w:rPr>
      </w:pPr>
    </w:p>
    <w:p w:rsidR="00F27ED0" w:rsidRDefault="00F27ED0" w:rsidP="00F27ED0">
      <w:pPr>
        <w:spacing w:after="0" w:line="240" w:lineRule="auto"/>
        <w:jc w:val="both"/>
        <w:rPr>
          <w:rFonts w:eastAsia="Times New Roman" w:cs="Times New Roman"/>
          <w:b/>
          <w:sz w:val="26"/>
          <w:szCs w:val="26"/>
        </w:rPr>
      </w:pPr>
    </w:p>
    <w:p w:rsidR="00F27ED0" w:rsidRDefault="00F27ED0" w:rsidP="00F27ED0">
      <w:pPr>
        <w:spacing w:after="0" w:line="240" w:lineRule="auto"/>
        <w:jc w:val="center"/>
        <w:rPr>
          <w:rFonts w:eastAsia="Times New Roman" w:cs="Times New Roman"/>
          <w:b/>
          <w:sz w:val="32"/>
          <w:szCs w:val="32"/>
          <w:u w:val="single"/>
        </w:rPr>
      </w:pPr>
      <w:r>
        <w:rPr>
          <w:rFonts w:eastAsia="Times New Roman" w:cs="Times New Roman"/>
          <w:b/>
          <w:sz w:val="32"/>
          <w:szCs w:val="32"/>
          <w:u w:val="single"/>
        </w:rPr>
        <w:t>Obliczenia według stanu na 2</w:t>
      </w:r>
      <w:r w:rsidR="00844DFB">
        <w:rPr>
          <w:rFonts w:eastAsia="Times New Roman" w:cs="Times New Roman"/>
          <w:b/>
          <w:sz w:val="32"/>
          <w:szCs w:val="32"/>
          <w:u w:val="single"/>
        </w:rPr>
        <w:t>9</w:t>
      </w:r>
      <w:r>
        <w:rPr>
          <w:rFonts w:eastAsia="Times New Roman" w:cs="Times New Roman"/>
          <w:b/>
          <w:sz w:val="32"/>
          <w:szCs w:val="32"/>
          <w:u w:val="single"/>
        </w:rPr>
        <w:t xml:space="preserve"> lipca 2016 roku</w:t>
      </w:r>
    </w:p>
    <w:p w:rsidR="00F27ED0" w:rsidRDefault="00F27ED0" w:rsidP="00F27ED0">
      <w:pPr>
        <w:spacing w:after="0" w:line="240" w:lineRule="auto"/>
        <w:jc w:val="center"/>
        <w:rPr>
          <w:rFonts w:eastAsia="Times New Roman" w:cs="Times New Roman"/>
          <w:b/>
          <w:sz w:val="32"/>
          <w:szCs w:val="32"/>
          <w:u w:val="single"/>
        </w:rPr>
      </w:pPr>
    </w:p>
    <w:p w:rsidR="00F27ED0" w:rsidRDefault="00F27ED0" w:rsidP="00F27ED0">
      <w:pPr>
        <w:spacing w:after="0" w:line="240" w:lineRule="auto"/>
        <w:jc w:val="both"/>
        <w:rPr>
          <w:rFonts w:eastAsia="Times New Roman" w:cs="Times New Roman"/>
          <w:b/>
          <w:sz w:val="26"/>
          <w:szCs w:val="26"/>
        </w:rPr>
      </w:pPr>
    </w:p>
    <w:p w:rsidR="00F27ED0" w:rsidRDefault="00F27ED0" w:rsidP="00F27ED0">
      <w:pPr>
        <w:spacing w:after="0" w:line="240" w:lineRule="auto"/>
        <w:jc w:val="both"/>
        <w:rPr>
          <w:rFonts w:eastAsia="Times New Roman" w:cs="Times New Roman"/>
          <w:b/>
          <w:sz w:val="32"/>
          <w:szCs w:val="32"/>
        </w:rPr>
      </w:pPr>
      <w:r>
        <w:rPr>
          <w:rFonts w:eastAsia="Times New Roman" w:cs="Times New Roman"/>
          <w:b/>
          <w:sz w:val="32"/>
          <w:szCs w:val="32"/>
        </w:rPr>
        <w:t xml:space="preserve">Wprowadzenie </w:t>
      </w:r>
    </w:p>
    <w:p w:rsidR="00F27ED0" w:rsidRDefault="00F27ED0" w:rsidP="00F27ED0">
      <w:pPr>
        <w:spacing w:after="0" w:line="240" w:lineRule="auto"/>
        <w:jc w:val="both"/>
        <w:rPr>
          <w:rFonts w:eastAsia="Times New Roman" w:cs="Times New Roman"/>
          <w:sz w:val="32"/>
          <w:szCs w:val="32"/>
        </w:rPr>
      </w:pPr>
    </w:p>
    <w:p w:rsidR="00F27ED0" w:rsidRDefault="00F27ED0" w:rsidP="00F27ED0">
      <w:pPr>
        <w:spacing w:after="0" w:line="240" w:lineRule="auto"/>
        <w:jc w:val="both"/>
        <w:rPr>
          <w:rFonts w:eastAsia="Times New Roman" w:cs="Times New Roman"/>
          <w:sz w:val="32"/>
          <w:szCs w:val="32"/>
        </w:rPr>
      </w:pPr>
      <w:r>
        <w:rPr>
          <w:rFonts w:eastAsia="Times New Roman" w:cs="Times New Roman"/>
          <w:sz w:val="32"/>
          <w:szCs w:val="32"/>
        </w:rPr>
        <w:t xml:space="preserve">Strona internetowa </w:t>
      </w:r>
      <w:hyperlink r:id="rId15" w:history="1">
        <w:r>
          <w:rPr>
            <w:rStyle w:val="Hipercze"/>
            <w:rFonts w:eastAsia="Times New Roman" w:cs="Times New Roman"/>
            <w:sz w:val="32"/>
            <w:szCs w:val="32"/>
          </w:rPr>
          <w:t>http://analizy-rynkowe.pl/</w:t>
        </w:r>
      </w:hyperlink>
      <w:r>
        <w:rPr>
          <w:rFonts w:eastAsia="Times New Roman" w:cs="Times New Roman"/>
          <w:sz w:val="32"/>
          <w:szCs w:val="32"/>
        </w:rPr>
        <w:t xml:space="preserve"> prowadzona jest od września 2014 roku. </w:t>
      </w:r>
    </w:p>
    <w:p w:rsidR="00F27ED0" w:rsidRDefault="00F27ED0" w:rsidP="00F27ED0">
      <w:pPr>
        <w:spacing w:after="0" w:line="240" w:lineRule="auto"/>
        <w:jc w:val="both"/>
        <w:rPr>
          <w:rFonts w:eastAsia="Times New Roman" w:cs="Times New Roman"/>
          <w:sz w:val="32"/>
          <w:szCs w:val="32"/>
        </w:rPr>
      </w:pPr>
    </w:p>
    <w:p w:rsidR="00F27ED0" w:rsidRDefault="00F27ED0" w:rsidP="00F27ED0">
      <w:pPr>
        <w:spacing w:after="0" w:line="240" w:lineRule="auto"/>
        <w:jc w:val="both"/>
        <w:rPr>
          <w:rFonts w:eastAsia="Times New Roman" w:cs="Times New Roman"/>
          <w:sz w:val="32"/>
          <w:szCs w:val="32"/>
        </w:rPr>
      </w:pPr>
      <w:r>
        <w:rPr>
          <w:rFonts w:eastAsia="Times New Roman" w:cs="Times New Roman"/>
          <w:sz w:val="32"/>
          <w:szCs w:val="32"/>
        </w:rPr>
        <w:t xml:space="preserve">Co tydzień publikowany jest </w:t>
      </w:r>
      <w:proofErr w:type="gramStart"/>
      <w:r>
        <w:rPr>
          <w:rFonts w:eastAsia="Times New Roman" w:cs="Times New Roman"/>
          <w:sz w:val="32"/>
          <w:szCs w:val="32"/>
        </w:rPr>
        <w:t>,,</w:t>
      </w:r>
      <w:proofErr w:type="gramEnd"/>
      <w:r>
        <w:rPr>
          <w:rFonts w:eastAsia="Times New Roman" w:cs="Times New Roman"/>
          <w:sz w:val="32"/>
          <w:szCs w:val="32"/>
        </w:rPr>
        <w:t>Raport Tygodniowy”</w:t>
      </w:r>
    </w:p>
    <w:p w:rsidR="00F27ED0" w:rsidRDefault="00F27ED0" w:rsidP="00F27ED0">
      <w:pPr>
        <w:spacing w:after="0" w:line="240" w:lineRule="auto"/>
        <w:jc w:val="both"/>
        <w:rPr>
          <w:rFonts w:eastAsia="Times New Roman" w:cs="Times New Roman"/>
          <w:sz w:val="32"/>
          <w:szCs w:val="32"/>
        </w:rPr>
      </w:pPr>
    </w:p>
    <w:p w:rsidR="00F27ED0" w:rsidRDefault="00F27ED0" w:rsidP="00F27ED0">
      <w:pPr>
        <w:spacing w:after="0" w:line="240" w:lineRule="auto"/>
        <w:jc w:val="both"/>
        <w:rPr>
          <w:rFonts w:eastAsia="Times New Roman" w:cs="Times New Roman"/>
          <w:b/>
          <w:color w:val="FF0000"/>
          <w:sz w:val="32"/>
          <w:szCs w:val="32"/>
        </w:rPr>
      </w:pPr>
      <w:r>
        <w:rPr>
          <w:rFonts w:eastAsia="Times New Roman" w:cs="Times New Roman"/>
          <w:sz w:val="32"/>
          <w:szCs w:val="32"/>
        </w:rPr>
        <w:t xml:space="preserve">Od czasu do czasu umieszczam wybrane spółki w rubryce </w:t>
      </w:r>
      <w:proofErr w:type="gramStart"/>
      <w:r>
        <w:rPr>
          <w:rFonts w:eastAsia="Times New Roman" w:cs="Times New Roman"/>
          <w:b/>
          <w:color w:val="FF0000"/>
          <w:sz w:val="32"/>
          <w:szCs w:val="32"/>
        </w:rPr>
        <w:t>,,</w:t>
      </w:r>
      <w:proofErr w:type="gramEnd"/>
      <w:r>
        <w:rPr>
          <w:rFonts w:eastAsia="Times New Roman" w:cs="Times New Roman"/>
          <w:b/>
          <w:color w:val="FF0000"/>
          <w:sz w:val="32"/>
          <w:szCs w:val="32"/>
        </w:rPr>
        <w:t xml:space="preserve">Wykres do przemyślenia”. </w:t>
      </w:r>
    </w:p>
    <w:p w:rsidR="00F27ED0" w:rsidRDefault="00F27ED0" w:rsidP="00F27ED0">
      <w:pPr>
        <w:spacing w:after="0" w:line="240" w:lineRule="auto"/>
        <w:jc w:val="both"/>
        <w:rPr>
          <w:rFonts w:eastAsia="Times New Roman" w:cs="Times New Roman"/>
          <w:sz w:val="32"/>
          <w:szCs w:val="32"/>
        </w:rPr>
      </w:pPr>
    </w:p>
    <w:p w:rsidR="00F27ED0" w:rsidRDefault="00F27ED0" w:rsidP="00F27ED0">
      <w:pPr>
        <w:spacing w:after="0" w:line="240" w:lineRule="auto"/>
        <w:jc w:val="both"/>
        <w:rPr>
          <w:rFonts w:eastAsia="Times New Roman" w:cs="Times New Roman"/>
          <w:b/>
          <w:color w:val="FF0000"/>
          <w:sz w:val="32"/>
          <w:szCs w:val="32"/>
        </w:rPr>
      </w:pPr>
      <w:r>
        <w:rPr>
          <w:rFonts w:eastAsia="Times New Roman" w:cs="Times New Roman"/>
          <w:sz w:val="32"/>
          <w:szCs w:val="32"/>
        </w:rPr>
        <w:t xml:space="preserve">Umieszczane są tam te przykładowe spółki, których kurs </w:t>
      </w:r>
      <w:r>
        <w:rPr>
          <w:rFonts w:eastAsia="Times New Roman" w:cs="Times New Roman"/>
          <w:b/>
          <w:color w:val="FF0000"/>
          <w:sz w:val="32"/>
          <w:szCs w:val="32"/>
        </w:rPr>
        <w:t xml:space="preserve">wybił się z formacji podwójnego dna. </w:t>
      </w:r>
    </w:p>
    <w:p w:rsidR="00F27ED0" w:rsidRDefault="00F27ED0" w:rsidP="00F27ED0">
      <w:pPr>
        <w:spacing w:after="0" w:line="240" w:lineRule="auto"/>
        <w:jc w:val="both"/>
        <w:rPr>
          <w:rFonts w:eastAsia="Times New Roman" w:cs="Times New Roman"/>
          <w:sz w:val="32"/>
          <w:szCs w:val="32"/>
        </w:rPr>
      </w:pPr>
    </w:p>
    <w:p w:rsidR="00F27ED0" w:rsidRDefault="00F27ED0" w:rsidP="00F27ED0">
      <w:pPr>
        <w:spacing w:after="0" w:line="240" w:lineRule="auto"/>
        <w:jc w:val="both"/>
        <w:rPr>
          <w:rFonts w:eastAsia="Times New Roman" w:cs="Times New Roman"/>
          <w:b/>
          <w:sz w:val="32"/>
          <w:szCs w:val="32"/>
        </w:rPr>
      </w:pPr>
      <w:r>
        <w:rPr>
          <w:rFonts w:eastAsia="Times New Roman" w:cs="Times New Roman"/>
          <w:sz w:val="32"/>
          <w:szCs w:val="32"/>
        </w:rPr>
        <w:t xml:space="preserve">Formacja podwójnego dna ma </w:t>
      </w:r>
      <w:r>
        <w:rPr>
          <w:rFonts w:eastAsia="Times New Roman" w:cs="Times New Roman"/>
          <w:b/>
          <w:sz w:val="32"/>
          <w:szCs w:val="32"/>
        </w:rPr>
        <w:t xml:space="preserve">2 </w:t>
      </w:r>
      <w:proofErr w:type="gramStart"/>
      <w:r>
        <w:rPr>
          <w:rFonts w:eastAsia="Times New Roman" w:cs="Times New Roman"/>
          <w:b/>
          <w:sz w:val="32"/>
          <w:szCs w:val="32"/>
        </w:rPr>
        <w:t>,,</w:t>
      </w:r>
      <w:proofErr w:type="gramEnd"/>
      <w:r>
        <w:rPr>
          <w:rFonts w:eastAsia="Times New Roman" w:cs="Times New Roman"/>
          <w:b/>
          <w:sz w:val="32"/>
          <w:szCs w:val="32"/>
        </w:rPr>
        <w:t xml:space="preserve">zadania”. </w:t>
      </w:r>
    </w:p>
    <w:p w:rsidR="00F27ED0" w:rsidRDefault="00F27ED0" w:rsidP="00F27ED0">
      <w:pPr>
        <w:spacing w:after="0" w:line="240" w:lineRule="auto"/>
        <w:jc w:val="both"/>
        <w:rPr>
          <w:rFonts w:eastAsia="Times New Roman" w:cs="Times New Roman"/>
          <w:sz w:val="32"/>
          <w:szCs w:val="32"/>
        </w:rPr>
      </w:pPr>
    </w:p>
    <w:p w:rsidR="00F27ED0" w:rsidRDefault="00F27ED0" w:rsidP="00F27ED0">
      <w:pPr>
        <w:spacing w:after="0" w:line="240" w:lineRule="auto"/>
        <w:jc w:val="both"/>
        <w:rPr>
          <w:rFonts w:eastAsia="Times New Roman" w:cs="Times New Roman"/>
          <w:sz w:val="32"/>
          <w:szCs w:val="32"/>
        </w:rPr>
      </w:pPr>
      <w:r>
        <w:rPr>
          <w:rFonts w:eastAsia="Times New Roman" w:cs="Times New Roman"/>
          <w:sz w:val="32"/>
          <w:szCs w:val="32"/>
        </w:rPr>
        <w:t xml:space="preserve">Podstawowym, minimalnym </w:t>
      </w:r>
      <w:proofErr w:type="gramStart"/>
      <w:r>
        <w:rPr>
          <w:rFonts w:eastAsia="Times New Roman" w:cs="Times New Roman"/>
          <w:sz w:val="32"/>
          <w:szCs w:val="32"/>
        </w:rPr>
        <w:t>,,</w:t>
      </w:r>
      <w:proofErr w:type="gramEnd"/>
      <w:r>
        <w:rPr>
          <w:rFonts w:eastAsia="Times New Roman" w:cs="Times New Roman"/>
          <w:sz w:val="32"/>
          <w:szCs w:val="32"/>
        </w:rPr>
        <w:t xml:space="preserve">zadaniem” tej formacji jest jej wypełnienie </w:t>
      </w:r>
    </w:p>
    <w:p w:rsidR="00F27ED0" w:rsidRDefault="00F27ED0" w:rsidP="00F27ED0">
      <w:pPr>
        <w:spacing w:after="0" w:line="240" w:lineRule="auto"/>
        <w:jc w:val="both"/>
        <w:rPr>
          <w:rFonts w:eastAsia="Times New Roman" w:cs="Times New Roman"/>
          <w:sz w:val="32"/>
          <w:szCs w:val="32"/>
        </w:rPr>
      </w:pPr>
    </w:p>
    <w:p w:rsidR="00F27ED0" w:rsidRDefault="00F27ED0" w:rsidP="00F27ED0">
      <w:pPr>
        <w:spacing w:after="0" w:line="240" w:lineRule="auto"/>
        <w:jc w:val="both"/>
        <w:rPr>
          <w:rFonts w:eastAsia="Times New Roman" w:cs="Times New Roman"/>
          <w:sz w:val="32"/>
          <w:szCs w:val="32"/>
        </w:rPr>
      </w:pPr>
      <w:r>
        <w:rPr>
          <w:rFonts w:eastAsia="Times New Roman" w:cs="Times New Roman"/>
          <w:sz w:val="32"/>
          <w:szCs w:val="32"/>
        </w:rPr>
        <w:t xml:space="preserve">Drugim </w:t>
      </w:r>
      <w:proofErr w:type="gramStart"/>
      <w:r>
        <w:rPr>
          <w:rFonts w:eastAsia="Times New Roman" w:cs="Times New Roman"/>
          <w:sz w:val="32"/>
          <w:szCs w:val="32"/>
        </w:rPr>
        <w:t>,,</w:t>
      </w:r>
      <w:proofErr w:type="gramEnd"/>
      <w:r>
        <w:rPr>
          <w:rFonts w:eastAsia="Times New Roman" w:cs="Times New Roman"/>
          <w:sz w:val="32"/>
          <w:szCs w:val="32"/>
        </w:rPr>
        <w:t xml:space="preserve">zadaniem” tej formacji jest doprowadzenie do zmiany trendu ze spadkowego na wzrostowy. </w:t>
      </w:r>
    </w:p>
    <w:p w:rsidR="00F27ED0" w:rsidRDefault="00F27ED0" w:rsidP="00F27ED0">
      <w:pPr>
        <w:spacing w:after="0" w:line="240" w:lineRule="auto"/>
        <w:jc w:val="both"/>
        <w:rPr>
          <w:rFonts w:eastAsia="Times New Roman" w:cs="Times New Roman"/>
          <w:sz w:val="32"/>
          <w:szCs w:val="32"/>
        </w:rPr>
      </w:pPr>
    </w:p>
    <w:p w:rsidR="00F27ED0" w:rsidRDefault="00F27ED0" w:rsidP="00F27ED0">
      <w:pPr>
        <w:spacing w:after="0" w:line="240" w:lineRule="auto"/>
        <w:jc w:val="both"/>
        <w:rPr>
          <w:rFonts w:eastAsia="Times New Roman" w:cs="Times New Roman"/>
          <w:sz w:val="32"/>
          <w:szCs w:val="32"/>
        </w:rPr>
      </w:pPr>
      <w:r>
        <w:rPr>
          <w:rFonts w:eastAsia="Times New Roman" w:cs="Times New Roman"/>
          <w:sz w:val="32"/>
          <w:szCs w:val="32"/>
        </w:rPr>
        <w:t xml:space="preserve">Osobiście wyróżniam </w:t>
      </w:r>
      <w:r>
        <w:rPr>
          <w:rFonts w:eastAsia="Times New Roman" w:cs="Times New Roman"/>
          <w:b/>
          <w:sz w:val="32"/>
          <w:szCs w:val="32"/>
        </w:rPr>
        <w:t>typowe oraz nietypowe podwójne dno.</w:t>
      </w:r>
      <w:r>
        <w:rPr>
          <w:rFonts w:eastAsia="Times New Roman" w:cs="Times New Roman"/>
          <w:sz w:val="32"/>
          <w:szCs w:val="32"/>
        </w:rPr>
        <w:t xml:space="preserve"> </w:t>
      </w:r>
    </w:p>
    <w:p w:rsidR="00F27ED0" w:rsidRDefault="00F27ED0" w:rsidP="00F27ED0">
      <w:pPr>
        <w:spacing w:after="0" w:line="240" w:lineRule="auto"/>
        <w:jc w:val="both"/>
        <w:rPr>
          <w:rFonts w:eastAsia="Times New Roman" w:cs="Times New Roman"/>
          <w:sz w:val="32"/>
          <w:szCs w:val="32"/>
        </w:rPr>
      </w:pPr>
    </w:p>
    <w:p w:rsidR="00F27ED0" w:rsidRDefault="00F27ED0" w:rsidP="00F27ED0">
      <w:pPr>
        <w:spacing w:after="0" w:line="240" w:lineRule="auto"/>
        <w:jc w:val="both"/>
        <w:rPr>
          <w:rFonts w:eastAsia="Times New Roman" w:cs="Times New Roman"/>
          <w:sz w:val="32"/>
          <w:szCs w:val="32"/>
        </w:rPr>
      </w:pPr>
      <w:r>
        <w:rPr>
          <w:rFonts w:eastAsia="Times New Roman" w:cs="Times New Roman"/>
          <w:sz w:val="32"/>
          <w:szCs w:val="32"/>
        </w:rPr>
        <w:t xml:space="preserve">Typowa formacja podwójnego dna charakteryzuje się tym, że dołki w formacji kształtują się na poziomie identycznym, bądź prawie identycznym. </w:t>
      </w:r>
    </w:p>
    <w:p w:rsidR="00F27ED0" w:rsidRDefault="00F27ED0" w:rsidP="00F27ED0">
      <w:pPr>
        <w:spacing w:after="0" w:line="240" w:lineRule="auto"/>
        <w:jc w:val="both"/>
        <w:rPr>
          <w:rFonts w:eastAsia="Times New Roman" w:cs="Times New Roman"/>
          <w:sz w:val="32"/>
          <w:szCs w:val="32"/>
        </w:rPr>
      </w:pPr>
    </w:p>
    <w:p w:rsidR="00F27ED0" w:rsidRDefault="00F27ED0" w:rsidP="00F27ED0">
      <w:pPr>
        <w:spacing w:after="0" w:line="240" w:lineRule="auto"/>
        <w:jc w:val="both"/>
        <w:rPr>
          <w:rFonts w:eastAsia="Times New Roman" w:cs="Times New Roman"/>
          <w:sz w:val="32"/>
          <w:szCs w:val="32"/>
        </w:rPr>
      </w:pPr>
      <w:r>
        <w:rPr>
          <w:rFonts w:eastAsia="Times New Roman" w:cs="Times New Roman"/>
          <w:sz w:val="32"/>
          <w:szCs w:val="32"/>
        </w:rPr>
        <w:t>Natomiast w przypadku nietypowej formacji podwójnego dna kształtują się one na poziomie zupełnie odmiennym.</w:t>
      </w:r>
    </w:p>
    <w:p w:rsidR="00F27ED0" w:rsidRDefault="00F27ED0" w:rsidP="00F27ED0">
      <w:pPr>
        <w:spacing w:after="0" w:line="240" w:lineRule="auto"/>
        <w:jc w:val="both"/>
        <w:rPr>
          <w:rFonts w:eastAsia="Times New Roman" w:cs="Times New Roman"/>
          <w:sz w:val="32"/>
          <w:szCs w:val="32"/>
        </w:rPr>
      </w:pPr>
    </w:p>
    <w:p w:rsidR="00F27ED0" w:rsidRDefault="00F27ED0" w:rsidP="00F27ED0">
      <w:pPr>
        <w:spacing w:after="0" w:line="240" w:lineRule="auto"/>
        <w:jc w:val="both"/>
        <w:rPr>
          <w:rFonts w:eastAsia="Times New Roman" w:cs="Times New Roman"/>
          <w:b/>
          <w:sz w:val="32"/>
          <w:szCs w:val="32"/>
        </w:rPr>
      </w:pPr>
      <w:r>
        <w:rPr>
          <w:rFonts w:eastAsia="Times New Roman" w:cs="Times New Roman"/>
          <w:sz w:val="32"/>
          <w:szCs w:val="32"/>
        </w:rPr>
        <w:t xml:space="preserve">Od pierwszego numeru </w:t>
      </w:r>
      <w:proofErr w:type="gramStart"/>
      <w:r>
        <w:rPr>
          <w:rFonts w:eastAsia="Times New Roman" w:cs="Times New Roman"/>
          <w:sz w:val="32"/>
          <w:szCs w:val="32"/>
        </w:rPr>
        <w:t>,,</w:t>
      </w:r>
      <w:proofErr w:type="gramEnd"/>
      <w:r>
        <w:rPr>
          <w:rFonts w:eastAsia="Times New Roman" w:cs="Times New Roman"/>
          <w:sz w:val="32"/>
          <w:szCs w:val="32"/>
        </w:rPr>
        <w:t xml:space="preserve">Raportu Tygodniowego” postanowiłem, że będę </w:t>
      </w:r>
      <w:r>
        <w:rPr>
          <w:rFonts w:eastAsia="Times New Roman" w:cs="Times New Roman"/>
          <w:b/>
          <w:sz w:val="32"/>
          <w:szCs w:val="32"/>
        </w:rPr>
        <w:t>porównywał</w:t>
      </w:r>
      <w:r>
        <w:rPr>
          <w:rFonts w:eastAsia="Times New Roman" w:cs="Times New Roman"/>
          <w:sz w:val="32"/>
          <w:szCs w:val="32"/>
        </w:rPr>
        <w:t xml:space="preserve"> zachowanie kursu akcji spółki po wprowadzeniu jej do rubryki ,,Wykres do przemyślenia” </w:t>
      </w:r>
      <w:r>
        <w:rPr>
          <w:rFonts w:eastAsia="Times New Roman" w:cs="Times New Roman"/>
          <w:b/>
          <w:sz w:val="32"/>
          <w:szCs w:val="32"/>
        </w:rPr>
        <w:t xml:space="preserve">z zachowaniem indeksu WIG20. </w:t>
      </w:r>
    </w:p>
    <w:p w:rsidR="00F27ED0" w:rsidRDefault="00F27ED0" w:rsidP="00F27ED0">
      <w:pPr>
        <w:spacing w:after="0" w:line="240" w:lineRule="auto"/>
        <w:jc w:val="both"/>
        <w:rPr>
          <w:rFonts w:eastAsia="Times New Roman" w:cs="Times New Roman"/>
          <w:sz w:val="36"/>
          <w:szCs w:val="36"/>
        </w:rPr>
      </w:pPr>
    </w:p>
    <w:p w:rsidR="00F27ED0" w:rsidRDefault="00F27ED0" w:rsidP="00F27ED0">
      <w:pPr>
        <w:spacing w:after="0" w:line="240" w:lineRule="auto"/>
        <w:jc w:val="both"/>
        <w:rPr>
          <w:rFonts w:eastAsia="Times New Roman" w:cs="Times New Roman"/>
          <w:sz w:val="26"/>
          <w:szCs w:val="26"/>
        </w:rPr>
      </w:pPr>
      <w:r>
        <w:rPr>
          <w:rFonts w:eastAsia="Times New Roman" w:cs="Times New Roman"/>
          <w:sz w:val="26"/>
          <w:szCs w:val="26"/>
        </w:rPr>
        <w:t xml:space="preserve">Tabela: Procentowa zmiana cen akcji czterech spółek, których akcje zostały wymienione w pierwszym numerze </w:t>
      </w:r>
      <w:proofErr w:type="gramStart"/>
      <w:r>
        <w:rPr>
          <w:rFonts w:eastAsia="Times New Roman" w:cs="Times New Roman"/>
          <w:sz w:val="26"/>
          <w:szCs w:val="26"/>
        </w:rPr>
        <w:t>,,</w:t>
      </w:r>
      <w:proofErr w:type="gramEnd"/>
      <w:r>
        <w:rPr>
          <w:rFonts w:eastAsia="Times New Roman" w:cs="Times New Roman"/>
          <w:sz w:val="26"/>
          <w:szCs w:val="26"/>
        </w:rPr>
        <w:t xml:space="preserve">Raportu Tygodniowego” z 8 września 2014 roku w rubryce ,,Wykres do przemyślenia” w okresie od 5 września do 4 września 2015 roku oraz procentowa zmiana indeksu WIG 20 w tym okresie. </w:t>
      </w:r>
    </w:p>
    <w:p w:rsidR="00F27ED0" w:rsidRDefault="00F27ED0" w:rsidP="00F27ED0">
      <w:pPr>
        <w:spacing w:after="0" w:line="240" w:lineRule="auto"/>
        <w:jc w:val="both"/>
        <w:rPr>
          <w:rFonts w:eastAsia="Times New Roman" w:cs="Times New Roman"/>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05.09.2014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04.09.2015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spółki </w:t>
            </w:r>
            <w:proofErr w:type="spellStart"/>
            <w:r>
              <w:t>Immobile</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2,04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2,35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+15,2 %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Akcja spółki Lena</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3,99 zł.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4,44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+11,3 %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w:t>
            </w:r>
            <w:proofErr w:type="gramStart"/>
            <w:r>
              <w:t xml:space="preserve">spółki  </w:t>
            </w:r>
            <w:proofErr w:type="spellStart"/>
            <w:r>
              <w:t>Netmedia</w:t>
            </w:r>
            <w:proofErr w:type="spellEnd"/>
            <w:proofErr w:type="gramEnd"/>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3,63 zł.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5,64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+55,4 %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Akcja spółki Rafako</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4,25 zł.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6,72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+58,1 %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 xml:space="preserve">    +35,0 %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2 541,42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2 146,47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-15,5 %</w:t>
            </w:r>
          </w:p>
        </w:tc>
      </w:tr>
    </w:tbl>
    <w:p w:rsidR="00F27ED0" w:rsidRDefault="00F27ED0" w:rsidP="00F27ED0">
      <w:pPr>
        <w:spacing w:after="0" w:line="240" w:lineRule="auto"/>
        <w:jc w:val="both"/>
        <w:rPr>
          <w:rFonts w:ascii="Calibri" w:eastAsia="Times New Roman" w:hAnsi="Calibri" w:cs="Times New Roman"/>
          <w:sz w:val="36"/>
          <w:szCs w:val="36"/>
          <w:u w:val="single"/>
        </w:rPr>
      </w:pPr>
    </w:p>
    <w:p w:rsidR="00F27ED0" w:rsidRDefault="00F27ED0" w:rsidP="00F27ED0">
      <w:pPr>
        <w:spacing w:after="0" w:line="240" w:lineRule="auto"/>
        <w:jc w:val="both"/>
        <w:rPr>
          <w:rFonts w:eastAsia="Times New Roman" w:cs="Times New Roman"/>
          <w:sz w:val="26"/>
          <w:szCs w:val="26"/>
        </w:rPr>
      </w:pPr>
      <w:r>
        <w:rPr>
          <w:rFonts w:eastAsia="Times New Roman" w:cs="Times New Roman"/>
          <w:sz w:val="26"/>
          <w:szCs w:val="26"/>
        </w:rPr>
        <w:t xml:space="preserve">Tabela: Procentowa zmiana ceny akcji spółki, której akcje zostały wymienione w drugim numerze </w:t>
      </w:r>
      <w:proofErr w:type="gramStart"/>
      <w:r>
        <w:rPr>
          <w:rFonts w:eastAsia="Times New Roman" w:cs="Times New Roman"/>
          <w:sz w:val="26"/>
          <w:szCs w:val="26"/>
        </w:rPr>
        <w:t>,,</w:t>
      </w:r>
      <w:proofErr w:type="gramEnd"/>
      <w:r>
        <w:rPr>
          <w:rFonts w:eastAsia="Times New Roman" w:cs="Times New Roman"/>
          <w:sz w:val="26"/>
          <w:szCs w:val="26"/>
        </w:rPr>
        <w:t xml:space="preserve">Raportu Tygodniowego” z 15 września 2014 roku w rubryce ,,Wykres do przemyślenia” w okresie od 12 września do 11 września 2015 roku oraz procentowa zmiana indeksu WIG 20 w tym okresie. </w:t>
      </w:r>
    </w:p>
    <w:p w:rsidR="00F27ED0" w:rsidRDefault="00F27ED0" w:rsidP="00F27ED0">
      <w:pPr>
        <w:spacing w:after="0" w:line="240" w:lineRule="auto"/>
        <w:jc w:val="both"/>
        <w:rPr>
          <w:rFonts w:cs="Times New Roman"/>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12.09.2014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11.09.2015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Akcja spółki Boryszew</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6,50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5,15 zł. </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-20,8 %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 xml:space="preserve">  -20,8 %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2 185,46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-12,5 %</w:t>
            </w:r>
          </w:p>
        </w:tc>
      </w:tr>
    </w:tbl>
    <w:p w:rsidR="00F27ED0" w:rsidRDefault="00F27ED0" w:rsidP="00F27ED0">
      <w:pPr>
        <w:spacing w:after="0" w:line="240" w:lineRule="auto"/>
        <w:jc w:val="both"/>
        <w:rPr>
          <w:rFonts w:eastAsia="Times New Roman" w:cs="Times New Roman"/>
          <w:sz w:val="26"/>
          <w:szCs w:val="26"/>
        </w:rPr>
      </w:pPr>
      <w:r>
        <w:rPr>
          <w:rFonts w:eastAsia="Times New Roman" w:cs="Times New Roman"/>
          <w:sz w:val="26"/>
          <w:szCs w:val="26"/>
        </w:rPr>
        <w:t xml:space="preserve">Tabela: Procentowa zmiana ceny akcji spółki, której akcje zostały umieszczone 16 września na stronie internetowej </w:t>
      </w:r>
      <w:hyperlink r:id="rId16" w:history="1">
        <w:r>
          <w:rPr>
            <w:rStyle w:val="Hipercze"/>
            <w:rFonts w:eastAsia="Times New Roman" w:cs="Times New Roman"/>
            <w:sz w:val="26"/>
            <w:szCs w:val="26"/>
          </w:rPr>
          <w:t>www.analizy-rynkowe.pl</w:t>
        </w:r>
      </w:hyperlink>
      <w:r>
        <w:rPr>
          <w:rFonts w:eastAsia="Times New Roman" w:cs="Times New Roman"/>
          <w:sz w:val="26"/>
          <w:szCs w:val="26"/>
        </w:rPr>
        <w:t xml:space="preserve"> w </w:t>
      </w:r>
      <w:proofErr w:type="gramStart"/>
      <w:r>
        <w:rPr>
          <w:rFonts w:eastAsia="Times New Roman" w:cs="Times New Roman"/>
          <w:sz w:val="26"/>
          <w:szCs w:val="26"/>
        </w:rPr>
        <w:t>rubryce  ,,Wykres</w:t>
      </w:r>
      <w:proofErr w:type="gramEnd"/>
      <w:r>
        <w:rPr>
          <w:rFonts w:eastAsia="Times New Roman" w:cs="Times New Roman"/>
          <w:sz w:val="26"/>
          <w:szCs w:val="26"/>
        </w:rPr>
        <w:t xml:space="preserve"> do przemyślenia” w okresie od 15 września do 15 września 2015 roku oraz procentowa zmiana indeksu WIG 20 w tym okresie. </w:t>
      </w:r>
    </w:p>
    <w:p w:rsidR="00F27ED0" w:rsidRDefault="00F27ED0" w:rsidP="00F27ED0">
      <w:pPr>
        <w:spacing w:after="0" w:line="240" w:lineRule="auto"/>
        <w:jc w:val="both"/>
        <w:rPr>
          <w:rFonts w:cs="Times New Roman"/>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15.09.2014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15.09.2015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spółki </w:t>
            </w:r>
            <w:proofErr w:type="spellStart"/>
            <w:r>
              <w:t>Erbud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26,50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32,90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24,2 %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 xml:space="preserve">  24,2 %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lastRenderedPageBreak/>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2 185,88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-12,2 %</w:t>
            </w:r>
          </w:p>
        </w:tc>
      </w:tr>
    </w:tbl>
    <w:p w:rsidR="00F27ED0" w:rsidRDefault="00F27ED0" w:rsidP="00F27ED0">
      <w:pPr>
        <w:spacing w:after="0" w:line="240" w:lineRule="auto"/>
        <w:jc w:val="both"/>
        <w:rPr>
          <w:rFonts w:eastAsia="Times New Roman" w:cs="Times New Roman"/>
          <w:sz w:val="26"/>
          <w:szCs w:val="26"/>
        </w:rPr>
      </w:pPr>
      <w:r>
        <w:rPr>
          <w:rFonts w:eastAsia="Times New Roman" w:cs="Times New Roman"/>
          <w:sz w:val="26"/>
          <w:szCs w:val="26"/>
        </w:rPr>
        <w:t xml:space="preserve">Tabela: Procentowa zmiana ceny akcji spółki, której akcje zostały wymienione w trzecim numerze </w:t>
      </w:r>
      <w:proofErr w:type="gramStart"/>
      <w:r>
        <w:rPr>
          <w:rFonts w:eastAsia="Times New Roman" w:cs="Times New Roman"/>
          <w:sz w:val="26"/>
          <w:szCs w:val="26"/>
        </w:rPr>
        <w:t>,,</w:t>
      </w:r>
      <w:proofErr w:type="gramEnd"/>
      <w:r>
        <w:rPr>
          <w:rFonts w:eastAsia="Times New Roman" w:cs="Times New Roman"/>
          <w:sz w:val="26"/>
          <w:szCs w:val="26"/>
        </w:rPr>
        <w:t xml:space="preserve">Raportu Tygodniowego” z 22 września 2014 roku w rubryce ,,Wykres do przemyślenia” w okresie od 19 września 2014 roku do 18 września 2015 roku oraz procentowa zmiana indeksu WIG 20 w tym okresie. </w:t>
      </w:r>
    </w:p>
    <w:p w:rsidR="00F27ED0" w:rsidRDefault="00F27ED0" w:rsidP="00F27ED0">
      <w:pPr>
        <w:spacing w:after="0" w:line="240" w:lineRule="auto"/>
        <w:jc w:val="both"/>
        <w:rPr>
          <w:rFonts w:cs="Times New Roman"/>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19.09.2014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18.09.2015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Akcja spółki IF Capital</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1,32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0,98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2,3 %</w:t>
            </w:r>
          </w:p>
        </w:tc>
      </w:tr>
      <w:tr w:rsidR="00F27ED0" w:rsidTr="009F6C0B">
        <w:trPr>
          <w:trHeight w:val="310"/>
        </w:trPr>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2,3 %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2 168,19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-13,2 %</w:t>
            </w:r>
          </w:p>
        </w:tc>
      </w:tr>
    </w:tbl>
    <w:p w:rsidR="00F27ED0" w:rsidRDefault="00F27ED0" w:rsidP="00F27ED0">
      <w:pPr>
        <w:spacing w:after="0" w:line="240" w:lineRule="auto"/>
        <w:jc w:val="both"/>
        <w:rPr>
          <w:rFonts w:cs="Times New Roman"/>
          <w:sz w:val="26"/>
          <w:szCs w:val="26"/>
        </w:rPr>
      </w:pPr>
      <w:r>
        <w:rPr>
          <w:rFonts w:eastAsia="Times New Roman" w:cs="Times New Roman"/>
          <w:sz w:val="26"/>
          <w:szCs w:val="26"/>
        </w:rPr>
        <w:t xml:space="preserve">Tabela: Procentowa zmiana ceny akcji spółki, której akcje zostały umieszczone 25 września na stronie internetowej </w:t>
      </w:r>
      <w:hyperlink r:id="rId17" w:history="1">
        <w:r>
          <w:rPr>
            <w:rStyle w:val="Hipercze"/>
            <w:rFonts w:eastAsia="Times New Roman" w:cs="Times New Roman"/>
            <w:sz w:val="26"/>
            <w:szCs w:val="26"/>
          </w:rPr>
          <w:t>www.analizy-rynkowe.pl</w:t>
        </w:r>
      </w:hyperlink>
      <w:r>
        <w:rPr>
          <w:rFonts w:eastAsia="Times New Roman" w:cs="Times New Roman"/>
          <w:sz w:val="26"/>
          <w:szCs w:val="26"/>
        </w:rPr>
        <w:t xml:space="preserve"> w </w:t>
      </w:r>
      <w:proofErr w:type="gramStart"/>
      <w:r>
        <w:rPr>
          <w:rFonts w:eastAsia="Times New Roman" w:cs="Times New Roman"/>
          <w:sz w:val="26"/>
          <w:szCs w:val="26"/>
        </w:rPr>
        <w:t>rubryce  ,,Wykres</w:t>
      </w:r>
      <w:proofErr w:type="gramEnd"/>
      <w:r>
        <w:rPr>
          <w:rFonts w:eastAsia="Times New Roman" w:cs="Times New Roman"/>
          <w:sz w:val="26"/>
          <w:szCs w:val="26"/>
        </w:rPr>
        <w:t xml:space="preserve"> do przemyślenia” w okresie od 24 września 2014 roku do 24 września 2015 roku oraz procentowa zmiana indeksu WIG 20 w tym okresie. </w:t>
      </w:r>
    </w:p>
    <w:p w:rsidR="00F27ED0" w:rsidRDefault="00F27ED0" w:rsidP="00F27ED0">
      <w:pPr>
        <w:spacing w:after="0" w:line="240" w:lineRule="auto"/>
        <w:jc w:val="both"/>
        <w:rPr>
          <w:rFonts w:eastAsia="Times New Roman" w:cs="Times New Roman"/>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24.09.2014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18.09.2015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Akcja spółki Capital Partners</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1,85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2,40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+29,7 %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+29,7 %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2 082,95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-15,8 %</w:t>
            </w:r>
          </w:p>
        </w:tc>
      </w:tr>
    </w:tbl>
    <w:p w:rsidR="00F27ED0" w:rsidRDefault="00F27ED0" w:rsidP="00F27ED0">
      <w:pPr>
        <w:spacing w:after="0" w:line="240" w:lineRule="auto"/>
        <w:jc w:val="both"/>
        <w:rPr>
          <w:rFonts w:cs="Times New Roman"/>
        </w:rPr>
      </w:pPr>
    </w:p>
    <w:p w:rsidR="00F27ED0" w:rsidRDefault="00F27ED0" w:rsidP="00F27ED0">
      <w:pPr>
        <w:spacing w:after="0" w:line="240" w:lineRule="auto"/>
        <w:jc w:val="both"/>
        <w:rPr>
          <w:rFonts w:eastAsia="Times New Roman" w:cs="Times New Roman"/>
          <w:sz w:val="26"/>
          <w:szCs w:val="26"/>
        </w:rPr>
      </w:pPr>
      <w:r>
        <w:rPr>
          <w:rFonts w:eastAsia="Times New Roman" w:cs="Times New Roman"/>
          <w:sz w:val="26"/>
          <w:szCs w:val="26"/>
        </w:rPr>
        <w:t xml:space="preserve">Tabela: Procentowa zmiana cen akcji trzech spółek, których akcje zostały wymienione w czwartym numerze </w:t>
      </w:r>
      <w:proofErr w:type="gramStart"/>
      <w:r>
        <w:rPr>
          <w:rFonts w:eastAsia="Times New Roman" w:cs="Times New Roman"/>
          <w:sz w:val="26"/>
          <w:szCs w:val="26"/>
        </w:rPr>
        <w:t>,,</w:t>
      </w:r>
      <w:proofErr w:type="gramEnd"/>
      <w:r>
        <w:rPr>
          <w:rFonts w:eastAsia="Times New Roman" w:cs="Times New Roman"/>
          <w:sz w:val="26"/>
          <w:szCs w:val="26"/>
        </w:rPr>
        <w:t xml:space="preserve">Raportu Tygodniowego” z 29 września 2014 roku w rubryce ,,Wykres do przemyślenia” w okresie od 30 września 2014 roku do 25 września 2015 roku oraz procentowa zmiana indeksu WIG 20 w tym okresie. </w:t>
      </w:r>
    </w:p>
    <w:p w:rsidR="00F27ED0" w:rsidRDefault="00F27ED0" w:rsidP="00F27ED0">
      <w:pPr>
        <w:spacing w:after="0" w:line="240" w:lineRule="auto"/>
        <w:jc w:val="both"/>
        <w:rPr>
          <w:rFonts w:eastAsia="Times New Roman" w:cs="Times New Roman"/>
          <w:sz w:val="26"/>
          <w:szCs w:val="26"/>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26.09.2014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25.09.2015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spółki </w:t>
            </w:r>
            <w:proofErr w:type="spellStart"/>
            <w:r>
              <w:t>Asseco</w:t>
            </w:r>
            <w:proofErr w:type="spellEnd"/>
            <w:r>
              <w:t xml:space="preserve"> Poland </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45,64 zł.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54,70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+19,9 %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w:t>
            </w:r>
            <w:proofErr w:type="gramStart"/>
            <w:r>
              <w:t>spółki  CD</w:t>
            </w:r>
            <w:proofErr w:type="gramEnd"/>
            <w:r>
              <w:t xml:space="preserve"> Projekt</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16,59 zł.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26,80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+61,5 %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spółki </w:t>
            </w:r>
            <w:proofErr w:type="spellStart"/>
            <w:r>
              <w:t>Sygnity</w:t>
            </w:r>
            <w:proofErr w:type="spellEnd"/>
            <w: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17,60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8,82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- 49,9 %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 xml:space="preserve"> +10,5%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2484,02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2 168,19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- 15,8 %</w:t>
            </w:r>
          </w:p>
        </w:tc>
      </w:tr>
    </w:tbl>
    <w:p w:rsidR="00F27ED0" w:rsidRDefault="00F27ED0" w:rsidP="00F27ED0">
      <w:pPr>
        <w:spacing w:after="0" w:line="240" w:lineRule="auto"/>
        <w:rPr>
          <w:rFonts w:ascii="Calibri" w:eastAsia="Times New Roman" w:hAnsi="Calibri" w:cs="Times New Roman"/>
          <w:sz w:val="26"/>
          <w:szCs w:val="26"/>
          <w:u w:val="single"/>
        </w:rPr>
      </w:pPr>
    </w:p>
    <w:p w:rsidR="00F27ED0" w:rsidRDefault="00F27ED0" w:rsidP="00F27ED0">
      <w:pPr>
        <w:spacing w:after="0" w:line="240" w:lineRule="auto"/>
        <w:jc w:val="both"/>
        <w:rPr>
          <w:rFonts w:eastAsia="Times New Roman" w:cs="Times New Roman"/>
          <w:sz w:val="26"/>
          <w:szCs w:val="26"/>
        </w:rPr>
      </w:pPr>
      <w:r>
        <w:rPr>
          <w:rFonts w:eastAsia="Times New Roman" w:cs="Times New Roman"/>
          <w:sz w:val="26"/>
          <w:szCs w:val="26"/>
        </w:rPr>
        <w:lastRenderedPageBreak/>
        <w:t xml:space="preserve">Tabela: Procentowa zmiana ceny akcji spółki, której akcje zostały wymienione w piątym numerze </w:t>
      </w:r>
      <w:proofErr w:type="gramStart"/>
      <w:r>
        <w:rPr>
          <w:rFonts w:eastAsia="Times New Roman" w:cs="Times New Roman"/>
          <w:sz w:val="26"/>
          <w:szCs w:val="26"/>
        </w:rPr>
        <w:t>,,</w:t>
      </w:r>
      <w:proofErr w:type="gramEnd"/>
      <w:r>
        <w:rPr>
          <w:rFonts w:eastAsia="Times New Roman" w:cs="Times New Roman"/>
          <w:sz w:val="26"/>
          <w:szCs w:val="26"/>
        </w:rPr>
        <w:t xml:space="preserve">Raportu Tygodniowego” z 6 października 2014 roku w rubryce ,,Wykres do przemyślenia” w okresie od 3 października do 2 października 2015 roku oraz procentowa zmiana indeksu WIG 20 w tym okresie. </w:t>
      </w:r>
    </w:p>
    <w:p w:rsidR="00F27ED0" w:rsidRDefault="00F27ED0" w:rsidP="00F27ED0">
      <w:pPr>
        <w:spacing w:after="0" w:line="240" w:lineRule="auto"/>
        <w:jc w:val="both"/>
        <w:rPr>
          <w:rFonts w:eastAsia="Times New Roman" w:cs="Times New Roman"/>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03.10.2014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02.10.2015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244,10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278,15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+13,9 %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+13,9 %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2 444,06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2 036,32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-16,7 %</w:t>
            </w:r>
          </w:p>
        </w:tc>
      </w:tr>
    </w:tbl>
    <w:p w:rsidR="00F27ED0" w:rsidRDefault="00F27ED0" w:rsidP="00F27ED0">
      <w:pPr>
        <w:spacing w:after="0" w:line="240" w:lineRule="auto"/>
        <w:rPr>
          <w:rFonts w:ascii="Calibri" w:eastAsia="Times New Roman" w:hAnsi="Calibri" w:cs="Times New Roman"/>
          <w:sz w:val="26"/>
          <w:szCs w:val="26"/>
          <w:u w:val="single"/>
        </w:rPr>
      </w:pPr>
    </w:p>
    <w:p w:rsidR="00F27ED0" w:rsidRDefault="00F27ED0" w:rsidP="00F27ED0">
      <w:pPr>
        <w:spacing w:after="0" w:line="240" w:lineRule="auto"/>
        <w:jc w:val="both"/>
        <w:rPr>
          <w:rFonts w:eastAsia="Times New Roman" w:cs="Times New Roman"/>
          <w:sz w:val="26"/>
          <w:szCs w:val="26"/>
        </w:rPr>
      </w:pPr>
      <w:r>
        <w:rPr>
          <w:rFonts w:eastAsia="Times New Roman" w:cs="Times New Roman"/>
          <w:sz w:val="26"/>
          <w:szCs w:val="26"/>
        </w:rPr>
        <w:t xml:space="preserve">Tabela: Procentowa zmiana ceny akcji spółki, której akcje zostały wymienione w szóstym numerze </w:t>
      </w:r>
      <w:proofErr w:type="gramStart"/>
      <w:r>
        <w:rPr>
          <w:rFonts w:eastAsia="Times New Roman" w:cs="Times New Roman"/>
          <w:sz w:val="26"/>
          <w:szCs w:val="26"/>
        </w:rPr>
        <w:t>,,</w:t>
      </w:r>
      <w:proofErr w:type="gramEnd"/>
      <w:r>
        <w:rPr>
          <w:rFonts w:eastAsia="Times New Roman" w:cs="Times New Roman"/>
          <w:sz w:val="26"/>
          <w:szCs w:val="26"/>
        </w:rPr>
        <w:t xml:space="preserve">Raportu Tygodniowego” z 20 października 2014 roku w rubryce ,,Wykres do przemyślenia” w okresie od 17 września do 16 października 2015 roku oraz procentowa zmiana indeksu WIG 20 w tym okresie. </w:t>
      </w:r>
    </w:p>
    <w:p w:rsidR="00F27ED0" w:rsidRDefault="00F27ED0" w:rsidP="00F27ED0">
      <w:pPr>
        <w:spacing w:after="0" w:line="240" w:lineRule="auto"/>
        <w:jc w:val="both"/>
        <w:rPr>
          <w:rFonts w:cs="Times New Roman"/>
          <w:sz w:val="26"/>
          <w:szCs w:val="26"/>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17.10.2014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16.10.2015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spółki </w:t>
            </w:r>
            <w:proofErr w:type="spellStart"/>
            <w:r>
              <w:t>Tauron</w:t>
            </w:r>
            <w:proofErr w:type="spellEnd"/>
            <w:r>
              <w:t xml:space="preserve"> Polska Energia</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5,21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3,23 zł. </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-38,0 %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 xml:space="preserve">  -38,0 %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2 121,94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-11,6 %</w:t>
            </w:r>
          </w:p>
        </w:tc>
      </w:tr>
    </w:tbl>
    <w:p w:rsidR="00F27ED0" w:rsidRDefault="00F27ED0" w:rsidP="00F27ED0">
      <w:pPr>
        <w:spacing w:after="0" w:line="240" w:lineRule="auto"/>
        <w:rPr>
          <w:rFonts w:ascii="Calibri" w:eastAsia="Times New Roman" w:hAnsi="Calibri" w:cs="Times New Roman"/>
          <w:sz w:val="42"/>
          <w:szCs w:val="42"/>
          <w:u w:val="single"/>
        </w:rPr>
      </w:pPr>
    </w:p>
    <w:p w:rsidR="00F27ED0" w:rsidRDefault="00F27ED0" w:rsidP="00F27ED0">
      <w:pPr>
        <w:spacing w:after="0" w:line="240" w:lineRule="auto"/>
        <w:jc w:val="both"/>
        <w:rPr>
          <w:rFonts w:eastAsia="Times New Roman" w:cs="Times New Roman"/>
          <w:sz w:val="26"/>
          <w:szCs w:val="26"/>
        </w:rPr>
      </w:pPr>
      <w:r>
        <w:rPr>
          <w:rFonts w:eastAsia="Times New Roman" w:cs="Times New Roman"/>
          <w:sz w:val="26"/>
          <w:szCs w:val="26"/>
        </w:rPr>
        <w:t xml:space="preserve">Tabela: Procentowa zmiana ceny akcji spółki, której akcje zostały umieszczone 22 października na stronie internetowej </w:t>
      </w:r>
      <w:hyperlink r:id="rId18" w:history="1">
        <w:r>
          <w:rPr>
            <w:rStyle w:val="Hipercze"/>
            <w:rFonts w:eastAsia="Times New Roman" w:cs="Times New Roman"/>
            <w:sz w:val="26"/>
            <w:szCs w:val="26"/>
          </w:rPr>
          <w:t>www.analizy-rynkowe.pl</w:t>
        </w:r>
      </w:hyperlink>
      <w:r>
        <w:rPr>
          <w:rFonts w:eastAsia="Times New Roman" w:cs="Times New Roman"/>
          <w:sz w:val="26"/>
          <w:szCs w:val="26"/>
        </w:rPr>
        <w:t xml:space="preserve"> w </w:t>
      </w:r>
      <w:proofErr w:type="gramStart"/>
      <w:r>
        <w:rPr>
          <w:rFonts w:eastAsia="Times New Roman" w:cs="Times New Roman"/>
          <w:sz w:val="26"/>
          <w:szCs w:val="26"/>
        </w:rPr>
        <w:t>rubryce  ,,Wykres</w:t>
      </w:r>
      <w:proofErr w:type="gramEnd"/>
      <w:r>
        <w:rPr>
          <w:rFonts w:eastAsia="Times New Roman" w:cs="Times New Roman"/>
          <w:sz w:val="26"/>
          <w:szCs w:val="26"/>
        </w:rPr>
        <w:t xml:space="preserve"> do przemyślenia” w okresie od 21 października do 19 czerwca 2015 roku do 21 października 2015 roku oraz procentowa zmiana indeksu WIG 20 w tym okresie. </w:t>
      </w:r>
    </w:p>
    <w:p w:rsidR="00F27ED0" w:rsidRDefault="00F27ED0" w:rsidP="00F27ED0">
      <w:pPr>
        <w:spacing w:after="0" w:line="240" w:lineRule="auto"/>
        <w:jc w:val="both"/>
        <w:rPr>
          <w:rFonts w:cs="Times New Roman"/>
          <w:sz w:val="26"/>
          <w:szCs w:val="26"/>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21.10.2014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21.10.2015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spółki </w:t>
            </w:r>
            <w:proofErr w:type="spellStart"/>
            <w:r>
              <w:t>Elektrotim</w:t>
            </w:r>
            <w:proofErr w:type="spellEnd"/>
            <w: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8,70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18,66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+ 114,5 %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color w:val="000000" w:themeColor="text1"/>
              </w:rPr>
            </w:pPr>
            <w:r>
              <w:rPr>
                <w:color w:val="000000" w:themeColor="text1"/>
              </w:rPr>
              <w:t xml:space="preserve">6,93 zł.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color w:val="000000" w:themeColor="text1"/>
              </w:rPr>
            </w:pPr>
            <w:r>
              <w:rPr>
                <w:color w:val="000000" w:themeColor="text1"/>
              </w:rPr>
              <w:t xml:space="preserve">6,70 zł. </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color w:val="000000" w:themeColor="text1"/>
              </w:rPr>
            </w:pPr>
            <w:r>
              <w:rPr>
                <w:color w:val="000000" w:themeColor="text1"/>
              </w:rPr>
              <w:t xml:space="preserve">  -3,3 %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single" w:sz="4" w:space="0" w:color="auto"/>
            </w:tcBorders>
          </w:tcPr>
          <w:p w:rsidR="00F27ED0" w:rsidRDefault="00F27ED0" w:rsidP="009F6C0B">
            <w:pPr>
              <w:jc w:val="center"/>
            </w:pPr>
          </w:p>
        </w:tc>
        <w:tc>
          <w:tcPr>
            <w:tcW w:w="2303" w:type="dxa"/>
            <w:tcBorders>
              <w:top w:val="single" w:sz="4" w:space="0" w:color="auto"/>
              <w:left w:val="single" w:sz="4" w:space="0" w:color="auto"/>
              <w:bottom w:val="single" w:sz="4" w:space="0" w:color="auto"/>
              <w:right w:val="single" w:sz="4" w:space="0" w:color="auto"/>
            </w:tcBorders>
          </w:tcPr>
          <w:p w:rsidR="00F27ED0" w:rsidRDefault="00F27ED0" w:rsidP="009F6C0B">
            <w:pPr>
              <w:jc w:val="cente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 xml:space="preserve">   + 55,6 %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2 423,77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2 105,65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-13,1 %</w:t>
            </w:r>
          </w:p>
        </w:tc>
      </w:tr>
    </w:tbl>
    <w:p w:rsidR="00F27ED0" w:rsidRDefault="00F27ED0" w:rsidP="00F27ED0">
      <w:pPr>
        <w:spacing w:after="0" w:line="240" w:lineRule="auto"/>
        <w:jc w:val="both"/>
        <w:rPr>
          <w:rFonts w:cs="Times New Roman"/>
        </w:rPr>
      </w:pPr>
    </w:p>
    <w:p w:rsidR="00F27ED0" w:rsidRDefault="00F27ED0" w:rsidP="00F27ED0">
      <w:pPr>
        <w:spacing w:after="0" w:line="240" w:lineRule="auto"/>
        <w:jc w:val="both"/>
        <w:rPr>
          <w:rFonts w:eastAsia="Times New Roman" w:cs="Times New Roman"/>
          <w:sz w:val="26"/>
          <w:szCs w:val="26"/>
        </w:rPr>
      </w:pPr>
    </w:p>
    <w:p w:rsidR="00F27ED0" w:rsidRDefault="00F27ED0" w:rsidP="00F27ED0">
      <w:pPr>
        <w:spacing w:after="0" w:line="240" w:lineRule="auto"/>
        <w:jc w:val="both"/>
        <w:rPr>
          <w:rFonts w:eastAsia="Times New Roman" w:cs="Times New Roman"/>
          <w:sz w:val="26"/>
          <w:szCs w:val="26"/>
        </w:rPr>
      </w:pPr>
      <w:r>
        <w:rPr>
          <w:rFonts w:eastAsia="Times New Roman" w:cs="Times New Roman"/>
          <w:sz w:val="26"/>
          <w:szCs w:val="26"/>
        </w:rPr>
        <w:lastRenderedPageBreak/>
        <w:t xml:space="preserve">Tabela: Procentowa zmiana ceny akcji spółki, której akcje zostały wymienione w siódmym numerze </w:t>
      </w:r>
      <w:proofErr w:type="gramStart"/>
      <w:r>
        <w:rPr>
          <w:rFonts w:eastAsia="Times New Roman" w:cs="Times New Roman"/>
          <w:sz w:val="26"/>
          <w:szCs w:val="26"/>
        </w:rPr>
        <w:t>,,</w:t>
      </w:r>
      <w:proofErr w:type="gramEnd"/>
      <w:r>
        <w:rPr>
          <w:rFonts w:eastAsia="Times New Roman" w:cs="Times New Roman"/>
          <w:sz w:val="26"/>
          <w:szCs w:val="26"/>
        </w:rPr>
        <w:t xml:space="preserve">Raportu Tygodniowego” z 27 października 2014 roku w rubryce ,,Wykres do przemyślenia” w okresie od 24 października 2014 roku do 23 października 2015 roku oraz procentowa zmiana indeksu WIG 20 w tym okresie. </w:t>
      </w:r>
    </w:p>
    <w:p w:rsidR="00F27ED0" w:rsidRDefault="00F27ED0" w:rsidP="00F27ED0">
      <w:pPr>
        <w:spacing w:after="0" w:line="240" w:lineRule="auto"/>
        <w:jc w:val="both"/>
        <w:rPr>
          <w:rFonts w:eastAsia="Times New Roman" w:cs="Times New Roman"/>
          <w:sz w:val="26"/>
          <w:szCs w:val="26"/>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24.10.2014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23.10.2015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spółki </w:t>
            </w:r>
            <w:proofErr w:type="spellStart"/>
            <w:r>
              <w:t>Tesgas</w:t>
            </w:r>
            <w:proofErr w:type="spellEnd"/>
            <w: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4,32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3,70 zł. </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-14,4 %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 xml:space="preserve">  -14,4 %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2 107,43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-13,1 %</w:t>
            </w:r>
          </w:p>
        </w:tc>
      </w:tr>
    </w:tbl>
    <w:p w:rsidR="00F27ED0" w:rsidRDefault="00F27ED0" w:rsidP="00F27ED0">
      <w:pPr>
        <w:spacing w:after="0" w:line="240" w:lineRule="auto"/>
        <w:jc w:val="both"/>
        <w:rPr>
          <w:rFonts w:ascii="Calibri" w:eastAsia="Times New Roman" w:hAnsi="Calibri" w:cs="Times New Roman"/>
          <w:sz w:val="30"/>
          <w:szCs w:val="30"/>
          <w:u w:val="single"/>
        </w:rPr>
      </w:pPr>
    </w:p>
    <w:p w:rsidR="00F27ED0" w:rsidRDefault="00F27ED0" w:rsidP="00F27ED0">
      <w:pPr>
        <w:spacing w:after="0" w:line="240" w:lineRule="auto"/>
        <w:jc w:val="both"/>
        <w:rPr>
          <w:rFonts w:eastAsia="Times New Roman" w:cs="Times New Roman"/>
          <w:sz w:val="28"/>
          <w:szCs w:val="28"/>
        </w:rPr>
      </w:pPr>
      <w:r>
        <w:rPr>
          <w:rFonts w:eastAsia="Times New Roman" w:cs="Times New Roman"/>
          <w:sz w:val="28"/>
          <w:szCs w:val="28"/>
        </w:rPr>
        <w:t xml:space="preserve">Tabela: Procentowa zmiana ceny akcji spółki, której akcje zostały wymienione w numerze </w:t>
      </w:r>
      <w:proofErr w:type="gramStart"/>
      <w:r>
        <w:rPr>
          <w:rFonts w:eastAsia="Times New Roman" w:cs="Times New Roman"/>
          <w:sz w:val="28"/>
          <w:szCs w:val="28"/>
        </w:rPr>
        <w:t>,,</w:t>
      </w:r>
      <w:proofErr w:type="gramEnd"/>
      <w:r>
        <w:rPr>
          <w:rFonts w:eastAsia="Times New Roman" w:cs="Times New Roman"/>
          <w:sz w:val="28"/>
          <w:szCs w:val="28"/>
        </w:rPr>
        <w:t xml:space="preserve">Raportu Tygodniowego” z 3 listopada 2014 roku w rubryce ,,Wykres do przemyślenia” w okresie od 31 października 2014 roku do 30 października 2015 roku oraz procentowa zmiana indeksu WIG 20 w tym okresie. </w:t>
      </w:r>
    </w:p>
    <w:p w:rsidR="00F27ED0" w:rsidRDefault="00F27ED0" w:rsidP="00F27ED0">
      <w:pPr>
        <w:spacing w:after="0" w:line="240" w:lineRule="auto"/>
        <w:jc w:val="both"/>
        <w:rPr>
          <w:rFonts w:eastAsia="Times New Roman" w:cs="Times New Roman"/>
          <w:sz w:val="28"/>
          <w:szCs w:val="28"/>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31.10.2014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30.10.2015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Akcja spółki Enea</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16,00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12,83 zł. </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-19,8 %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 xml:space="preserve">  -19,8 %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2 463,68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2 060,03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-16,4 %</w:t>
            </w:r>
          </w:p>
        </w:tc>
      </w:tr>
    </w:tbl>
    <w:p w:rsidR="00F27ED0" w:rsidRDefault="00F27ED0" w:rsidP="00F27ED0">
      <w:pPr>
        <w:spacing w:after="0" w:line="240" w:lineRule="auto"/>
        <w:jc w:val="both"/>
        <w:rPr>
          <w:rFonts w:ascii="Calibri" w:eastAsia="Times New Roman" w:hAnsi="Calibri" w:cs="Times New Roman"/>
          <w:sz w:val="26"/>
          <w:szCs w:val="26"/>
          <w:u w:val="single"/>
        </w:rPr>
      </w:pPr>
    </w:p>
    <w:p w:rsidR="00F27ED0" w:rsidRDefault="00F27ED0" w:rsidP="00F27ED0">
      <w:pPr>
        <w:spacing w:after="0" w:line="240" w:lineRule="auto"/>
        <w:jc w:val="both"/>
        <w:rPr>
          <w:rFonts w:eastAsia="Times New Roman" w:cs="Times New Roman"/>
          <w:sz w:val="28"/>
          <w:szCs w:val="28"/>
        </w:rPr>
      </w:pPr>
      <w:r>
        <w:rPr>
          <w:rFonts w:eastAsia="Times New Roman" w:cs="Times New Roman"/>
          <w:sz w:val="28"/>
          <w:szCs w:val="28"/>
        </w:rPr>
        <w:t xml:space="preserve">Tabela: Procentowa zmiana ceny akcji spółki, której akcje zostały wymienione w numerze </w:t>
      </w:r>
      <w:proofErr w:type="gramStart"/>
      <w:r>
        <w:rPr>
          <w:rFonts w:eastAsia="Times New Roman" w:cs="Times New Roman"/>
          <w:sz w:val="28"/>
          <w:szCs w:val="28"/>
        </w:rPr>
        <w:t>,,</w:t>
      </w:r>
      <w:proofErr w:type="gramEnd"/>
      <w:r>
        <w:rPr>
          <w:rFonts w:eastAsia="Times New Roman" w:cs="Times New Roman"/>
          <w:sz w:val="28"/>
          <w:szCs w:val="28"/>
        </w:rPr>
        <w:t xml:space="preserve">Raportu Tygodniowego” z 1 grudnia 2014 roku w rubryce ,,Wykres do przemyślenia” w okresie od 28 listopada 2014 roku do 27 listopada 2015 roku oraz procentowa zmiana indeksu WIG 20 w tym okresie. </w:t>
      </w:r>
    </w:p>
    <w:p w:rsidR="00F27ED0" w:rsidRDefault="00F27ED0" w:rsidP="00F27ED0">
      <w:pPr>
        <w:spacing w:after="0" w:line="240" w:lineRule="auto"/>
        <w:jc w:val="both"/>
        <w:rPr>
          <w:rFonts w:cs="Times New Roman"/>
          <w:sz w:val="26"/>
          <w:szCs w:val="26"/>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28.11.2014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27.11.2015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spółki </w:t>
            </w:r>
            <w:proofErr w:type="spellStart"/>
            <w:r>
              <w:t>Procad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1,06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1,84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+73,6 %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+73,6 %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2 416,93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1 936,05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-19,9 %</w:t>
            </w:r>
          </w:p>
        </w:tc>
      </w:tr>
    </w:tbl>
    <w:p w:rsidR="00F27ED0" w:rsidRDefault="00F27ED0" w:rsidP="00F27ED0">
      <w:pPr>
        <w:spacing w:after="0" w:line="240" w:lineRule="auto"/>
        <w:jc w:val="both"/>
        <w:rPr>
          <w:rFonts w:eastAsia="Times New Roman" w:cs="Times New Roman"/>
          <w:sz w:val="26"/>
          <w:szCs w:val="26"/>
        </w:rPr>
      </w:pPr>
    </w:p>
    <w:p w:rsidR="00F27ED0" w:rsidRDefault="00F27ED0" w:rsidP="00F27ED0">
      <w:pPr>
        <w:spacing w:after="0" w:line="240" w:lineRule="auto"/>
        <w:jc w:val="both"/>
        <w:rPr>
          <w:rFonts w:eastAsia="Times New Roman" w:cs="Times New Roman"/>
          <w:sz w:val="26"/>
          <w:szCs w:val="26"/>
        </w:rPr>
      </w:pPr>
    </w:p>
    <w:p w:rsidR="00F27ED0" w:rsidRDefault="00F27ED0" w:rsidP="00F27ED0">
      <w:pPr>
        <w:spacing w:after="0" w:line="240" w:lineRule="auto"/>
        <w:jc w:val="both"/>
        <w:rPr>
          <w:rFonts w:eastAsia="Times New Roman" w:cs="Times New Roman"/>
          <w:sz w:val="26"/>
          <w:szCs w:val="26"/>
        </w:rPr>
      </w:pPr>
      <w:r>
        <w:rPr>
          <w:rFonts w:eastAsia="Times New Roman" w:cs="Times New Roman"/>
          <w:sz w:val="26"/>
          <w:szCs w:val="26"/>
        </w:rPr>
        <w:lastRenderedPageBreak/>
        <w:t xml:space="preserve">Tabela: Procentowa zmiana ceny akcji spółki, której akcje zostały umieszczone 2 grudnia na stronie internetowej </w:t>
      </w:r>
      <w:hyperlink r:id="rId19" w:history="1">
        <w:r>
          <w:rPr>
            <w:rStyle w:val="Hipercze"/>
            <w:rFonts w:eastAsia="Times New Roman" w:cs="Times New Roman"/>
            <w:sz w:val="26"/>
            <w:szCs w:val="26"/>
          </w:rPr>
          <w:t>www.analizy-rynkowe.pl</w:t>
        </w:r>
      </w:hyperlink>
      <w:r>
        <w:rPr>
          <w:rFonts w:eastAsia="Times New Roman" w:cs="Times New Roman"/>
          <w:sz w:val="26"/>
          <w:szCs w:val="26"/>
        </w:rPr>
        <w:t xml:space="preserve"> w </w:t>
      </w:r>
      <w:proofErr w:type="gramStart"/>
      <w:r>
        <w:rPr>
          <w:rFonts w:eastAsia="Times New Roman" w:cs="Times New Roman"/>
          <w:sz w:val="26"/>
          <w:szCs w:val="26"/>
        </w:rPr>
        <w:t>rubryce  ,,Wykres</w:t>
      </w:r>
      <w:proofErr w:type="gramEnd"/>
      <w:r>
        <w:rPr>
          <w:rFonts w:eastAsia="Times New Roman" w:cs="Times New Roman"/>
          <w:sz w:val="26"/>
          <w:szCs w:val="26"/>
        </w:rPr>
        <w:t xml:space="preserve"> do przemyślenia” w okresie od 1 grudnia 2014 roku do 1 grudnia 2015 roku procentowa zmiana indeksu WIG 20 w tym okresie. </w:t>
      </w: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01.12.2014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01.12.2015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spółki PKO BP </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37,65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27,20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-27,8 %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-27,8 %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1 923,94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-20,4 %</w:t>
            </w:r>
          </w:p>
        </w:tc>
      </w:tr>
    </w:tbl>
    <w:p w:rsidR="00F27ED0" w:rsidRDefault="00F27ED0" w:rsidP="00F27ED0">
      <w:pPr>
        <w:spacing w:after="0" w:line="240" w:lineRule="auto"/>
        <w:jc w:val="both"/>
        <w:rPr>
          <w:rFonts w:eastAsia="Times New Roman" w:cs="Times New Roman"/>
        </w:rPr>
      </w:pPr>
      <w:r>
        <w:rPr>
          <w:rFonts w:eastAsia="Times New Roman" w:cs="Times New Roman"/>
        </w:rPr>
        <w:t xml:space="preserve">Tabela: Procentowa zmiana ceny akcji spółki, której akcje zostały wymienione w numerze </w:t>
      </w:r>
      <w:proofErr w:type="gramStart"/>
      <w:r>
        <w:rPr>
          <w:rFonts w:eastAsia="Times New Roman" w:cs="Times New Roman"/>
        </w:rPr>
        <w:t>,,</w:t>
      </w:r>
      <w:proofErr w:type="gramEnd"/>
      <w:r>
        <w:rPr>
          <w:rFonts w:eastAsia="Times New Roman" w:cs="Times New Roman"/>
        </w:rPr>
        <w:t xml:space="preserve">Raportu Tygodniowego” z 15 grudnia 2014 roku w rubryce ,,Wykres do przemyślenia” w okresie od 12 grudnia 2014 roku do 11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12.12.2014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11.12.2015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spółki </w:t>
            </w:r>
            <w:proofErr w:type="spellStart"/>
            <w:r>
              <w:t>Mercor</w:t>
            </w:r>
            <w:proofErr w:type="spellEnd"/>
            <w: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8,14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8,60 zł. </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+5,7 %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 xml:space="preserve">  +5,7 %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2 360,00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1 757,37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  25,5 %</w:t>
            </w:r>
          </w:p>
        </w:tc>
      </w:tr>
    </w:tbl>
    <w:p w:rsidR="00F27ED0" w:rsidRDefault="00F27ED0" w:rsidP="00F27ED0">
      <w:pPr>
        <w:spacing w:after="0" w:line="240" w:lineRule="auto"/>
        <w:jc w:val="both"/>
        <w:rPr>
          <w:rFonts w:eastAsia="Times New Roman" w:cs="Times New Roman"/>
        </w:rPr>
      </w:pPr>
      <w:r>
        <w:rPr>
          <w:rFonts w:eastAsia="Times New Roman" w:cs="Times New Roman"/>
        </w:rPr>
        <w:t xml:space="preserve">Tabela: Procentowa zmiana ceny akcji spółki, której akcje zostały umieszczone 2 stycznia 2015 roku </w:t>
      </w:r>
      <w:proofErr w:type="gramStart"/>
      <w:r>
        <w:rPr>
          <w:rFonts w:eastAsia="Times New Roman" w:cs="Times New Roman"/>
        </w:rPr>
        <w:t>na  stronie</w:t>
      </w:r>
      <w:proofErr w:type="gramEnd"/>
      <w:r>
        <w:rPr>
          <w:rFonts w:eastAsia="Times New Roman" w:cs="Times New Roman"/>
        </w:rPr>
        <w:t xml:space="preserve"> internetowej </w:t>
      </w:r>
      <w:hyperlink r:id="rId20" w:history="1">
        <w:r>
          <w:rPr>
            <w:rStyle w:val="Hipercze"/>
            <w:rFonts w:eastAsia="Times New Roman" w:cs="Times New Roman"/>
          </w:rPr>
          <w:t>www.analizy-rynkowe.pl</w:t>
        </w:r>
      </w:hyperlink>
      <w:r>
        <w:rPr>
          <w:rFonts w:eastAsia="Times New Roman" w:cs="Times New Roman"/>
        </w:rPr>
        <w:t xml:space="preserve"> w </w:t>
      </w:r>
      <w:proofErr w:type="gramStart"/>
      <w:r>
        <w:rPr>
          <w:rFonts w:eastAsia="Times New Roman" w:cs="Times New Roman"/>
        </w:rPr>
        <w:t>rubryce  ,,Wykres</w:t>
      </w:r>
      <w:proofErr w:type="gramEnd"/>
      <w:r>
        <w:rPr>
          <w:rFonts w:eastAsia="Times New Roman" w:cs="Times New Roman"/>
        </w:rPr>
        <w:t xml:space="preserve"> do przemyślenia” w okresie od 30 grudnia 2014 roku do 23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30.12.2014</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30.12.2015</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spółki </w:t>
            </w:r>
            <w:proofErr w:type="spellStart"/>
            <w: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115,50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114,05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-1,3 %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-1,3 %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2 315,94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1 859,15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-19,7  %</w:t>
            </w:r>
          </w:p>
        </w:tc>
      </w:tr>
    </w:tbl>
    <w:p w:rsidR="00F27ED0" w:rsidRDefault="00F27ED0" w:rsidP="00F27ED0">
      <w:pPr>
        <w:spacing w:after="0" w:line="240" w:lineRule="auto"/>
        <w:jc w:val="both"/>
        <w:rPr>
          <w:rFonts w:eastAsia="Times New Roman" w:cs="Times New Roman"/>
        </w:rPr>
      </w:pPr>
      <w:r>
        <w:rPr>
          <w:rFonts w:eastAsia="Times New Roman" w:cs="Times New Roman"/>
        </w:rPr>
        <w:t xml:space="preserve">Tabela: Procentowa zmiana ceny akcji spółki, której akcje zostały umieszczone 12 stycznia 2015 roku </w:t>
      </w:r>
      <w:proofErr w:type="gramStart"/>
      <w:r>
        <w:rPr>
          <w:rFonts w:eastAsia="Times New Roman" w:cs="Times New Roman"/>
        </w:rPr>
        <w:t>na  stronie</w:t>
      </w:r>
      <w:proofErr w:type="gramEnd"/>
      <w:r>
        <w:rPr>
          <w:rFonts w:eastAsia="Times New Roman" w:cs="Times New Roman"/>
        </w:rPr>
        <w:t xml:space="preserve"> internetowej </w:t>
      </w:r>
      <w:hyperlink r:id="rId21" w:history="1">
        <w:r>
          <w:rPr>
            <w:rStyle w:val="Hipercze"/>
            <w:rFonts w:eastAsia="Times New Roman" w:cs="Times New Roman"/>
          </w:rPr>
          <w:t>www.analizy-rynkowe.</w:t>
        </w:r>
        <w:proofErr w:type="gramStart"/>
        <w:r>
          <w:rPr>
            <w:rStyle w:val="Hipercze"/>
            <w:rFonts w:eastAsia="Times New Roman" w:cs="Times New Roman"/>
          </w:rPr>
          <w:t>pl</w:t>
        </w:r>
      </w:hyperlink>
      <w:r>
        <w:rPr>
          <w:rFonts w:eastAsia="Times New Roman" w:cs="Times New Roman"/>
        </w:rPr>
        <w:t>na  stronie</w:t>
      </w:r>
      <w:proofErr w:type="gramEnd"/>
      <w:r>
        <w:rPr>
          <w:rFonts w:eastAsia="Times New Roman" w:cs="Times New Roman"/>
        </w:rPr>
        <w:t xml:space="preserve"> internetowej </w:t>
      </w:r>
      <w:hyperlink r:id="rId22" w:history="1">
        <w:r>
          <w:rPr>
            <w:rStyle w:val="Hipercze"/>
            <w:rFonts w:eastAsia="Times New Roman" w:cs="Times New Roman"/>
          </w:rPr>
          <w:t>www.analizy-rynkowe.pl</w:t>
        </w:r>
      </w:hyperlink>
      <w:r>
        <w:rPr>
          <w:rFonts w:eastAsia="Times New Roman" w:cs="Times New Roman"/>
        </w:rPr>
        <w:t xml:space="preserve"> w </w:t>
      </w:r>
      <w:proofErr w:type="gramStart"/>
      <w:r>
        <w:rPr>
          <w:rFonts w:eastAsia="Times New Roman" w:cs="Times New Roman"/>
        </w:rPr>
        <w:t>rubryce  ,,Wykres</w:t>
      </w:r>
      <w:proofErr w:type="gramEnd"/>
      <w:r>
        <w:rPr>
          <w:rFonts w:eastAsia="Times New Roman" w:cs="Times New Roman"/>
        </w:rPr>
        <w:t xml:space="preserve"> do przemyślenia” w okresie od 9 stycznia 2015 roku do 8 stycznia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09.01.2015</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08.012016</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Akcja spółki Muza</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3,34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2,84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 -15,0 %0</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-15,0 %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1 725,14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-28,6 %</w:t>
            </w:r>
          </w:p>
        </w:tc>
      </w:tr>
    </w:tbl>
    <w:p w:rsidR="00F27ED0" w:rsidRDefault="00F27ED0" w:rsidP="00F27ED0">
      <w:pPr>
        <w:spacing w:after="0" w:line="240" w:lineRule="auto"/>
        <w:jc w:val="both"/>
        <w:rPr>
          <w:rFonts w:eastAsia="Times New Roman" w:cs="Times New Roman"/>
          <w:sz w:val="26"/>
          <w:szCs w:val="26"/>
        </w:rPr>
      </w:pPr>
      <w:r>
        <w:rPr>
          <w:rFonts w:eastAsia="Times New Roman" w:cs="Times New Roman"/>
          <w:sz w:val="26"/>
          <w:szCs w:val="26"/>
        </w:rPr>
        <w:lastRenderedPageBreak/>
        <w:t xml:space="preserve">Tabela: Procentowa zmiana ceny akcji spółki, której akcje zostały umieszczone 30 stycznia 2015 roku </w:t>
      </w:r>
      <w:proofErr w:type="gramStart"/>
      <w:r>
        <w:rPr>
          <w:rFonts w:eastAsia="Times New Roman" w:cs="Times New Roman"/>
          <w:sz w:val="26"/>
          <w:szCs w:val="26"/>
        </w:rPr>
        <w:t>na  stronie</w:t>
      </w:r>
      <w:proofErr w:type="gramEnd"/>
      <w:r>
        <w:rPr>
          <w:rFonts w:eastAsia="Times New Roman" w:cs="Times New Roman"/>
          <w:sz w:val="26"/>
          <w:szCs w:val="26"/>
        </w:rPr>
        <w:t xml:space="preserve"> internetowej </w:t>
      </w:r>
      <w:hyperlink r:id="rId23" w:history="1">
        <w:r>
          <w:rPr>
            <w:rStyle w:val="Hipercze"/>
            <w:rFonts w:eastAsia="Times New Roman" w:cs="Times New Roman"/>
            <w:sz w:val="26"/>
            <w:szCs w:val="26"/>
          </w:rPr>
          <w:t>www.analizy-rynkowe.pl</w:t>
        </w:r>
      </w:hyperlink>
      <w:r>
        <w:rPr>
          <w:rFonts w:eastAsia="Times New Roman" w:cs="Times New Roman"/>
          <w:sz w:val="26"/>
          <w:szCs w:val="26"/>
        </w:rPr>
        <w:t xml:space="preserve"> w </w:t>
      </w:r>
      <w:proofErr w:type="gramStart"/>
      <w:r>
        <w:rPr>
          <w:rFonts w:eastAsia="Times New Roman" w:cs="Times New Roman"/>
          <w:sz w:val="26"/>
          <w:szCs w:val="26"/>
        </w:rPr>
        <w:t>rubryce  ,,Wykres</w:t>
      </w:r>
      <w:proofErr w:type="gramEnd"/>
      <w:r>
        <w:rPr>
          <w:rFonts w:eastAsia="Times New Roman" w:cs="Times New Roman"/>
          <w:sz w:val="26"/>
          <w:szCs w:val="26"/>
        </w:rPr>
        <w:t xml:space="preserve"> do przemyślenia” w okresie od 29 stycznia 2015 roku </w:t>
      </w:r>
      <w:r>
        <w:rPr>
          <w:rFonts w:eastAsia="Times New Roman" w:cs="Times New Roman"/>
        </w:rPr>
        <w:t xml:space="preserve">do 29 stycznia 2016 roku  </w:t>
      </w:r>
      <w:r>
        <w:rPr>
          <w:rFonts w:eastAsia="Times New Roman" w:cs="Times New Roman"/>
          <w:sz w:val="26"/>
          <w:szCs w:val="26"/>
        </w:rPr>
        <w:t xml:space="preserve">oraz procentowa zmiana indeksu WIG 20 w tym okresie. </w:t>
      </w:r>
    </w:p>
    <w:p w:rsidR="00F27ED0" w:rsidRDefault="00F27ED0" w:rsidP="00F27ED0">
      <w:pPr>
        <w:spacing w:after="0" w:line="240" w:lineRule="auto"/>
        <w:jc w:val="both"/>
        <w:rPr>
          <w:rFonts w:eastAsia="Times New Roman" w:cs="Times New Roman"/>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29.01.2015</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29.01.2016</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Akcja spółki Lubawa</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1,11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0,78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-29,7 %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-29,7 %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rPr>
            </w:pPr>
            <w:r>
              <w:t>1 780,25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-26,3 %</w:t>
            </w:r>
          </w:p>
        </w:tc>
      </w:tr>
    </w:tbl>
    <w:p w:rsidR="00F27ED0" w:rsidRDefault="00F27ED0" w:rsidP="00F27ED0">
      <w:pPr>
        <w:spacing w:after="0" w:line="240" w:lineRule="auto"/>
        <w:jc w:val="both"/>
        <w:rPr>
          <w:rFonts w:cs="Times New Roman"/>
        </w:rPr>
      </w:pPr>
    </w:p>
    <w:p w:rsidR="00F27ED0" w:rsidRDefault="00F27ED0" w:rsidP="00F27ED0">
      <w:pPr>
        <w:spacing w:after="0" w:line="240" w:lineRule="auto"/>
        <w:jc w:val="both"/>
        <w:rPr>
          <w:rFonts w:cs="Times New Roman"/>
        </w:rPr>
      </w:pPr>
    </w:p>
    <w:p w:rsidR="00F27ED0" w:rsidRDefault="00F27ED0" w:rsidP="00F27ED0">
      <w:pPr>
        <w:spacing w:after="0" w:line="240" w:lineRule="auto"/>
        <w:jc w:val="both"/>
        <w:rPr>
          <w:rFonts w:eastAsia="Times New Roman" w:cs="Times New Roman"/>
          <w:sz w:val="30"/>
          <w:szCs w:val="30"/>
        </w:rPr>
      </w:pPr>
      <w:r>
        <w:rPr>
          <w:rFonts w:eastAsia="Times New Roman" w:cs="Times New Roman"/>
          <w:sz w:val="30"/>
          <w:szCs w:val="30"/>
        </w:rPr>
        <w:t xml:space="preserve">Tabela: Procentowa zmiana ceny akcji spółki, której akcje zostały umieszczone 10 lutego 2015 roku </w:t>
      </w:r>
      <w:proofErr w:type="gramStart"/>
      <w:r>
        <w:rPr>
          <w:rFonts w:eastAsia="Times New Roman" w:cs="Times New Roman"/>
          <w:sz w:val="30"/>
          <w:szCs w:val="30"/>
        </w:rPr>
        <w:t>na  stronie</w:t>
      </w:r>
      <w:proofErr w:type="gramEnd"/>
      <w:r>
        <w:rPr>
          <w:rFonts w:eastAsia="Times New Roman" w:cs="Times New Roman"/>
          <w:sz w:val="30"/>
          <w:szCs w:val="30"/>
        </w:rPr>
        <w:t xml:space="preserve"> internetowej </w:t>
      </w:r>
      <w:hyperlink r:id="rId24" w:history="1">
        <w:r>
          <w:rPr>
            <w:rStyle w:val="Hipercze"/>
            <w:rFonts w:eastAsia="Times New Roman" w:cs="Times New Roman"/>
            <w:sz w:val="30"/>
            <w:szCs w:val="30"/>
          </w:rPr>
          <w:t>www.analizy-rynkowe.pl</w:t>
        </w:r>
      </w:hyperlink>
      <w:r>
        <w:rPr>
          <w:rFonts w:eastAsia="Times New Roman" w:cs="Times New Roman"/>
          <w:sz w:val="30"/>
          <w:szCs w:val="30"/>
        </w:rPr>
        <w:t xml:space="preserve"> w </w:t>
      </w:r>
      <w:proofErr w:type="gramStart"/>
      <w:r>
        <w:rPr>
          <w:rFonts w:eastAsia="Times New Roman" w:cs="Times New Roman"/>
          <w:sz w:val="30"/>
          <w:szCs w:val="30"/>
        </w:rPr>
        <w:t>rubryce  ,,Wykres</w:t>
      </w:r>
      <w:proofErr w:type="gramEnd"/>
      <w:r>
        <w:rPr>
          <w:rFonts w:eastAsia="Times New Roman" w:cs="Times New Roman"/>
          <w:sz w:val="30"/>
          <w:szCs w:val="30"/>
        </w:rPr>
        <w:t xml:space="preserve"> do przemyślenia” w okresie od 9 lutego 2015 roku do 9 lutego 2016 roku  oraz procentowa zmiana indeksu WIG 20 w tym okresie. </w:t>
      </w:r>
    </w:p>
    <w:p w:rsidR="00F27ED0" w:rsidRDefault="00F27ED0" w:rsidP="00F27ED0">
      <w:pPr>
        <w:spacing w:after="0" w:line="240" w:lineRule="auto"/>
        <w:jc w:val="both"/>
        <w:rPr>
          <w:rFonts w:eastAsia="Times New Roman" w:cs="Times New Roman"/>
        </w:rPr>
      </w:pP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09.02.2015</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09.02.2016</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Akcja spółki </w:t>
            </w:r>
            <w:proofErr w:type="spellStart"/>
            <w:r>
              <w:t>Atrem</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4,50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4,00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-11,1 %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-11,1 %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1 790,87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-24,5%</w:t>
            </w:r>
          </w:p>
        </w:tc>
      </w:tr>
    </w:tbl>
    <w:p w:rsidR="00F27ED0" w:rsidRDefault="00F27ED0" w:rsidP="00F27ED0">
      <w:pPr>
        <w:spacing w:after="0" w:line="240" w:lineRule="auto"/>
        <w:jc w:val="both"/>
        <w:rPr>
          <w:rFonts w:cs="Times New Roman"/>
        </w:rPr>
      </w:pPr>
    </w:p>
    <w:p w:rsidR="00F27ED0" w:rsidRDefault="00F27ED0" w:rsidP="00F27ED0">
      <w:pPr>
        <w:spacing w:after="0" w:line="240" w:lineRule="auto"/>
        <w:jc w:val="both"/>
        <w:rPr>
          <w:rFonts w:eastAsia="Times New Roman" w:cs="Times New Roman"/>
        </w:rPr>
      </w:pPr>
      <w:r>
        <w:rPr>
          <w:rFonts w:eastAsia="Times New Roman" w:cs="Times New Roman"/>
          <w:sz w:val="30"/>
          <w:szCs w:val="30"/>
        </w:rPr>
        <w:t xml:space="preserve">Tabela: Procentowa zmiana ceny akcji spółki, której akcje zostały umieszczone 3 marca 2015 roku </w:t>
      </w:r>
      <w:proofErr w:type="gramStart"/>
      <w:r>
        <w:rPr>
          <w:rFonts w:eastAsia="Times New Roman" w:cs="Times New Roman"/>
          <w:sz w:val="30"/>
          <w:szCs w:val="30"/>
        </w:rPr>
        <w:t>na  stronie</w:t>
      </w:r>
      <w:proofErr w:type="gramEnd"/>
      <w:r>
        <w:rPr>
          <w:rFonts w:eastAsia="Times New Roman" w:cs="Times New Roman"/>
          <w:sz w:val="30"/>
          <w:szCs w:val="30"/>
        </w:rPr>
        <w:t xml:space="preserve"> internetowej </w:t>
      </w:r>
      <w:hyperlink r:id="rId25" w:history="1">
        <w:r>
          <w:rPr>
            <w:rStyle w:val="Hipercze"/>
            <w:rFonts w:eastAsia="Times New Roman" w:cs="Times New Roman"/>
            <w:sz w:val="30"/>
            <w:szCs w:val="30"/>
          </w:rPr>
          <w:t>www.analizy-rynkowe.pl</w:t>
        </w:r>
      </w:hyperlink>
      <w:r>
        <w:rPr>
          <w:rFonts w:eastAsia="Times New Roman" w:cs="Times New Roman"/>
          <w:sz w:val="30"/>
          <w:szCs w:val="30"/>
        </w:rPr>
        <w:t xml:space="preserve"> w </w:t>
      </w:r>
      <w:proofErr w:type="gramStart"/>
      <w:r>
        <w:rPr>
          <w:rFonts w:eastAsia="Times New Roman" w:cs="Times New Roman"/>
          <w:sz w:val="30"/>
          <w:szCs w:val="30"/>
        </w:rPr>
        <w:t>rubryce  ,,Wykres</w:t>
      </w:r>
      <w:proofErr w:type="gramEnd"/>
      <w:r>
        <w:rPr>
          <w:rFonts w:eastAsia="Times New Roman" w:cs="Times New Roman"/>
          <w:sz w:val="30"/>
          <w:szCs w:val="30"/>
        </w:rPr>
        <w:t xml:space="preserve"> do przemyślenia” w okresie od 2 marca 2015 roku do 2 marca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02.03.2015</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02.03.2016</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Akcja spółki Mostostal Warszawa</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7,57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14,38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+90,0 %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+90,0 %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2 358,25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1 844,57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-21,8 %</w:t>
            </w:r>
          </w:p>
        </w:tc>
      </w:tr>
    </w:tbl>
    <w:p w:rsidR="00F27ED0" w:rsidRDefault="00F27ED0" w:rsidP="00F27ED0">
      <w:pPr>
        <w:spacing w:after="0" w:line="240" w:lineRule="auto"/>
        <w:jc w:val="both"/>
        <w:rPr>
          <w:rFonts w:eastAsia="Times New Roman" w:cs="Times New Roman"/>
        </w:rPr>
      </w:pPr>
      <w:r>
        <w:rPr>
          <w:rFonts w:eastAsia="Times New Roman" w:cs="Times New Roman"/>
          <w:sz w:val="30"/>
          <w:szCs w:val="30"/>
        </w:rPr>
        <w:lastRenderedPageBreak/>
        <w:t xml:space="preserve">Tabela: Procentowa zmiana ceny akcji spółki, której akcje zostały umieszczone 9 kwietnia 2015 roku </w:t>
      </w:r>
      <w:proofErr w:type="gramStart"/>
      <w:r>
        <w:rPr>
          <w:rFonts w:eastAsia="Times New Roman" w:cs="Times New Roman"/>
          <w:sz w:val="30"/>
          <w:szCs w:val="30"/>
        </w:rPr>
        <w:t>na  stronie</w:t>
      </w:r>
      <w:proofErr w:type="gramEnd"/>
      <w:r>
        <w:rPr>
          <w:rFonts w:eastAsia="Times New Roman" w:cs="Times New Roman"/>
          <w:sz w:val="30"/>
          <w:szCs w:val="30"/>
        </w:rPr>
        <w:t xml:space="preserve"> internetowej </w:t>
      </w:r>
      <w:hyperlink r:id="rId26" w:history="1">
        <w:r>
          <w:rPr>
            <w:rStyle w:val="Hipercze"/>
            <w:rFonts w:eastAsia="Times New Roman" w:cs="Times New Roman"/>
            <w:sz w:val="30"/>
            <w:szCs w:val="30"/>
          </w:rPr>
          <w:t>www.analizy-rynkowe.pl</w:t>
        </w:r>
      </w:hyperlink>
      <w:r>
        <w:rPr>
          <w:rFonts w:eastAsia="Times New Roman" w:cs="Times New Roman"/>
          <w:sz w:val="30"/>
          <w:szCs w:val="30"/>
        </w:rPr>
        <w:t xml:space="preserve"> w </w:t>
      </w:r>
      <w:proofErr w:type="gramStart"/>
      <w:r>
        <w:rPr>
          <w:rFonts w:eastAsia="Times New Roman" w:cs="Times New Roman"/>
          <w:sz w:val="30"/>
          <w:szCs w:val="30"/>
        </w:rPr>
        <w:t>rubryce  ,,Wykres</w:t>
      </w:r>
      <w:proofErr w:type="gramEnd"/>
      <w:r>
        <w:rPr>
          <w:rFonts w:eastAsia="Times New Roman" w:cs="Times New Roman"/>
          <w:sz w:val="30"/>
          <w:szCs w:val="30"/>
        </w:rPr>
        <w:t xml:space="preserve"> do przemyślenia” w okresie od 8 kwietnia 2015 roku do 8 kwietnia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08.04.2015</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rPr>
            </w:pPr>
            <w:r>
              <w:t>Poziom – 08.04.2016</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Akcja spółki Ceramika Nowa Gala</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1,25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1,44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+15,2 %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+15,2 %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1 919,42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-20,8 %</w:t>
            </w:r>
          </w:p>
        </w:tc>
      </w:tr>
    </w:tbl>
    <w:p w:rsidR="00F27ED0" w:rsidRDefault="00F27ED0" w:rsidP="00F27ED0">
      <w:pPr>
        <w:spacing w:after="0" w:line="240" w:lineRule="auto"/>
        <w:jc w:val="both"/>
        <w:rPr>
          <w:rFonts w:eastAsia="Times New Roman" w:cs="Times New Roman"/>
        </w:rPr>
      </w:pPr>
      <w:r>
        <w:rPr>
          <w:rFonts w:eastAsia="Times New Roman" w:cs="Times New Roman"/>
          <w:sz w:val="30"/>
          <w:szCs w:val="30"/>
        </w:rPr>
        <w:t xml:space="preserve">Tabela: Procentowa zmiana ceny akcji spółki, której akcje zostały umieszczone 5 maja 2015 roku </w:t>
      </w:r>
      <w:proofErr w:type="gramStart"/>
      <w:r>
        <w:rPr>
          <w:rFonts w:eastAsia="Times New Roman" w:cs="Times New Roman"/>
          <w:sz w:val="30"/>
          <w:szCs w:val="30"/>
        </w:rPr>
        <w:t>na  stronie</w:t>
      </w:r>
      <w:proofErr w:type="gramEnd"/>
      <w:r>
        <w:rPr>
          <w:rFonts w:eastAsia="Times New Roman" w:cs="Times New Roman"/>
          <w:sz w:val="30"/>
          <w:szCs w:val="30"/>
        </w:rPr>
        <w:t xml:space="preserve"> internetowej </w:t>
      </w:r>
      <w:hyperlink r:id="rId27" w:history="1">
        <w:r>
          <w:rPr>
            <w:rStyle w:val="Hipercze"/>
            <w:rFonts w:eastAsia="Times New Roman" w:cs="Times New Roman"/>
            <w:sz w:val="30"/>
            <w:szCs w:val="30"/>
          </w:rPr>
          <w:t>www.analizy-rynkowe.pl</w:t>
        </w:r>
      </w:hyperlink>
      <w:r>
        <w:rPr>
          <w:rFonts w:eastAsia="Times New Roman" w:cs="Times New Roman"/>
          <w:sz w:val="30"/>
          <w:szCs w:val="30"/>
        </w:rPr>
        <w:t xml:space="preserve"> w </w:t>
      </w:r>
      <w:proofErr w:type="gramStart"/>
      <w:r>
        <w:rPr>
          <w:rFonts w:eastAsia="Times New Roman" w:cs="Times New Roman"/>
          <w:sz w:val="30"/>
          <w:szCs w:val="30"/>
        </w:rPr>
        <w:t>rubryce  ,,Wykres</w:t>
      </w:r>
      <w:proofErr w:type="gramEnd"/>
      <w:r>
        <w:rPr>
          <w:rFonts w:eastAsia="Times New Roman" w:cs="Times New Roman"/>
          <w:sz w:val="30"/>
          <w:szCs w:val="30"/>
        </w:rPr>
        <w:t xml:space="preserve"> do przemyślenia” w okresie od 5 maja 2015 roku do 5 maja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04.05.2015</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rPr>
            </w:pPr>
            <w:r>
              <w:t>Poziom – 04.05.2016</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Zmiana (w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Akcja spółki Polnord</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11,10 zł.</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12,96 zł.</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+16,8 %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Średnio</w:t>
            </w:r>
          </w:p>
        </w:tc>
        <w:tc>
          <w:tcPr>
            <w:tcW w:w="2302" w:type="dxa"/>
            <w:tcBorders>
              <w:top w:val="single" w:sz="4" w:space="0" w:color="auto"/>
              <w:left w:val="single" w:sz="4" w:space="0" w:color="auto"/>
              <w:bottom w:val="single" w:sz="4" w:space="0" w:color="auto"/>
              <w:right w:val="nil"/>
            </w:tcBorders>
          </w:tcPr>
          <w:p w:rsidR="00F27ED0"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rPr>
                <w:b/>
                <w:color w:val="FF0000"/>
              </w:rPr>
            </w:pPr>
            <w:r>
              <w:rPr>
                <w:b/>
                <w:color w:val="FF0000"/>
              </w:rPr>
              <w:t>+16,8 %</w:t>
            </w:r>
          </w:p>
        </w:tc>
      </w:tr>
      <w:tr w:rsidR="00F27ED0" w:rsidTr="009F6C0B">
        <w:tc>
          <w:tcPr>
            <w:tcW w:w="34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1 865,25 pkt.</w:t>
            </w:r>
          </w:p>
        </w:tc>
        <w:tc>
          <w:tcPr>
            <w:tcW w:w="1134"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-26,1 %</w:t>
            </w:r>
          </w:p>
        </w:tc>
      </w:tr>
    </w:tbl>
    <w:p w:rsidR="00F27ED0" w:rsidRPr="00EB5398" w:rsidRDefault="00F27ED0" w:rsidP="00F27ED0">
      <w:pPr>
        <w:spacing w:after="0" w:line="240" w:lineRule="auto"/>
        <w:jc w:val="both"/>
        <w:rPr>
          <w:rFonts w:eastAsia="Times New Roman" w:cs="Times New Roman"/>
          <w:sz w:val="32"/>
          <w:szCs w:val="32"/>
        </w:rPr>
      </w:pPr>
      <w:r w:rsidRPr="00EB5398">
        <w:rPr>
          <w:rFonts w:eastAsia="Times New Roman" w:cs="Times New Roman"/>
          <w:sz w:val="32"/>
          <w:szCs w:val="32"/>
        </w:rPr>
        <w:t xml:space="preserve">Tabela: Procentowa zmiana cen akcji trzech spółek, których akcje zostały umieszczone w dniu 1 lipca na stronie internetowej </w:t>
      </w:r>
      <w:hyperlink r:id="rId28" w:history="1">
        <w:r w:rsidRPr="00EB5398">
          <w:rPr>
            <w:rFonts w:eastAsia="Times New Roman" w:cs="Times New Roman"/>
            <w:color w:val="0000FF" w:themeColor="hyperlink"/>
            <w:sz w:val="32"/>
            <w:szCs w:val="32"/>
            <w:u w:val="single"/>
          </w:rPr>
          <w:t>http://analizy-rynkowe.pl/</w:t>
        </w:r>
      </w:hyperlink>
      <w:r w:rsidRPr="00EB5398">
        <w:rPr>
          <w:rFonts w:eastAsia="Times New Roman" w:cs="Times New Roman"/>
          <w:sz w:val="32"/>
          <w:szCs w:val="32"/>
        </w:rPr>
        <w:t xml:space="preserve"> w rubryce ,,Wykres do przemyślenia” w okresie od 30 czerwca 2015 roku </w:t>
      </w:r>
      <w:r w:rsidRPr="00EB5398">
        <w:rPr>
          <w:rFonts w:eastAsia="Times New Roman" w:cs="Times New Roman"/>
          <w:sz w:val="30"/>
          <w:szCs w:val="30"/>
        </w:rPr>
        <w:t xml:space="preserve">do </w:t>
      </w:r>
      <w:r>
        <w:rPr>
          <w:rFonts w:eastAsia="Times New Roman" w:cs="Times New Roman"/>
          <w:sz w:val="30"/>
          <w:szCs w:val="30"/>
        </w:rPr>
        <w:t xml:space="preserve">30 czerwca </w:t>
      </w:r>
      <w:r w:rsidRPr="00EB5398">
        <w:rPr>
          <w:rFonts w:eastAsia="Times New Roman" w:cs="Times New Roman"/>
          <w:sz w:val="30"/>
          <w:szCs w:val="30"/>
        </w:rPr>
        <w:t xml:space="preserve">2016 </w:t>
      </w:r>
      <w:proofErr w:type="gramStart"/>
      <w:r w:rsidRPr="00EB5398">
        <w:rPr>
          <w:rFonts w:eastAsia="Times New Roman" w:cs="Times New Roman"/>
          <w:sz w:val="30"/>
          <w:szCs w:val="30"/>
        </w:rPr>
        <w:t xml:space="preserve">roku  </w:t>
      </w:r>
      <w:r w:rsidRPr="00EB5398">
        <w:rPr>
          <w:rFonts w:eastAsia="Times New Roman" w:cs="Times New Roman"/>
          <w:sz w:val="32"/>
          <w:szCs w:val="32"/>
        </w:rPr>
        <w:t>oraz</w:t>
      </w:r>
      <w:proofErr w:type="gramEnd"/>
      <w:r w:rsidRPr="00EB5398">
        <w:rPr>
          <w:rFonts w:eastAsia="Times New Roman" w:cs="Times New Roman"/>
          <w:sz w:val="32"/>
          <w:szCs w:val="32"/>
        </w:rPr>
        <w:t xml:space="preserve"> procentowa zmiana indeksu WIG 20 w tym okresie. </w:t>
      </w:r>
    </w:p>
    <w:tbl>
      <w:tblPr>
        <w:tblW w:w="0" w:type="auto"/>
        <w:tblLook w:val="04A0" w:firstRow="1" w:lastRow="0" w:firstColumn="1" w:lastColumn="0" w:noHBand="0" w:noVBand="1"/>
      </w:tblPr>
      <w:tblGrid>
        <w:gridCol w:w="3402"/>
        <w:gridCol w:w="2302"/>
        <w:gridCol w:w="2303"/>
        <w:gridCol w:w="1134"/>
      </w:tblGrid>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Poziom – 30.06.2015</w:t>
            </w:r>
          </w:p>
        </w:tc>
        <w:tc>
          <w:tcPr>
            <w:tcW w:w="2303"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rPr>
                <w:b/>
              </w:rPr>
            </w:pPr>
            <w:r w:rsidRPr="00EB5398">
              <w:t xml:space="preserve">Poziom – </w:t>
            </w:r>
            <w:r>
              <w:t>30</w:t>
            </w:r>
            <w:r w:rsidRPr="00EB5398">
              <w:t>.0</w:t>
            </w:r>
            <w:r>
              <w:t>6</w:t>
            </w:r>
            <w:r w:rsidRPr="00EB5398">
              <w:t>.2016</w:t>
            </w: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Zmiana (w %)</w:t>
            </w:r>
          </w:p>
        </w:tc>
      </w:tr>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Akcja spółki TIM</w:t>
            </w:r>
          </w:p>
        </w:tc>
        <w:tc>
          <w:tcPr>
            <w:tcW w:w="23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 xml:space="preserve">9,49 zł. </w:t>
            </w:r>
          </w:p>
        </w:tc>
        <w:tc>
          <w:tcPr>
            <w:tcW w:w="2303"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t>11</w:t>
            </w:r>
            <w:r w:rsidRPr="00EB5398">
              <w:t>,</w:t>
            </w:r>
            <w:r>
              <w:t>35</w:t>
            </w:r>
            <w:r w:rsidRPr="00EB5398">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t>19,6</w:t>
            </w:r>
            <w:r w:rsidRPr="00EB5398">
              <w:t xml:space="preserve"> %</w:t>
            </w:r>
          </w:p>
        </w:tc>
      </w:tr>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 xml:space="preserve">Akcja </w:t>
            </w:r>
            <w:proofErr w:type="gramStart"/>
            <w:r w:rsidRPr="00EB5398">
              <w:t xml:space="preserve">spółki  </w:t>
            </w:r>
            <w:proofErr w:type="spellStart"/>
            <w:r w:rsidRPr="00EB5398">
              <w:t>Unima</w:t>
            </w:r>
            <w:proofErr w:type="spellEnd"/>
            <w:proofErr w:type="gramEnd"/>
            <w:r w:rsidRPr="00EB5398">
              <w:t xml:space="preserve"> 2000</w:t>
            </w:r>
          </w:p>
        </w:tc>
        <w:tc>
          <w:tcPr>
            <w:tcW w:w="23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 xml:space="preserve">2,58 zł. </w:t>
            </w:r>
          </w:p>
        </w:tc>
        <w:tc>
          <w:tcPr>
            <w:tcW w:w="2303"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2,</w:t>
            </w:r>
            <w:r>
              <w:t>48</w:t>
            </w:r>
            <w:r w:rsidRPr="00EB5398">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w:t>
            </w:r>
            <w:r>
              <w:t>3</w:t>
            </w:r>
            <w:r w:rsidRPr="00EB5398">
              <w:t>,</w:t>
            </w:r>
            <w:r>
              <w:t>9</w:t>
            </w:r>
            <w:r w:rsidRPr="00EB5398">
              <w:t xml:space="preserve"> %</w:t>
            </w:r>
          </w:p>
        </w:tc>
      </w:tr>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 xml:space="preserve">Akcja spółki </w:t>
            </w:r>
            <w:proofErr w:type="spellStart"/>
            <w:r w:rsidRPr="00EB5398">
              <w:t>Variant</w:t>
            </w:r>
            <w:proofErr w:type="spellEnd"/>
            <w:r w:rsidRPr="00EB5398">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1,77 zł.</w:t>
            </w:r>
          </w:p>
        </w:tc>
        <w:tc>
          <w:tcPr>
            <w:tcW w:w="2303"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1,68 zł.</w:t>
            </w: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-5,1  %</w:t>
            </w:r>
          </w:p>
        </w:tc>
      </w:tr>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rPr>
                <w:b/>
                <w:color w:val="FF0000"/>
              </w:rPr>
            </w:pPr>
            <w:r w:rsidRPr="00EB5398">
              <w:rPr>
                <w:b/>
                <w:color w:val="FF0000"/>
              </w:rPr>
              <w:t>Średnio</w:t>
            </w:r>
          </w:p>
        </w:tc>
        <w:tc>
          <w:tcPr>
            <w:tcW w:w="2302" w:type="dxa"/>
            <w:tcBorders>
              <w:top w:val="single" w:sz="4" w:space="0" w:color="auto"/>
              <w:left w:val="single" w:sz="4" w:space="0" w:color="auto"/>
              <w:bottom w:val="single" w:sz="4" w:space="0" w:color="auto"/>
              <w:right w:val="nil"/>
            </w:tcBorders>
          </w:tcPr>
          <w:p w:rsidR="00F27ED0" w:rsidRPr="00EB5398"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Pr="00EB5398"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rPr>
                <w:b/>
                <w:color w:val="FF0000"/>
              </w:rPr>
            </w:pPr>
            <w:r>
              <w:rPr>
                <w:b/>
                <w:color w:val="FF0000"/>
              </w:rPr>
              <w:t>3</w:t>
            </w:r>
            <w:r w:rsidRPr="00EB5398">
              <w:rPr>
                <w:b/>
                <w:color w:val="FF0000"/>
              </w:rPr>
              <w:t>,</w:t>
            </w:r>
            <w:r>
              <w:rPr>
                <w:b/>
                <w:color w:val="FF0000"/>
              </w:rPr>
              <w:t>5</w:t>
            </w:r>
            <w:r w:rsidRPr="00EB5398">
              <w:rPr>
                <w:b/>
                <w:color w:val="FF0000"/>
              </w:rPr>
              <w:t xml:space="preserve">  %</w:t>
            </w:r>
          </w:p>
        </w:tc>
      </w:tr>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 xml:space="preserve">2317,84 pkt. </w:t>
            </w:r>
          </w:p>
        </w:tc>
        <w:tc>
          <w:tcPr>
            <w:tcW w:w="2303"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1 </w:t>
            </w:r>
            <w:r>
              <w:t>750</w:t>
            </w:r>
            <w:r w:rsidRPr="00EB5398">
              <w:t>,</w:t>
            </w:r>
            <w:r>
              <w:t>69</w:t>
            </w:r>
            <w:r w:rsidRPr="00EB5398">
              <w:t xml:space="preserve"> pkt.</w:t>
            </w: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w:t>
            </w:r>
            <w:r>
              <w:t>24</w:t>
            </w:r>
            <w:r w:rsidRPr="00EB5398">
              <w:t>,</w:t>
            </w:r>
            <w:r>
              <w:t>5</w:t>
            </w:r>
            <w:r w:rsidRPr="00EB5398">
              <w:t xml:space="preserve"> %</w:t>
            </w:r>
          </w:p>
        </w:tc>
      </w:tr>
    </w:tbl>
    <w:p w:rsidR="00F27ED0" w:rsidRPr="00EB5398" w:rsidRDefault="00F27ED0" w:rsidP="00F27ED0">
      <w:pPr>
        <w:spacing w:after="0" w:line="240" w:lineRule="auto"/>
        <w:jc w:val="both"/>
        <w:rPr>
          <w:rFonts w:eastAsia="Times New Roman" w:cs="Times New Roman"/>
          <w:sz w:val="28"/>
          <w:szCs w:val="28"/>
        </w:rPr>
      </w:pPr>
      <w:r w:rsidRPr="00EB5398">
        <w:rPr>
          <w:rFonts w:eastAsia="Times New Roman" w:cs="Times New Roman"/>
          <w:sz w:val="28"/>
          <w:szCs w:val="28"/>
        </w:rPr>
        <w:lastRenderedPageBreak/>
        <w:t xml:space="preserve">Tabela: Procentowa zmiana ceny akcji spółki, której akcje zostały umieszczone 21 lipca 2015 roku </w:t>
      </w:r>
      <w:proofErr w:type="gramStart"/>
      <w:r w:rsidRPr="00EB5398">
        <w:rPr>
          <w:rFonts w:eastAsia="Times New Roman" w:cs="Times New Roman"/>
          <w:sz w:val="28"/>
          <w:szCs w:val="28"/>
        </w:rPr>
        <w:t>na  stronie</w:t>
      </w:r>
      <w:proofErr w:type="gramEnd"/>
      <w:r w:rsidRPr="00EB5398">
        <w:rPr>
          <w:rFonts w:eastAsia="Times New Roman" w:cs="Times New Roman"/>
          <w:sz w:val="28"/>
          <w:szCs w:val="28"/>
        </w:rPr>
        <w:t xml:space="preserve"> internetowej </w:t>
      </w:r>
      <w:hyperlink r:id="rId29" w:history="1">
        <w:r w:rsidRPr="00EB5398">
          <w:rPr>
            <w:rFonts w:eastAsia="Times New Roman" w:cs="Times New Roman"/>
            <w:color w:val="0000FF" w:themeColor="hyperlink"/>
            <w:sz w:val="28"/>
            <w:szCs w:val="28"/>
            <w:u w:val="single"/>
          </w:rPr>
          <w:t>www.analizy-rynkowe.pl</w:t>
        </w:r>
      </w:hyperlink>
      <w:r w:rsidRPr="00EB5398">
        <w:rPr>
          <w:rFonts w:eastAsia="Times New Roman" w:cs="Times New Roman"/>
          <w:sz w:val="28"/>
          <w:szCs w:val="28"/>
        </w:rPr>
        <w:t xml:space="preserve"> w </w:t>
      </w:r>
      <w:proofErr w:type="gramStart"/>
      <w:r w:rsidRPr="00EB5398">
        <w:rPr>
          <w:rFonts w:eastAsia="Times New Roman" w:cs="Times New Roman"/>
          <w:sz w:val="28"/>
          <w:szCs w:val="28"/>
        </w:rPr>
        <w:t>rubryce  ,,Wykres</w:t>
      </w:r>
      <w:proofErr w:type="gramEnd"/>
      <w:r w:rsidRPr="00EB5398">
        <w:rPr>
          <w:rFonts w:eastAsia="Times New Roman" w:cs="Times New Roman"/>
          <w:sz w:val="28"/>
          <w:szCs w:val="28"/>
        </w:rPr>
        <w:t xml:space="preserve"> do przemyślenia” w okresie od 2</w:t>
      </w:r>
      <w:r>
        <w:rPr>
          <w:rFonts w:eastAsia="Times New Roman" w:cs="Times New Roman"/>
          <w:sz w:val="28"/>
          <w:szCs w:val="28"/>
        </w:rPr>
        <w:t>0</w:t>
      </w:r>
      <w:r w:rsidRPr="00EB5398">
        <w:rPr>
          <w:rFonts w:eastAsia="Times New Roman" w:cs="Times New Roman"/>
          <w:sz w:val="28"/>
          <w:szCs w:val="28"/>
        </w:rPr>
        <w:t xml:space="preserve"> lipca 2015 roku </w:t>
      </w:r>
      <w:r w:rsidRPr="00EB5398">
        <w:rPr>
          <w:rFonts w:eastAsia="Times New Roman" w:cs="Times New Roman"/>
          <w:sz w:val="30"/>
          <w:szCs w:val="30"/>
        </w:rPr>
        <w:t xml:space="preserve">do </w:t>
      </w:r>
      <w:r>
        <w:rPr>
          <w:rFonts w:eastAsia="Times New Roman" w:cs="Times New Roman"/>
          <w:sz w:val="30"/>
          <w:szCs w:val="30"/>
        </w:rPr>
        <w:t xml:space="preserve">20 lipca </w:t>
      </w:r>
      <w:r w:rsidRPr="00EB5398">
        <w:rPr>
          <w:rFonts w:eastAsia="Times New Roman" w:cs="Times New Roman"/>
          <w:sz w:val="30"/>
          <w:szCs w:val="30"/>
        </w:rPr>
        <w:t xml:space="preserve">kwietnia 2016 roku    </w:t>
      </w:r>
      <w:r w:rsidRPr="00EB5398">
        <w:rPr>
          <w:rFonts w:eastAsia="Times New Roman" w:cs="Times New Roman"/>
          <w:sz w:val="28"/>
          <w:szCs w:val="28"/>
        </w:rPr>
        <w:t xml:space="preserve">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Poziom – 2</w:t>
            </w:r>
            <w:r>
              <w:t>0</w:t>
            </w:r>
            <w:r w:rsidRPr="00EB5398">
              <w:t>.07.2015</w:t>
            </w:r>
          </w:p>
        </w:tc>
        <w:tc>
          <w:tcPr>
            <w:tcW w:w="2303"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rPr>
                <w:b/>
              </w:rPr>
            </w:pPr>
            <w:r w:rsidRPr="00EB5398">
              <w:t>Poziom – 2</w:t>
            </w:r>
            <w:r>
              <w:t>0</w:t>
            </w:r>
            <w:r w:rsidRPr="00EB5398">
              <w:t>.07.201</w:t>
            </w:r>
            <w:r>
              <w:t>6</w:t>
            </w: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Zmiana (w %)</w:t>
            </w:r>
          </w:p>
        </w:tc>
      </w:tr>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 xml:space="preserve">Akcja spółki Ropczyce </w:t>
            </w:r>
          </w:p>
        </w:tc>
        <w:tc>
          <w:tcPr>
            <w:tcW w:w="23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20,80 zł.</w:t>
            </w:r>
          </w:p>
        </w:tc>
        <w:tc>
          <w:tcPr>
            <w:tcW w:w="2303"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2</w:t>
            </w:r>
            <w:r>
              <w:t>0</w:t>
            </w:r>
            <w:r w:rsidRPr="00EB5398">
              <w:t>,</w:t>
            </w:r>
            <w:r>
              <w:t>30</w:t>
            </w:r>
            <w:r w:rsidRPr="00EB5398">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t>-2,4</w:t>
            </w:r>
            <w:r w:rsidRPr="00EB5398">
              <w:t xml:space="preserve"> %</w:t>
            </w:r>
          </w:p>
        </w:tc>
      </w:tr>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rPr>
                <w:b/>
                <w:color w:val="FF0000"/>
              </w:rPr>
            </w:pPr>
            <w:r w:rsidRPr="00EB5398">
              <w:rPr>
                <w:b/>
                <w:color w:val="FF0000"/>
              </w:rPr>
              <w:t>Średnio</w:t>
            </w:r>
          </w:p>
        </w:tc>
        <w:tc>
          <w:tcPr>
            <w:tcW w:w="2302" w:type="dxa"/>
            <w:tcBorders>
              <w:top w:val="single" w:sz="4" w:space="0" w:color="auto"/>
              <w:left w:val="single" w:sz="4" w:space="0" w:color="auto"/>
              <w:bottom w:val="single" w:sz="4" w:space="0" w:color="auto"/>
              <w:right w:val="nil"/>
            </w:tcBorders>
          </w:tcPr>
          <w:p w:rsidR="00F27ED0" w:rsidRPr="00EB5398"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Pr="00EB5398"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rPr>
                <w:b/>
                <w:color w:val="FF0000"/>
              </w:rPr>
            </w:pPr>
            <w:r>
              <w:rPr>
                <w:b/>
                <w:color w:val="FF0000"/>
              </w:rPr>
              <w:t>-2,4</w:t>
            </w:r>
            <w:r w:rsidRPr="00EB5398">
              <w:rPr>
                <w:b/>
                <w:color w:val="FF0000"/>
              </w:rPr>
              <w:t>%</w:t>
            </w:r>
          </w:p>
        </w:tc>
      </w:tr>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 xml:space="preserve">2 444,63 pkt. </w:t>
            </w:r>
          </w:p>
        </w:tc>
        <w:tc>
          <w:tcPr>
            <w:tcW w:w="2303"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1</w:t>
            </w:r>
            <w:r>
              <w:t xml:space="preserve"> 800,41 </w:t>
            </w:r>
            <w:r w:rsidRPr="00EB5398">
              <w:t>pkt.</w:t>
            </w: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t>-19,8</w:t>
            </w:r>
            <w:r w:rsidRPr="00EB5398">
              <w:t xml:space="preserve">  %</w:t>
            </w:r>
          </w:p>
        </w:tc>
      </w:tr>
    </w:tbl>
    <w:p w:rsidR="00F27ED0" w:rsidRPr="00EB5398" w:rsidRDefault="00F27ED0" w:rsidP="00F27ED0">
      <w:pPr>
        <w:spacing w:after="0" w:line="240" w:lineRule="auto"/>
        <w:jc w:val="both"/>
        <w:rPr>
          <w:rFonts w:eastAsia="Times New Roman" w:cs="Times New Roman"/>
          <w:sz w:val="32"/>
          <w:szCs w:val="32"/>
        </w:rPr>
      </w:pPr>
      <w:r w:rsidRPr="00EB5398">
        <w:rPr>
          <w:rFonts w:eastAsia="Times New Roman" w:cs="Times New Roman"/>
          <w:sz w:val="32"/>
          <w:szCs w:val="32"/>
        </w:rPr>
        <w:t xml:space="preserve">Tabela: Procentowa zmiana ceny akcji spółki, której akcje zostały umieszczone 23 lipca 2015 roku </w:t>
      </w:r>
      <w:proofErr w:type="gramStart"/>
      <w:r w:rsidRPr="00EB5398">
        <w:rPr>
          <w:rFonts w:eastAsia="Times New Roman" w:cs="Times New Roman"/>
          <w:sz w:val="32"/>
          <w:szCs w:val="32"/>
        </w:rPr>
        <w:t>na  stronie</w:t>
      </w:r>
      <w:proofErr w:type="gramEnd"/>
      <w:r w:rsidRPr="00EB5398">
        <w:rPr>
          <w:rFonts w:eastAsia="Times New Roman" w:cs="Times New Roman"/>
          <w:sz w:val="32"/>
          <w:szCs w:val="32"/>
        </w:rPr>
        <w:t xml:space="preserve"> internetowej </w:t>
      </w:r>
      <w:hyperlink r:id="rId30" w:history="1">
        <w:r w:rsidRPr="00EB5398">
          <w:rPr>
            <w:rFonts w:eastAsia="Times New Roman" w:cs="Times New Roman"/>
            <w:color w:val="0000FF" w:themeColor="hyperlink"/>
            <w:sz w:val="32"/>
            <w:szCs w:val="32"/>
            <w:u w:val="single"/>
          </w:rPr>
          <w:t>www.analizy-rynkowe.pl</w:t>
        </w:r>
      </w:hyperlink>
      <w:r w:rsidRPr="00EB5398">
        <w:rPr>
          <w:rFonts w:eastAsia="Times New Roman" w:cs="Times New Roman"/>
          <w:sz w:val="32"/>
          <w:szCs w:val="32"/>
        </w:rPr>
        <w:t xml:space="preserve"> w </w:t>
      </w:r>
      <w:proofErr w:type="gramStart"/>
      <w:r w:rsidRPr="00EB5398">
        <w:rPr>
          <w:rFonts w:eastAsia="Times New Roman" w:cs="Times New Roman"/>
          <w:sz w:val="32"/>
          <w:szCs w:val="32"/>
        </w:rPr>
        <w:t>rubryce  ,,Wykres</w:t>
      </w:r>
      <w:proofErr w:type="gramEnd"/>
      <w:r w:rsidRPr="00EB5398">
        <w:rPr>
          <w:rFonts w:eastAsia="Times New Roman" w:cs="Times New Roman"/>
          <w:sz w:val="32"/>
          <w:szCs w:val="32"/>
        </w:rPr>
        <w:t xml:space="preserve"> do przemyślenia” w okresie od 22 lipca 2015 roku </w:t>
      </w:r>
      <w:r w:rsidRPr="00EB5398">
        <w:rPr>
          <w:rFonts w:eastAsia="Times New Roman" w:cs="Times New Roman"/>
          <w:sz w:val="30"/>
          <w:szCs w:val="30"/>
        </w:rPr>
        <w:t xml:space="preserve">do 1 kwietnia 2016 roku  </w:t>
      </w:r>
      <w:r w:rsidRPr="00EB5398">
        <w:rPr>
          <w:rFonts w:eastAsia="Times New Roman" w:cs="Times New Roman"/>
          <w:sz w:val="32"/>
          <w:szCs w:val="32"/>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Poziom – 22.07.2015</w:t>
            </w:r>
          </w:p>
        </w:tc>
        <w:tc>
          <w:tcPr>
            <w:tcW w:w="2303" w:type="dxa"/>
            <w:tcBorders>
              <w:top w:val="single" w:sz="4" w:space="0" w:color="auto"/>
              <w:left w:val="single" w:sz="4" w:space="0" w:color="auto"/>
              <w:bottom w:val="single" w:sz="4" w:space="0" w:color="auto"/>
              <w:right w:val="single" w:sz="4" w:space="0" w:color="auto"/>
            </w:tcBorders>
            <w:hideMark/>
          </w:tcPr>
          <w:p w:rsidR="00F27ED0" w:rsidRDefault="00F27ED0" w:rsidP="009F6C0B">
            <w:pPr>
              <w:jc w:val="center"/>
            </w:pPr>
            <w:r>
              <w:t>Poziom – 22.07.2016</w:t>
            </w:r>
          </w:p>
          <w:p w:rsidR="00F27ED0" w:rsidRPr="00EB5398" w:rsidRDefault="00F27ED0" w:rsidP="009F6C0B">
            <w:pPr>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Zmiana (w %)</w:t>
            </w:r>
          </w:p>
        </w:tc>
      </w:tr>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Akcja spółki Eurocash</w:t>
            </w:r>
          </w:p>
        </w:tc>
        <w:tc>
          <w:tcPr>
            <w:tcW w:w="23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41,26 zł.</w:t>
            </w:r>
          </w:p>
        </w:tc>
        <w:tc>
          <w:tcPr>
            <w:tcW w:w="2303"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t>45</w:t>
            </w:r>
            <w:r w:rsidRPr="00EB5398">
              <w:t>,</w:t>
            </w:r>
            <w:r>
              <w:t>38</w:t>
            </w:r>
            <w:r w:rsidRPr="00EB5398">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+29,4 %</w:t>
            </w:r>
          </w:p>
        </w:tc>
      </w:tr>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rPr>
                <w:b/>
                <w:color w:val="FF0000"/>
              </w:rPr>
            </w:pPr>
            <w:r w:rsidRPr="00EB5398">
              <w:rPr>
                <w:b/>
                <w:color w:val="FF0000"/>
              </w:rPr>
              <w:t>Średnio</w:t>
            </w:r>
          </w:p>
        </w:tc>
        <w:tc>
          <w:tcPr>
            <w:tcW w:w="2302" w:type="dxa"/>
            <w:tcBorders>
              <w:top w:val="single" w:sz="4" w:space="0" w:color="auto"/>
              <w:left w:val="single" w:sz="4" w:space="0" w:color="auto"/>
              <w:bottom w:val="single" w:sz="4" w:space="0" w:color="auto"/>
              <w:right w:val="nil"/>
            </w:tcBorders>
          </w:tcPr>
          <w:p w:rsidR="00F27ED0" w:rsidRPr="00EB5398" w:rsidRDefault="00F27ED0" w:rsidP="009F6C0B">
            <w:pPr>
              <w:jc w:val="center"/>
              <w:rPr>
                <w:b/>
                <w:color w:val="FF0000"/>
              </w:rPr>
            </w:pPr>
          </w:p>
        </w:tc>
        <w:tc>
          <w:tcPr>
            <w:tcW w:w="2303" w:type="dxa"/>
            <w:tcBorders>
              <w:top w:val="single" w:sz="4" w:space="0" w:color="auto"/>
              <w:left w:val="nil"/>
              <w:bottom w:val="single" w:sz="4" w:space="0" w:color="auto"/>
              <w:right w:val="single" w:sz="4" w:space="0" w:color="auto"/>
            </w:tcBorders>
          </w:tcPr>
          <w:p w:rsidR="00F27ED0" w:rsidRPr="00EB5398" w:rsidRDefault="00F27ED0" w:rsidP="009F6C0B">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rPr>
                <w:b/>
                <w:color w:val="FF0000"/>
              </w:rPr>
            </w:pPr>
            <w:r w:rsidRPr="00EB5398">
              <w:rPr>
                <w:b/>
                <w:color w:val="FF0000"/>
              </w:rPr>
              <w:t>+29,4%</w:t>
            </w:r>
          </w:p>
        </w:tc>
      </w:tr>
      <w:tr w:rsidR="00F27ED0" w:rsidRPr="00EB5398" w:rsidTr="009F6C0B">
        <w:tc>
          <w:tcPr>
            <w:tcW w:w="34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WIG 20</w:t>
            </w:r>
          </w:p>
        </w:tc>
        <w:tc>
          <w:tcPr>
            <w:tcW w:w="2302"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 xml:space="preserve">2 185,83 pkt. </w:t>
            </w:r>
          </w:p>
        </w:tc>
        <w:tc>
          <w:tcPr>
            <w:tcW w:w="2303"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rPr>
                <w:b/>
              </w:rPr>
            </w:pPr>
            <w:r w:rsidRPr="00EB5398">
              <w:t>1 </w:t>
            </w:r>
            <w:r>
              <w:t>792</w:t>
            </w:r>
            <w:r w:rsidRPr="00EB5398">
              <w:t>,</w:t>
            </w:r>
            <w:r>
              <w:t>97</w:t>
            </w:r>
            <w:r w:rsidRPr="00EB5398">
              <w:t xml:space="preserve"> pkt.</w:t>
            </w:r>
          </w:p>
        </w:tc>
        <w:tc>
          <w:tcPr>
            <w:tcW w:w="1134" w:type="dxa"/>
            <w:tcBorders>
              <w:top w:val="single" w:sz="4" w:space="0" w:color="auto"/>
              <w:left w:val="single" w:sz="4" w:space="0" w:color="auto"/>
              <w:bottom w:val="single" w:sz="4" w:space="0" w:color="auto"/>
              <w:right w:val="single" w:sz="4" w:space="0" w:color="auto"/>
            </w:tcBorders>
            <w:hideMark/>
          </w:tcPr>
          <w:p w:rsidR="00F27ED0" w:rsidRPr="00EB5398" w:rsidRDefault="00F27ED0" w:rsidP="009F6C0B">
            <w:pPr>
              <w:jc w:val="center"/>
            </w:pPr>
            <w:r w:rsidRPr="00EB5398">
              <w:t>-</w:t>
            </w:r>
            <w:r>
              <w:t>18</w:t>
            </w:r>
            <w:r w:rsidRPr="00EB5398">
              <w:t>,</w:t>
            </w:r>
            <w:r>
              <w:t>0</w:t>
            </w:r>
            <w:r w:rsidRPr="00EB5398">
              <w:t xml:space="preserve"> %</w:t>
            </w:r>
          </w:p>
        </w:tc>
      </w:tr>
    </w:tbl>
    <w:p w:rsidR="00F27ED0" w:rsidRDefault="00F27ED0" w:rsidP="00F27ED0">
      <w:pPr>
        <w:spacing w:after="0" w:line="240" w:lineRule="auto"/>
        <w:jc w:val="both"/>
        <w:rPr>
          <w:rFonts w:ascii="Calibri" w:eastAsia="Times New Roman" w:hAnsi="Calibri" w:cs="Times New Roman"/>
          <w:sz w:val="40"/>
          <w:szCs w:val="40"/>
          <w:u w:val="single"/>
        </w:rPr>
      </w:pPr>
    </w:p>
    <w:p w:rsidR="00F27ED0" w:rsidRPr="00EB5398" w:rsidRDefault="00F27ED0" w:rsidP="00F27ED0">
      <w:pPr>
        <w:spacing w:after="0" w:line="240" w:lineRule="auto"/>
        <w:jc w:val="both"/>
        <w:rPr>
          <w:rFonts w:ascii="Calibri" w:eastAsia="Times New Roman" w:hAnsi="Calibri" w:cs="Times New Roman"/>
          <w:sz w:val="44"/>
          <w:szCs w:val="44"/>
          <w:u w:val="single"/>
        </w:rPr>
      </w:pPr>
      <w:r w:rsidRPr="00EB5398">
        <w:rPr>
          <w:rFonts w:ascii="Calibri" w:eastAsia="Times New Roman" w:hAnsi="Calibri" w:cs="Times New Roman"/>
          <w:sz w:val="44"/>
          <w:szCs w:val="44"/>
          <w:u w:val="single"/>
        </w:rPr>
        <w:t>Wniosek końcowy z powyższych rozważań brzmi następująco:</w:t>
      </w:r>
    </w:p>
    <w:p w:rsidR="00F27ED0" w:rsidRPr="00EB5398" w:rsidRDefault="00F27ED0" w:rsidP="00F27ED0">
      <w:pPr>
        <w:spacing w:after="0" w:line="240" w:lineRule="auto"/>
        <w:jc w:val="both"/>
        <w:rPr>
          <w:rFonts w:ascii="Calibri" w:eastAsia="Times New Roman" w:hAnsi="Calibri" w:cs="Times New Roman"/>
          <w:color w:val="FF0000"/>
          <w:sz w:val="44"/>
          <w:szCs w:val="44"/>
          <w:u w:val="single"/>
        </w:rPr>
      </w:pPr>
    </w:p>
    <w:p w:rsidR="00F27ED0" w:rsidRDefault="00F27ED0" w:rsidP="00F27ED0">
      <w:pPr>
        <w:spacing w:after="0" w:line="240" w:lineRule="auto"/>
        <w:jc w:val="both"/>
        <w:rPr>
          <w:rFonts w:ascii="Calibri" w:eastAsia="Times New Roman" w:hAnsi="Calibri" w:cs="Times New Roman"/>
          <w:b/>
          <w:color w:val="000000" w:themeColor="text1"/>
          <w:sz w:val="44"/>
          <w:szCs w:val="44"/>
          <w:u w:val="single"/>
        </w:rPr>
      </w:pPr>
      <w:r w:rsidRPr="00EB5398">
        <w:rPr>
          <w:rFonts w:ascii="Calibri" w:eastAsia="Times New Roman" w:hAnsi="Calibri" w:cs="Times New Roman"/>
          <w:color w:val="000000"/>
          <w:sz w:val="44"/>
          <w:szCs w:val="44"/>
        </w:rPr>
        <w:t xml:space="preserve">Średnia procentowa zmiana kursu akcji spółki po wprowadzeniu jej do rubryki </w:t>
      </w:r>
      <w:proofErr w:type="gramStart"/>
      <w:r w:rsidRPr="00EB5398">
        <w:rPr>
          <w:rFonts w:ascii="Calibri" w:eastAsia="Times New Roman" w:hAnsi="Calibri" w:cs="Times New Roman"/>
          <w:b/>
          <w:color w:val="FF0000"/>
          <w:sz w:val="44"/>
          <w:szCs w:val="44"/>
        </w:rPr>
        <w:t>,,</w:t>
      </w:r>
      <w:proofErr w:type="gramEnd"/>
      <w:r w:rsidRPr="00EB5398">
        <w:rPr>
          <w:rFonts w:ascii="Calibri" w:eastAsia="Times New Roman" w:hAnsi="Calibri" w:cs="Times New Roman"/>
          <w:b/>
          <w:color w:val="FF0000"/>
          <w:sz w:val="44"/>
          <w:szCs w:val="44"/>
        </w:rPr>
        <w:t>Wykres do przemyślenia”</w:t>
      </w:r>
      <w:r w:rsidRPr="00EB5398">
        <w:rPr>
          <w:rFonts w:ascii="Calibri" w:eastAsia="Times New Roman" w:hAnsi="Calibri" w:cs="Times New Roman"/>
          <w:color w:val="000000"/>
          <w:sz w:val="44"/>
          <w:szCs w:val="44"/>
        </w:rPr>
        <w:t xml:space="preserve"> w okresie 12 pierwszych miesięcy po jej wprowadzeniu do tej rubryki wynosiła </w:t>
      </w:r>
      <w:r w:rsidRPr="00EB5398">
        <w:rPr>
          <w:rFonts w:ascii="Calibri" w:eastAsia="Times New Roman" w:hAnsi="Calibri" w:cs="Times New Roman"/>
          <w:b/>
          <w:color w:val="FF0000"/>
          <w:sz w:val="44"/>
          <w:szCs w:val="44"/>
        </w:rPr>
        <w:t>plus 1</w:t>
      </w:r>
      <w:r>
        <w:rPr>
          <w:rFonts w:ascii="Calibri" w:eastAsia="Times New Roman" w:hAnsi="Calibri" w:cs="Times New Roman"/>
          <w:b/>
          <w:color w:val="FF0000"/>
          <w:sz w:val="44"/>
          <w:szCs w:val="44"/>
        </w:rPr>
        <w:t>2</w:t>
      </w:r>
      <w:r w:rsidRPr="00EB5398">
        <w:rPr>
          <w:rFonts w:ascii="Calibri" w:eastAsia="Times New Roman" w:hAnsi="Calibri" w:cs="Times New Roman"/>
          <w:b/>
          <w:color w:val="FF0000"/>
          <w:sz w:val="44"/>
          <w:szCs w:val="44"/>
        </w:rPr>
        <w:t>,</w:t>
      </w:r>
      <w:r>
        <w:rPr>
          <w:rFonts w:ascii="Calibri" w:eastAsia="Times New Roman" w:hAnsi="Calibri" w:cs="Times New Roman"/>
          <w:b/>
          <w:color w:val="FF0000"/>
          <w:sz w:val="44"/>
          <w:szCs w:val="44"/>
        </w:rPr>
        <w:t>6</w:t>
      </w:r>
      <w:r w:rsidRPr="00EB5398">
        <w:rPr>
          <w:rFonts w:ascii="Calibri" w:eastAsia="Times New Roman" w:hAnsi="Calibri" w:cs="Times New Roman"/>
          <w:b/>
          <w:color w:val="FF0000"/>
          <w:sz w:val="44"/>
          <w:szCs w:val="44"/>
        </w:rPr>
        <w:t xml:space="preserve"> %.</w:t>
      </w:r>
      <w:r w:rsidRPr="00EB5398">
        <w:rPr>
          <w:rFonts w:ascii="Calibri" w:eastAsia="Times New Roman" w:hAnsi="Calibri" w:cs="Times New Roman"/>
          <w:color w:val="FF0000"/>
          <w:sz w:val="44"/>
          <w:szCs w:val="44"/>
        </w:rPr>
        <w:t xml:space="preserve"> </w:t>
      </w:r>
      <w:r w:rsidRPr="00EB5398">
        <w:rPr>
          <w:rFonts w:ascii="Calibri" w:eastAsia="Times New Roman" w:hAnsi="Calibri" w:cs="Times New Roman"/>
          <w:color w:val="000000" w:themeColor="text1"/>
          <w:sz w:val="44"/>
          <w:szCs w:val="44"/>
        </w:rPr>
        <w:t xml:space="preserve">Średnia procentowa zmiana indeksu </w:t>
      </w:r>
      <w:r w:rsidRPr="00EB5398">
        <w:rPr>
          <w:rFonts w:ascii="Calibri" w:eastAsia="Times New Roman" w:hAnsi="Calibri" w:cs="Times New Roman"/>
          <w:color w:val="000000" w:themeColor="text1"/>
          <w:sz w:val="44"/>
          <w:szCs w:val="44"/>
          <w:u w:val="single"/>
        </w:rPr>
        <w:t xml:space="preserve">WIG20 </w:t>
      </w:r>
      <w:r w:rsidRPr="00EB5398">
        <w:rPr>
          <w:rFonts w:ascii="Calibri" w:eastAsia="Times New Roman" w:hAnsi="Calibri" w:cs="Times New Roman"/>
          <w:color w:val="000000" w:themeColor="text1"/>
          <w:sz w:val="44"/>
          <w:szCs w:val="44"/>
        </w:rPr>
        <w:t xml:space="preserve">w tym okresie wynosiła </w:t>
      </w:r>
      <w:r w:rsidRPr="00EB5398">
        <w:rPr>
          <w:rFonts w:ascii="Calibri" w:eastAsia="Times New Roman" w:hAnsi="Calibri" w:cs="Times New Roman"/>
          <w:b/>
          <w:color w:val="000000" w:themeColor="text1"/>
          <w:sz w:val="44"/>
          <w:szCs w:val="44"/>
          <w:u w:val="single"/>
        </w:rPr>
        <w:t>minus 1</w:t>
      </w:r>
      <w:r>
        <w:rPr>
          <w:rFonts w:ascii="Calibri" w:eastAsia="Times New Roman" w:hAnsi="Calibri" w:cs="Times New Roman"/>
          <w:b/>
          <w:color w:val="000000" w:themeColor="text1"/>
          <w:sz w:val="44"/>
          <w:szCs w:val="44"/>
          <w:u w:val="single"/>
        </w:rPr>
        <w:t>8</w:t>
      </w:r>
      <w:r w:rsidRPr="00EB5398">
        <w:rPr>
          <w:rFonts w:ascii="Calibri" w:eastAsia="Times New Roman" w:hAnsi="Calibri" w:cs="Times New Roman"/>
          <w:b/>
          <w:color w:val="000000" w:themeColor="text1"/>
          <w:sz w:val="44"/>
          <w:szCs w:val="44"/>
          <w:u w:val="single"/>
        </w:rPr>
        <w:t>,</w:t>
      </w:r>
      <w:r>
        <w:rPr>
          <w:rFonts w:ascii="Calibri" w:eastAsia="Times New Roman" w:hAnsi="Calibri" w:cs="Times New Roman"/>
          <w:b/>
          <w:color w:val="000000" w:themeColor="text1"/>
          <w:sz w:val="44"/>
          <w:szCs w:val="44"/>
          <w:u w:val="single"/>
        </w:rPr>
        <w:t>5</w:t>
      </w:r>
      <w:r w:rsidRPr="00EB5398">
        <w:rPr>
          <w:rFonts w:ascii="Calibri" w:eastAsia="Times New Roman" w:hAnsi="Calibri" w:cs="Times New Roman"/>
          <w:b/>
          <w:color w:val="000000" w:themeColor="text1"/>
          <w:sz w:val="44"/>
          <w:szCs w:val="44"/>
          <w:u w:val="single"/>
        </w:rPr>
        <w:t xml:space="preserve"> %. </w:t>
      </w:r>
    </w:p>
    <w:p w:rsidR="00F27ED0" w:rsidRDefault="00F27ED0" w:rsidP="00F27ED0">
      <w:pPr>
        <w:spacing w:after="0" w:line="240" w:lineRule="auto"/>
        <w:jc w:val="both"/>
        <w:rPr>
          <w:rFonts w:eastAsia="Times New Roman" w:cs="Times New Roman"/>
          <w:b/>
        </w:rPr>
      </w:pPr>
    </w:p>
    <w:p w:rsidR="00F27ED0" w:rsidRDefault="00F27ED0" w:rsidP="00F27ED0">
      <w:pPr>
        <w:spacing w:after="0" w:line="240" w:lineRule="auto"/>
        <w:jc w:val="both"/>
        <w:rPr>
          <w:rFonts w:eastAsia="Times New Roman" w:cs="Times New Roman"/>
          <w:b/>
        </w:rPr>
      </w:pPr>
      <w:r>
        <w:rPr>
          <w:rFonts w:eastAsia="Times New Roman" w:cs="Times New Roman"/>
          <w:b/>
        </w:rPr>
        <w:lastRenderedPageBreak/>
        <w:t>Wnioski końcowe</w:t>
      </w:r>
    </w:p>
    <w:p w:rsidR="00F27ED0" w:rsidRDefault="00F27ED0" w:rsidP="00F27ED0">
      <w:pPr>
        <w:spacing w:after="0" w:line="240" w:lineRule="auto"/>
        <w:jc w:val="both"/>
        <w:rPr>
          <w:rFonts w:eastAsia="Times New Roman" w:cs="Times New Roman"/>
        </w:rPr>
      </w:pPr>
    </w:p>
    <w:p w:rsidR="00F27ED0" w:rsidRDefault="00F27ED0" w:rsidP="00F27ED0">
      <w:pPr>
        <w:numPr>
          <w:ilvl w:val="0"/>
          <w:numId w:val="2"/>
        </w:numPr>
        <w:spacing w:after="0" w:line="240" w:lineRule="auto"/>
        <w:contextualSpacing/>
        <w:jc w:val="both"/>
        <w:rPr>
          <w:rFonts w:eastAsia="Times New Roman" w:cs="Times New Roman"/>
          <w:b/>
          <w:color w:val="FF0000"/>
        </w:rPr>
      </w:pPr>
      <w:r>
        <w:rPr>
          <w:rFonts w:eastAsia="Times New Roman" w:cs="Times New Roman"/>
          <w:color w:val="000000" w:themeColor="text1"/>
        </w:rPr>
        <w:t xml:space="preserve">Kurs </w:t>
      </w:r>
      <w:r>
        <w:rPr>
          <w:rFonts w:eastAsia="Times New Roman" w:cs="Times New Roman"/>
        </w:rPr>
        <w:t xml:space="preserve">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imes New Roman" w:cs="Times New Roman"/>
          <w:b/>
          <w:color w:val="FF0000"/>
        </w:rPr>
        <w:t xml:space="preserve">do 4,4252 zł. </w:t>
      </w:r>
    </w:p>
    <w:p w:rsidR="00F27ED0" w:rsidRDefault="00F27ED0" w:rsidP="00F27ED0">
      <w:pPr>
        <w:spacing w:after="0" w:line="240" w:lineRule="auto"/>
        <w:contextualSpacing/>
        <w:jc w:val="both"/>
        <w:rPr>
          <w:rFonts w:eastAsia="Times New Roman" w:cs="Times New Roman"/>
          <w:b/>
          <w:color w:val="FF0000"/>
        </w:rPr>
      </w:pPr>
    </w:p>
    <w:p w:rsidR="00F27ED0" w:rsidRDefault="00F27ED0" w:rsidP="00F27ED0">
      <w:pPr>
        <w:numPr>
          <w:ilvl w:val="0"/>
          <w:numId w:val="2"/>
        </w:numPr>
        <w:spacing w:after="0" w:line="240" w:lineRule="auto"/>
        <w:contextualSpacing/>
        <w:jc w:val="both"/>
        <w:rPr>
          <w:rFonts w:eastAsia="Times New Roman" w:cs="Times New Roman"/>
          <w:color w:val="000000" w:themeColor="text1"/>
        </w:rPr>
      </w:pPr>
      <w:r>
        <w:rPr>
          <w:rFonts w:eastAsia="Times New Roman" w:cs="Times New Roman"/>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4,3607 zł. Dojście do oporu (szczyt z 26 grudnia 2014 roku) może osłabiło kursu euro (w złotych). W piątek 15 stycznia popyt zaatakował. Przebite zostało roczne maksimum. Można oczekiwać wzrostu w kierunku </w:t>
      </w:r>
      <w:r>
        <w:rPr>
          <w:rFonts w:eastAsia="Times New Roman" w:cs="Times New Roman"/>
          <w:b/>
          <w:color w:val="FF0000"/>
        </w:rPr>
        <w:t>4,5644</w:t>
      </w:r>
      <w:r>
        <w:rPr>
          <w:rFonts w:eastAsia="Times New Roman" w:cs="Times New Roman"/>
          <w:color w:val="FF0000"/>
        </w:rPr>
        <w:t xml:space="preserve"> </w:t>
      </w:r>
      <w:r>
        <w:rPr>
          <w:rFonts w:eastAsia="Times New Roman" w:cs="Times New Roman"/>
        </w:rPr>
        <w:t>(szczyt z 13 grudnia 2011 roku).</w:t>
      </w:r>
    </w:p>
    <w:p w:rsidR="00F27ED0" w:rsidRDefault="00F27ED0" w:rsidP="00F27ED0">
      <w:pPr>
        <w:spacing w:after="0" w:line="240" w:lineRule="auto"/>
        <w:contextualSpacing/>
        <w:jc w:val="both"/>
        <w:rPr>
          <w:rFonts w:eastAsia="Times New Roman" w:cs="Times New Roman"/>
          <w:color w:val="000000" w:themeColor="text1"/>
        </w:rPr>
      </w:pPr>
    </w:p>
    <w:p w:rsidR="00F27ED0" w:rsidRPr="00074AA2" w:rsidRDefault="00F27ED0" w:rsidP="00F27ED0">
      <w:pPr>
        <w:numPr>
          <w:ilvl w:val="0"/>
          <w:numId w:val="2"/>
        </w:numPr>
        <w:spacing w:after="0" w:line="240" w:lineRule="auto"/>
        <w:contextualSpacing/>
        <w:jc w:val="both"/>
        <w:rPr>
          <w:rFonts w:eastAsia="Times New Roman" w:cs="Times New Roman"/>
        </w:rPr>
      </w:pPr>
      <w:r w:rsidRPr="00074AA2">
        <w:rPr>
          <w:rFonts w:eastAsia="Times New Roman" w:cs="Times New Roman"/>
          <w:color w:val="000000" w:themeColor="text1"/>
        </w:rPr>
        <w:t xml:space="preserve">Początkowo indeks amerykańskiego rynku akcji S&amp;P500 wybił się z formacji podwójnego szczytu, co zapowiadało spadki. Wkrótce jednak indeks zaczął dynamicznie rosnąć. Przebił poziom wyższego szczytu. W rezultacie doszło do </w:t>
      </w:r>
      <w:proofErr w:type="gramStart"/>
      <w:r w:rsidRPr="00074AA2">
        <w:rPr>
          <w:rFonts w:eastAsia="Times New Roman" w:cs="Times New Roman"/>
          <w:color w:val="000000" w:themeColor="text1"/>
        </w:rPr>
        <w:t>,,</w:t>
      </w:r>
      <w:proofErr w:type="gramEnd"/>
      <w:r w:rsidRPr="00074AA2">
        <w:rPr>
          <w:rFonts w:eastAsia="Times New Roman" w:cs="Times New Roman"/>
          <w:color w:val="000000" w:themeColor="text1"/>
        </w:rPr>
        <w:t xml:space="preserve">spalenia” formacji podwójnego szczytu. Pojawił się wiec bardzo silny sygnał kupna. Na wykresie WIG/RTS po wybiciu z formacji podwójnego dna doszło do korekty spadkowej, która prawdopodobnie dobiega końca. Czyli WIG powinien być teraz lepszy od indeksu RTS. Może wiec będzie tak, że (tak zakładam) wysoce prawdopodobnej słabości rosyjskiego rynku akcji towarzyszyć będzie przepływ kapitału z rosyjskiego rynku akcji na polski rynek </w:t>
      </w:r>
      <w:proofErr w:type="gramStart"/>
      <w:r w:rsidRPr="00074AA2">
        <w:rPr>
          <w:rFonts w:eastAsia="Times New Roman" w:cs="Times New Roman"/>
          <w:color w:val="000000" w:themeColor="text1"/>
        </w:rPr>
        <w:t>akcji ?.</w:t>
      </w:r>
      <w:proofErr w:type="gramEnd"/>
      <w:r w:rsidRPr="00074AA2">
        <w:rPr>
          <w:rFonts w:eastAsia="Times New Roman" w:cs="Times New Roman"/>
          <w:color w:val="000000" w:themeColor="text1"/>
        </w:rPr>
        <w:t xml:space="preserve">To jest bardzo realne. </w:t>
      </w:r>
      <w:r w:rsidRPr="002D69F0">
        <w:rPr>
          <w:rFonts w:eastAsia="Times New Roman" w:cs="Times New Roman"/>
          <w:b/>
          <w:color w:val="FF0000"/>
        </w:rPr>
        <w:t xml:space="preserve">Popatrzmy jeszcze teraz na WIG. Doszło na wykresie do wybicia z małej formacji podwójnego dna. To dobry </w:t>
      </w:r>
      <w:proofErr w:type="gramStart"/>
      <w:r w:rsidRPr="002D69F0">
        <w:rPr>
          <w:rFonts w:eastAsia="Times New Roman" w:cs="Times New Roman"/>
          <w:b/>
          <w:color w:val="FF0000"/>
        </w:rPr>
        <w:t>sygnał !</w:t>
      </w:r>
      <w:r w:rsidRPr="00074AA2">
        <w:rPr>
          <w:rFonts w:eastAsia="Times New Roman" w:cs="Times New Roman"/>
          <w:color w:val="000000" w:themeColor="text1"/>
        </w:rPr>
        <w:t xml:space="preserve"> </w:t>
      </w:r>
      <w:proofErr w:type="gramEnd"/>
      <w:r w:rsidRPr="00074AA2">
        <w:rPr>
          <w:rFonts w:eastAsia="Times New Roman" w:cs="Times New Roman"/>
          <w:color w:val="000000" w:themeColor="text1"/>
        </w:rPr>
        <w:t xml:space="preserve">Wydaje się, że </w:t>
      </w:r>
      <w:proofErr w:type="gramStart"/>
      <w:r w:rsidRPr="00074AA2">
        <w:rPr>
          <w:rFonts w:eastAsia="Times New Roman" w:cs="Times New Roman"/>
          <w:color w:val="000000" w:themeColor="text1"/>
        </w:rPr>
        <w:t>,,</w:t>
      </w:r>
      <w:proofErr w:type="gramEnd"/>
      <w:r w:rsidRPr="00074AA2">
        <w:rPr>
          <w:rFonts w:eastAsia="Times New Roman" w:cs="Times New Roman"/>
          <w:color w:val="000000" w:themeColor="text1"/>
        </w:rPr>
        <w:t>spalenie” formacji podwójnego szczytu na wykresie indeksu S&amp;P50 pomoże też WIG-owi.</w:t>
      </w:r>
    </w:p>
    <w:p w:rsidR="00F27ED0" w:rsidRPr="009E732D" w:rsidRDefault="00F27ED0" w:rsidP="00F27ED0">
      <w:pPr>
        <w:spacing w:after="0" w:line="240" w:lineRule="auto"/>
        <w:ind w:left="720"/>
        <w:contextualSpacing/>
        <w:jc w:val="both"/>
        <w:rPr>
          <w:rFonts w:eastAsia="Times New Roman" w:cs="Times New Roman"/>
        </w:rPr>
      </w:pPr>
    </w:p>
    <w:p w:rsidR="00F27ED0" w:rsidRDefault="00F27ED0" w:rsidP="00F27ED0">
      <w:pPr>
        <w:spacing w:after="0" w:line="240" w:lineRule="auto"/>
        <w:jc w:val="both"/>
        <w:rPr>
          <w:rFonts w:eastAsia="Times New Roman" w:cs="Times New Roman"/>
        </w:rPr>
      </w:pPr>
      <w:r>
        <w:rPr>
          <w:rFonts w:eastAsia="Times New Roman" w:cs="Times New Roman"/>
        </w:rPr>
        <w:t>Opracował: Sławomir Kłusek, 1 sierpnia 2016 roku</w:t>
      </w:r>
    </w:p>
    <w:p w:rsidR="00F27ED0" w:rsidRDefault="00F27ED0" w:rsidP="00F27ED0">
      <w:pPr>
        <w:spacing w:after="0" w:line="240" w:lineRule="auto"/>
        <w:jc w:val="both"/>
        <w:rPr>
          <w:rFonts w:eastAsia="Times New Roman" w:cs="Times New Roman"/>
        </w:rPr>
      </w:pPr>
    </w:p>
    <w:p w:rsidR="00F27ED0" w:rsidRDefault="00F27ED0" w:rsidP="00F27ED0">
      <w:pPr>
        <w:spacing w:after="0" w:line="240" w:lineRule="auto"/>
        <w:jc w:val="both"/>
        <w:rPr>
          <w:rFonts w:eastAsia="Times New Roman" w:cs="Times New Roman"/>
        </w:rPr>
      </w:pPr>
      <w:r>
        <w:rPr>
          <w:rFonts w:eastAsia="Times New Roman" w:cs="Times New Roman"/>
        </w:rPr>
        <w:t xml:space="preserve">Powyższy raport stanowi wyłącznie wyraz osobistych opinii autora. </w:t>
      </w:r>
    </w:p>
    <w:p w:rsidR="00F27ED0" w:rsidRDefault="00F27ED0" w:rsidP="00F27ED0">
      <w:pPr>
        <w:spacing w:after="0" w:line="240" w:lineRule="auto"/>
        <w:jc w:val="both"/>
        <w:rPr>
          <w:rFonts w:eastAsia="Times New Roman" w:cs="Times New Roman"/>
        </w:rPr>
      </w:pPr>
    </w:p>
    <w:p w:rsidR="00F27ED0" w:rsidRDefault="00F27ED0" w:rsidP="00F27ED0">
      <w:pPr>
        <w:spacing w:after="0" w:line="240" w:lineRule="auto"/>
        <w:jc w:val="both"/>
        <w:rPr>
          <w:rFonts w:eastAsia="Times New Roman" w:cs="Times New Roman"/>
        </w:rPr>
      </w:pPr>
      <w:r>
        <w:rPr>
          <w:rFonts w:eastAsia="Times New Roman" w:cs="Times New Roman"/>
        </w:rPr>
        <w:t xml:space="preserve">Treści zawarte na stronie internetowej </w:t>
      </w:r>
      <w:hyperlink r:id="rId31" w:history="1">
        <w:r>
          <w:rPr>
            <w:rStyle w:val="Hipercze"/>
            <w:rFonts w:eastAsia="Times New Roman" w:cs="Times New Roman"/>
          </w:rPr>
          <w:t>www.analizy-rynkowe.pl</w:t>
        </w:r>
      </w:hyperlink>
      <w:r>
        <w:rPr>
          <w:rFonts w:eastAsia="Times New Roman" w:cs="Times New Roman"/>
        </w:rPr>
        <w:t xml:space="preserve"> nie stanowią "rekomendacji" w rozumieniu przepisów Rozporządzenia Ministra Finansów z dnia 19 października 2005 r. w sprawie informacji stanowiących rekomendacje dotyczące instrumentów finansowych, lub ich emitentów (</w:t>
      </w:r>
      <w:proofErr w:type="spellStart"/>
      <w:r>
        <w:rPr>
          <w:rFonts w:eastAsia="Times New Roman" w:cs="Times New Roman"/>
        </w:rPr>
        <w:t>Dz.U</w:t>
      </w:r>
      <w:proofErr w:type="spellEnd"/>
      <w:r>
        <w:rPr>
          <w:rFonts w:eastAsia="Times New Roman" w:cs="Times New Roman"/>
        </w:rPr>
        <w:t xml:space="preserve">. </w:t>
      </w:r>
      <w:proofErr w:type="gramStart"/>
      <w:r>
        <w:rPr>
          <w:rFonts w:eastAsia="Times New Roman" w:cs="Times New Roman"/>
        </w:rPr>
        <w:t>z</w:t>
      </w:r>
      <w:proofErr w:type="gramEnd"/>
      <w:r>
        <w:rPr>
          <w:rFonts w:eastAsia="Times New Roman" w:cs="Times New Roman"/>
        </w:rPr>
        <w:t xml:space="preserve"> 2005 r. Nr 206, poz. 1715).</w:t>
      </w:r>
    </w:p>
    <w:p w:rsidR="00F27ED0" w:rsidRDefault="00F27ED0" w:rsidP="00F27ED0">
      <w:pPr>
        <w:spacing w:after="0" w:line="240" w:lineRule="auto"/>
        <w:jc w:val="both"/>
        <w:rPr>
          <w:rFonts w:eastAsia="Times New Roman" w:cs="Times New Roman"/>
        </w:rPr>
      </w:pPr>
    </w:p>
    <w:p w:rsidR="00F27ED0" w:rsidRDefault="00F27ED0" w:rsidP="00F27ED0">
      <w:pPr>
        <w:spacing w:after="0" w:line="240" w:lineRule="auto"/>
        <w:jc w:val="both"/>
        <w:rPr>
          <w:rStyle w:val="Hipercze"/>
          <w:rFonts w:eastAsia="Times New Roman" w:cs="Times New Roman"/>
        </w:rPr>
      </w:pPr>
      <w:r>
        <w:rPr>
          <w:rFonts w:eastAsia="Times New Roman" w:cs="Times New Roman"/>
        </w:rPr>
        <w:t xml:space="preserve">Autor nie ponosi odpowiedzialności za jakiekolwiek decyzje inwestycyjne podjęte na podstawie treści zawartych na stronie internetowej </w:t>
      </w:r>
      <w:hyperlink r:id="rId32" w:history="1">
        <w:r>
          <w:rPr>
            <w:rStyle w:val="Hipercze"/>
            <w:rFonts w:eastAsia="Times New Roman" w:cs="Times New Roman"/>
          </w:rPr>
          <w:t>www.analizy-rynkowe.pl</w:t>
        </w:r>
      </w:hyperlink>
    </w:p>
    <w:p w:rsidR="00F27ED0" w:rsidRDefault="00F27ED0" w:rsidP="00F27ED0">
      <w:pPr>
        <w:spacing w:after="0" w:line="240" w:lineRule="auto"/>
        <w:jc w:val="both"/>
        <w:rPr>
          <w:sz w:val="26"/>
          <w:szCs w:val="26"/>
        </w:rPr>
      </w:pPr>
    </w:p>
    <w:p w:rsidR="000A4828" w:rsidRPr="00F27ED0" w:rsidRDefault="000A4828" w:rsidP="00F27ED0"/>
    <w:sectPr w:rsidR="000A4828" w:rsidRPr="00F27ED0" w:rsidSect="00FF5F52">
      <w:footerReference w:type="default" r:id="rId3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3C" w:rsidRDefault="0011593C" w:rsidP="000A6D83">
      <w:pPr>
        <w:spacing w:after="0" w:line="240" w:lineRule="auto"/>
      </w:pPr>
      <w:r>
        <w:separator/>
      </w:r>
    </w:p>
  </w:endnote>
  <w:endnote w:type="continuationSeparator" w:id="0">
    <w:p w:rsidR="0011593C" w:rsidRDefault="0011593C" w:rsidP="000A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2094"/>
      <w:docPartObj>
        <w:docPartGallery w:val="Page Numbers (Bottom of Page)"/>
        <w:docPartUnique/>
      </w:docPartObj>
    </w:sdtPr>
    <w:sdtEndPr/>
    <w:sdtContent>
      <w:p w:rsidR="00FF5F52" w:rsidRDefault="000A6D83">
        <w:pPr>
          <w:pStyle w:val="Stopka"/>
          <w:jc w:val="center"/>
        </w:pPr>
        <w:r>
          <w:fldChar w:fldCharType="begin"/>
        </w:r>
        <w:r w:rsidR="000A4828">
          <w:instrText>PAGE   \* MERGEFORMAT</w:instrText>
        </w:r>
        <w:r>
          <w:fldChar w:fldCharType="separate"/>
        </w:r>
        <w:r w:rsidR="00844DFB">
          <w:rPr>
            <w:noProof/>
          </w:rPr>
          <w:t>15</w:t>
        </w:r>
        <w:r>
          <w:fldChar w:fldCharType="end"/>
        </w:r>
      </w:p>
    </w:sdtContent>
  </w:sdt>
  <w:p w:rsidR="00FF5F52" w:rsidRDefault="001159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3C" w:rsidRDefault="0011593C" w:rsidP="000A6D83">
      <w:pPr>
        <w:spacing w:after="0" w:line="240" w:lineRule="auto"/>
      </w:pPr>
      <w:r>
        <w:separator/>
      </w:r>
    </w:p>
  </w:footnote>
  <w:footnote w:type="continuationSeparator" w:id="0">
    <w:p w:rsidR="0011593C" w:rsidRDefault="0011593C" w:rsidP="000A6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28"/>
    <w:rsid w:val="000A4828"/>
    <w:rsid w:val="000A6D83"/>
    <w:rsid w:val="0011593C"/>
    <w:rsid w:val="00844DFB"/>
    <w:rsid w:val="00A740CF"/>
    <w:rsid w:val="00E30868"/>
    <w:rsid w:val="00E40980"/>
    <w:rsid w:val="00E43671"/>
    <w:rsid w:val="00F27ED0"/>
    <w:rsid w:val="00F73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A4828"/>
    <w:pPr>
      <w:spacing w:after="0" w:line="240" w:lineRule="auto"/>
    </w:pPr>
  </w:style>
  <w:style w:type="paragraph" w:styleId="Stopka">
    <w:name w:val="footer"/>
    <w:basedOn w:val="Normalny"/>
    <w:link w:val="StopkaZnak"/>
    <w:uiPriority w:val="99"/>
    <w:unhideWhenUsed/>
    <w:rsid w:val="000A48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828"/>
    <w:rPr>
      <w:rFonts w:eastAsiaTheme="minorEastAsia"/>
      <w:lang w:eastAsia="pl-PL"/>
    </w:rPr>
  </w:style>
  <w:style w:type="character" w:styleId="Hipercze">
    <w:name w:val="Hyperlink"/>
    <w:basedOn w:val="Domylnaczcionkaakapitu"/>
    <w:uiPriority w:val="99"/>
    <w:unhideWhenUsed/>
    <w:rsid w:val="000A4828"/>
    <w:rPr>
      <w:color w:val="0000FF" w:themeColor="hyperlink"/>
      <w:u w:val="single"/>
    </w:rPr>
  </w:style>
  <w:style w:type="table" w:styleId="Tabela-Siatka">
    <w:name w:val="Table Grid"/>
    <w:basedOn w:val="Standardowy"/>
    <w:uiPriority w:val="59"/>
    <w:rsid w:val="000A4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A4828"/>
    <w:pPr>
      <w:ind w:left="720"/>
      <w:contextualSpacing/>
    </w:pPr>
  </w:style>
  <w:style w:type="paragraph" w:styleId="Tekstdymka">
    <w:name w:val="Balloon Text"/>
    <w:basedOn w:val="Normalny"/>
    <w:link w:val="TekstdymkaZnak"/>
    <w:uiPriority w:val="99"/>
    <w:semiHidden/>
    <w:unhideWhenUsed/>
    <w:rsid w:val="000A48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4828"/>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A4828"/>
    <w:pPr>
      <w:spacing w:after="0" w:line="240" w:lineRule="auto"/>
    </w:pPr>
  </w:style>
  <w:style w:type="paragraph" w:styleId="Stopka">
    <w:name w:val="footer"/>
    <w:basedOn w:val="Normalny"/>
    <w:link w:val="StopkaZnak"/>
    <w:uiPriority w:val="99"/>
    <w:unhideWhenUsed/>
    <w:rsid w:val="000A48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828"/>
    <w:rPr>
      <w:rFonts w:eastAsiaTheme="minorEastAsia"/>
      <w:lang w:eastAsia="pl-PL"/>
    </w:rPr>
  </w:style>
  <w:style w:type="character" w:styleId="Hipercze">
    <w:name w:val="Hyperlink"/>
    <w:basedOn w:val="Domylnaczcionkaakapitu"/>
    <w:uiPriority w:val="99"/>
    <w:unhideWhenUsed/>
    <w:rsid w:val="000A4828"/>
    <w:rPr>
      <w:color w:val="0000FF" w:themeColor="hyperlink"/>
      <w:u w:val="single"/>
    </w:rPr>
  </w:style>
  <w:style w:type="table" w:styleId="Tabela-Siatka">
    <w:name w:val="Table Grid"/>
    <w:basedOn w:val="Standardowy"/>
    <w:uiPriority w:val="59"/>
    <w:rsid w:val="000A4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A4828"/>
    <w:pPr>
      <w:ind w:left="720"/>
      <w:contextualSpacing/>
    </w:pPr>
  </w:style>
  <w:style w:type="paragraph" w:styleId="Tekstdymka">
    <w:name w:val="Balloon Text"/>
    <w:basedOn w:val="Normalny"/>
    <w:link w:val="TekstdymkaZnak"/>
    <w:uiPriority w:val="99"/>
    <w:semiHidden/>
    <w:unhideWhenUsed/>
    <w:rsid w:val="000A48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4828"/>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hyperlink" Target="http://www.analizy-rynkowe.pl" TargetMode="External"/><Relationship Id="rId26" Type="http://schemas.openxmlformats.org/officeDocument/2006/relationships/hyperlink" Target="http://www.analizy-rynkowe.pl" TargetMode="External"/><Relationship Id="rId3" Type="http://schemas.openxmlformats.org/officeDocument/2006/relationships/styles" Target="styles.xml"/><Relationship Id="rId21" Type="http://schemas.openxmlformats.org/officeDocument/2006/relationships/hyperlink" Target="http://www.analizy-rynkowe.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www.analizy-rynkowe.pl" TargetMode="External"/><Relationship Id="rId25" Type="http://schemas.openxmlformats.org/officeDocument/2006/relationships/hyperlink" Target="http://www.analizy-rynkowe.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29" Type="http://schemas.openxmlformats.org/officeDocument/2006/relationships/hyperlink" Target="http://www.analizy-rynkow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www.analizy-rynkowe.pl" TargetMode="External"/><Relationship Id="rId32" Type="http://schemas.openxmlformats.org/officeDocument/2006/relationships/hyperlink" Target="http://www.analizy-rynkowe.pl" TargetMode="External"/><Relationship Id="rId5" Type="http://schemas.openxmlformats.org/officeDocument/2006/relationships/settings" Target="settings.xml"/><Relationship Id="rId15" Type="http://schemas.openxmlformats.org/officeDocument/2006/relationships/hyperlink" Target="http://analizy-rynkowe.pl/" TargetMode="External"/><Relationship Id="rId23" Type="http://schemas.openxmlformats.org/officeDocument/2006/relationships/hyperlink" Target="http://www.analizy-rynkowe.pl" TargetMode="External"/><Relationship Id="rId28" Type="http://schemas.openxmlformats.org/officeDocument/2006/relationships/hyperlink" Target="http://analizy-rynkowe.pl/" TargetMode="External"/><Relationship Id="rId10" Type="http://schemas.openxmlformats.org/officeDocument/2006/relationships/image" Target="media/image2.gif"/><Relationship Id="rId19" Type="http://schemas.openxmlformats.org/officeDocument/2006/relationships/hyperlink" Target="http://www.analizy-rynkowe.pl" TargetMode="External"/><Relationship Id="rId31" Type="http://schemas.openxmlformats.org/officeDocument/2006/relationships/hyperlink" Target="http://www.analizy-rynkowe.p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hyperlink" Target="http://www.analizy-rynkowe.pl" TargetMode="External"/><Relationship Id="rId27" Type="http://schemas.openxmlformats.org/officeDocument/2006/relationships/hyperlink" Target="http://www.analizy-rynkowe.pl" TargetMode="External"/><Relationship Id="rId30" Type="http://schemas.openxmlformats.org/officeDocument/2006/relationships/hyperlink" Target="http://www.analizy-rynkowe.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3F1F-1351-4926-B94E-4316B2A2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3101</Words>
  <Characters>18612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2016-07-31T06:26:00Z</dcterms:created>
  <dcterms:modified xsi:type="dcterms:W3CDTF">2016-07-31T06:26:00Z</dcterms:modified>
</cp:coreProperties>
</file>