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88" w:rsidRDefault="00575088" w:rsidP="00575088">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bookmarkStart w:id="0" w:name="_GoBack"/>
      <w:bookmarkEnd w:id="0"/>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Raport</w:t>
      </w:r>
    </w:p>
    <w:p w:rsidR="00575088" w:rsidRDefault="00575088" w:rsidP="00575088">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Tygodniowy</w:t>
      </w:r>
    </w:p>
    <w:p w:rsidR="00575088" w:rsidRDefault="00575088" w:rsidP="00575088">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o</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sytuacji na</w:t>
      </w:r>
    </w:p>
    <w:p w:rsidR="00575088" w:rsidRDefault="00575088" w:rsidP="00575088">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rynkach</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finansowych</w:t>
      </w:r>
    </w:p>
    <w:p w:rsidR="00575088" w:rsidRDefault="00575088" w:rsidP="00575088">
      <w:pPr>
        <w:spacing w:after="0" w:line="240" w:lineRule="auto"/>
        <w:jc w:val="center"/>
        <w:rPr>
          <w:rFonts w:eastAsiaTheme="minorEastAsia"/>
          <w:sz w:val="48"/>
          <w:szCs w:val="48"/>
          <w:lang w:eastAsia="pl-PL"/>
        </w:rPr>
      </w:pPr>
    </w:p>
    <w:p w:rsidR="00575088" w:rsidRDefault="00575088" w:rsidP="00575088">
      <w:pPr>
        <w:spacing w:after="0" w:line="240" w:lineRule="auto"/>
        <w:jc w:val="center"/>
        <w:rPr>
          <w:rFonts w:eastAsiaTheme="minorEastAsia"/>
          <w:sz w:val="48"/>
          <w:szCs w:val="48"/>
          <w:lang w:eastAsia="pl-PL"/>
        </w:rPr>
      </w:pPr>
    </w:p>
    <w:p w:rsidR="00575088" w:rsidRDefault="00575088" w:rsidP="00575088">
      <w:pPr>
        <w:spacing w:after="0" w:line="240" w:lineRule="auto"/>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walutowy</w:t>
      </w:r>
    </w:p>
    <w:p w:rsidR="00575088" w:rsidRDefault="00575088" w:rsidP="00575088">
      <w:pPr>
        <w:spacing w:after="0" w:line="240" w:lineRule="auto"/>
        <w:jc w:val="center"/>
        <w:rPr>
          <w:rFonts w:eastAsiaTheme="minorEastAsia"/>
          <w:sz w:val="100"/>
          <w:szCs w:val="100"/>
          <w:lang w:eastAsia="pl-PL"/>
          <w14:shadow w14:blurRad="50800" w14:dist="38100" w14:dir="2700000" w14:sx="100000" w14:sy="100000" w14:kx="0" w14:ky="0" w14:algn="tl">
            <w14:srgbClr w14:val="000000">
              <w14:alpha w14:val="60000"/>
            </w14:srgbClr>
          </w14:shadow>
        </w:rPr>
      </w:pPr>
    </w:p>
    <w:p w:rsidR="00575088" w:rsidRDefault="00575088" w:rsidP="00575088">
      <w:pPr>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akcji</w:t>
      </w:r>
    </w:p>
    <w:p w:rsidR="00575088" w:rsidRDefault="00575088" w:rsidP="00575088">
      <w:pPr>
        <w:spacing w:after="0" w:line="240" w:lineRule="auto"/>
        <w:jc w:val="both"/>
        <w:rPr>
          <w:sz w:val="26"/>
          <w:szCs w:val="26"/>
        </w:rPr>
      </w:pPr>
    </w:p>
    <w:p w:rsidR="00575088" w:rsidRDefault="00575088" w:rsidP="00575088">
      <w:pPr>
        <w:spacing w:after="0" w:line="240" w:lineRule="auto"/>
        <w:jc w:val="both"/>
        <w:rPr>
          <w:sz w:val="26"/>
          <w:szCs w:val="26"/>
        </w:rPr>
      </w:pPr>
    </w:p>
    <w:p w:rsidR="00575088" w:rsidRDefault="00575088" w:rsidP="00575088">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r>
        <w:rPr>
          <w:rFonts w:eastAsiaTheme="minorEastAsia"/>
          <w:sz w:val="24"/>
          <w:szCs w:val="24"/>
          <w:lang w:eastAsia="pl-PL"/>
          <w14:shadow w14:blurRad="50800" w14:dist="38100" w14:dir="2700000" w14:sx="100000" w14:sy="100000" w14:kx="0" w14:ky="0" w14:algn="tl">
            <w14:srgbClr w14:val="000000">
              <w14:alpha w14:val="60000"/>
            </w14:srgbClr>
          </w14:shadow>
        </w:rPr>
        <w:lastRenderedPageBreak/>
        <w:t xml:space="preserve">Poniedziałek, </w:t>
      </w:r>
      <w:r w:rsidR="00F2578D">
        <w:rPr>
          <w:rFonts w:eastAsiaTheme="minorEastAsia"/>
          <w:sz w:val="24"/>
          <w:szCs w:val="24"/>
          <w:lang w:eastAsia="pl-PL"/>
          <w14:shadow w14:blurRad="50800" w14:dist="38100" w14:dir="2700000" w14:sx="100000" w14:sy="100000" w14:kx="0" w14:ky="0" w14:algn="tl">
            <w14:srgbClr w14:val="000000">
              <w14:alpha w14:val="60000"/>
            </w14:srgbClr>
          </w14:shadow>
        </w:rPr>
        <w:t>13</w:t>
      </w:r>
      <w:r>
        <w:rPr>
          <w:rFonts w:eastAsiaTheme="minorEastAsia"/>
          <w:sz w:val="24"/>
          <w:szCs w:val="24"/>
          <w:lang w:eastAsia="pl-PL"/>
          <w14:shadow w14:blurRad="50800" w14:dist="38100" w14:dir="2700000" w14:sx="100000" w14:sy="100000" w14:kx="0" w14:ky="0" w14:algn="tl">
            <w14:srgbClr w14:val="000000">
              <w14:alpha w14:val="60000"/>
            </w14:srgbClr>
          </w14:shadow>
        </w:rPr>
        <w:t xml:space="preserve"> czerwca 2016 roku</w:t>
      </w:r>
    </w:p>
    <w:p w:rsidR="00575088" w:rsidRDefault="00575088" w:rsidP="00575088">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 xml:space="preserve">Kurs USD/PLN – perspektywa długoterminowa, kurs </w:t>
      </w:r>
      <w:proofErr w:type="gramStart"/>
      <w:r>
        <w:rPr>
          <w:rFonts w:eastAsiaTheme="minorEastAsia"/>
          <w:lang w:eastAsia="pl-PL"/>
        </w:rPr>
        <w:t xml:space="preserve">z </w:t>
      </w:r>
      <w:r w:rsidR="00F2578D">
        <w:rPr>
          <w:rFonts w:eastAsiaTheme="minorEastAsia"/>
          <w:lang w:eastAsia="pl-PL"/>
        </w:rPr>
        <w:t>10  czerwca</w:t>
      </w:r>
      <w:proofErr w:type="gramEnd"/>
      <w:r w:rsidR="00F2578D">
        <w:rPr>
          <w:rFonts w:eastAsiaTheme="minorEastAsia"/>
          <w:lang w:eastAsia="pl-PL"/>
        </w:rPr>
        <w:t xml:space="preserve"> 2016 roku = 3,8297</w:t>
      </w:r>
    </w:p>
    <w:p w:rsidR="00575088" w:rsidRDefault="00575088" w:rsidP="00575088">
      <w:pPr>
        <w:spacing w:after="0" w:line="240" w:lineRule="auto"/>
        <w:jc w:val="both"/>
        <w:rPr>
          <w:rFonts w:eastAsiaTheme="minorEastAsia"/>
          <w:lang w:eastAsia="pl-PL"/>
        </w:rPr>
      </w:pPr>
    </w:p>
    <w:p w:rsidR="00575088" w:rsidRDefault="00575088" w:rsidP="00575088">
      <w:pPr>
        <w:spacing w:after="0" w:line="240" w:lineRule="auto"/>
        <w:jc w:val="both"/>
        <w:rPr>
          <w:rFonts w:eastAsiaTheme="minorEastAsia"/>
          <w:lang w:eastAsia="pl-PL"/>
        </w:rPr>
      </w:pPr>
      <w:r>
        <w:rPr>
          <w:rFonts w:eastAsiaTheme="minorEastAsia"/>
          <w:noProof/>
          <w:lang w:eastAsia="pl-PL"/>
        </w:rPr>
        <w:drawing>
          <wp:inline distT="0" distB="0" distL="0" distR="0" wp14:anchorId="19AC25E6" wp14:editId="7C369AFA">
            <wp:extent cx="4829175" cy="2905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575088" w:rsidRDefault="00575088" w:rsidP="00575088">
      <w:pPr>
        <w:spacing w:after="0" w:line="240" w:lineRule="auto"/>
        <w:jc w:val="both"/>
        <w:rPr>
          <w:rFonts w:eastAsiaTheme="minorEastAsia"/>
          <w:b/>
          <w:color w:val="FF0000"/>
          <w:lang w:eastAsia="pl-PL"/>
        </w:rPr>
      </w:pPr>
      <w:r>
        <w:rPr>
          <w:rFonts w:eastAsiaTheme="minorEastAsia"/>
          <w:lang w:eastAsia="pl-PL"/>
        </w:rPr>
        <w:t xml:space="preserve">Kurs 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heme="minorEastAsia"/>
          <w:b/>
          <w:color w:val="FF0000"/>
          <w:lang w:eastAsia="pl-PL"/>
        </w:rPr>
        <w:t xml:space="preserve">do 4,4252 zł. </w:t>
      </w:r>
    </w:p>
    <w:p w:rsidR="00575088" w:rsidRDefault="00575088" w:rsidP="00575088">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Kurs EUR/PLN – perspektywa średniookresowa, kur</w:t>
      </w:r>
      <w:r w:rsidR="00F2578D">
        <w:rPr>
          <w:rFonts w:eastAsiaTheme="minorEastAsia"/>
          <w:lang w:eastAsia="pl-PL"/>
        </w:rPr>
        <w:t xml:space="preserve">s z </w:t>
      </w:r>
      <w:r w:rsidR="00B95321">
        <w:rPr>
          <w:rFonts w:eastAsiaTheme="minorEastAsia"/>
          <w:lang w:eastAsia="pl-PL"/>
        </w:rPr>
        <w:t>10</w:t>
      </w:r>
      <w:r w:rsidR="00F2578D">
        <w:rPr>
          <w:rFonts w:eastAsiaTheme="minorEastAsia"/>
          <w:lang w:eastAsia="pl-PL"/>
        </w:rPr>
        <w:t xml:space="preserve"> czerwca 2016 roku = 4,3751</w:t>
      </w:r>
    </w:p>
    <w:p w:rsidR="00575088" w:rsidRDefault="00575088" w:rsidP="00575088">
      <w:pPr>
        <w:spacing w:after="0" w:line="240" w:lineRule="auto"/>
        <w:jc w:val="both"/>
        <w:rPr>
          <w:rFonts w:eastAsiaTheme="minorEastAsia"/>
          <w:lang w:eastAsia="pl-PL"/>
        </w:rPr>
      </w:pPr>
      <w:r>
        <w:rPr>
          <w:rFonts w:eastAsiaTheme="minorEastAsia"/>
          <w:noProof/>
          <w:lang w:eastAsia="pl-PL"/>
        </w:rPr>
        <w:drawing>
          <wp:inline distT="0" distB="0" distL="0" distR="0" wp14:anchorId="55E47263" wp14:editId="38052CB0">
            <wp:extent cx="4829175" cy="29051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575088" w:rsidRDefault="00575088" w:rsidP="00575088">
      <w:pPr>
        <w:spacing w:after="0" w:line="240" w:lineRule="auto"/>
        <w:jc w:val="both"/>
        <w:rPr>
          <w:rFonts w:eastAsiaTheme="minorEastAsia"/>
          <w:lang w:eastAsia="pl-PL"/>
        </w:rPr>
      </w:pPr>
    </w:p>
    <w:p w:rsidR="00575088" w:rsidRDefault="00575088" w:rsidP="00575088">
      <w:pPr>
        <w:spacing w:after="0" w:line="240" w:lineRule="auto"/>
        <w:jc w:val="both"/>
        <w:rPr>
          <w:rFonts w:eastAsiaTheme="minorEastAsia"/>
          <w:color w:val="000000" w:themeColor="text1"/>
          <w:lang w:eastAsia="pl-PL"/>
        </w:rPr>
      </w:pPr>
      <w:r>
        <w:rPr>
          <w:rFonts w:eastAsiaTheme="minorEastAsia"/>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w:t>
      </w:r>
      <w:r>
        <w:rPr>
          <w:rFonts w:eastAsiaTheme="minorEastAsia"/>
          <w:color w:val="000000" w:themeColor="text1"/>
          <w:lang w:eastAsia="pl-PL"/>
        </w:rPr>
        <w:t xml:space="preserve">4,3607 zł. Dojście do oporu (szczyt z 26 grudnia 2014 roku) może osłabiło kursu euro (w złotych). W piątek 15 stycznia popyt zaatakował. Przebite zostało roczne maksimum. Można oczekiwać wzrostu w kierunku </w:t>
      </w:r>
      <w:r>
        <w:rPr>
          <w:rFonts w:eastAsiaTheme="minorEastAsia"/>
          <w:b/>
          <w:color w:val="FF0000"/>
          <w:lang w:eastAsia="pl-PL"/>
        </w:rPr>
        <w:t>4,5644</w:t>
      </w:r>
      <w:r>
        <w:rPr>
          <w:rFonts w:eastAsiaTheme="minorEastAsia"/>
          <w:color w:val="FF0000"/>
          <w:lang w:eastAsia="pl-PL"/>
        </w:rPr>
        <w:t xml:space="preserve"> </w:t>
      </w:r>
      <w:r>
        <w:rPr>
          <w:rFonts w:eastAsiaTheme="minorEastAsia"/>
          <w:color w:val="000000" w:themeColor="text1"/>
          <w:lang w:eastAsia="pl-PL"/>
        </w:rPr>
        <w:t xml:space="preserve">(szczyt z 13 grudnia 2011 roku). </w:t>
      </w:r>
    </w:p>
    <w:p w:rsidR="009E732D" w:rsidRDefault="009E732D" w:rsidP="009E732D">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sidRPr="00161356">
        <w:rPr>
          <w:sz w:val="26"/>
          <w:szCs w:val="26"/>
        </w:rPr>
        <w:lastRenderedPageBreak/>
        <w:t xml:space="preserve">WIG20 spadł o 0,6 %. Co </w:t>
      </w:r>
      <w:proofErr w:type="gramStart"/>
      <w:r w:rsidRPr="00161356">
        <w:rPr>
          <w:sz w:val="26"/>
          <w:szCs w:val="26"/>
        </w:rPr>
        <w:t>dalej ?</w:t>
      </w:r>
      <w:proofErr w:type="gramEnd"/>
    </w:p>
    <w:p w:rsidR="009E732D" w:rsidRDefault="009E732D" w:rsidP="009E732D">
      <w:pPr>
        <w:pStyle w:val="Bezodstpw"/>
        <w:jc w:val="center"/>
        <w:rPr>
          <w:sz w:val="26"/>
          <w:szCs w:val="26"/>
        </w:rPr>
      </w:pPr>
    </w:p>
    <w:p w:rsidR="009E732D" w:rsidRDefault="009E732D" w:rsidP="009E732D">
      <w:pPr>
        <w:pStyle w:val="Bezodstpw"/>
        <w:jc w:val="both"/>
        <w:rPr>
          <w:sz w:val="26"/>
          <w:szCs w:val="26"/>
        </w:rPr>
      </w:pPr>
      <w:r>
        <w:rPr>
          <w:sz w:val="26"/>
          <w:szCs w:val="26"/>
        </w:rPr>
        <w:t xml:space="preserve">W poprzednim tygodniu indeks WIG20 spadł o 0,6 %. W pewnym stopniu mogło wynikać to ze spadków cen surowców: ropy naftowej oraz miedzi. </w:t>
      </w:r>
    </w:p>
    <w:p w:rsidR="009E732D" w:rsidRDefault="009E732D" w:rsidP="009E732D">
      <w:pPr>
        <w:pStyle w:val="Bezodstpw"/>
        <w:jc w:val="both"/>
        <w:rPr>
          <w:sz w:val="26"/>
          <w:szCs w:val="26"/>
        </w:rPr>
      </w:pPr>
    </w:p>
    <w:p w:rsidR="009E732D" w:rsidRDefault="009E732D" w:rsidP="009E732D">
      <w:pPr>
        <w:pStyle w:val="Bezodstpw"/>
        <w:jc w:val="both"/>
        <w:rPr>
          <w:sz w:val="26"/>
          <w:szCs w:val="26"/>
        </w:rPr>
      </w:pPr>
      <w:r>
        <w:rPr>
          <w:sz w:val="26"/>
          <w:szCs w:val="26"/>
        </w:rPr>
        <w:t xml:space="preserve">Doświadczenie </w:t>
      </w:r>
      <w:proofErr w:type="gramStart"/>
      <w:r>
        <w:rPr>
          <w:sz w:val="26"/>
          <w:szCs w:val="26"/>
        </w:rPr>
        <w:t>uczy bowiem</w:t>
      </w:r>
      <w:proofErr w:type="gramEnd"/>
      <w:r>
        <w:rPr>
          <w:sz w:val="26"/>
          <w:szCs w:val="26"/>
        </w:rPr>
        <w:t xml:space="preserve">, że o ile wzrostom cen surowców (w tym na przykład właśnie ropy naftowej oraz miedzi) towarzyszą wzrosty indeksów na wschodzących rynkach akcji, o tyle spadkom cen owych surowców towarzyszą zazwyczaj spadki cen wspomnianych indeksów. </w:t>
      </w:r>
    </w:p>
    <w:p w:rsidR="009E732D" w:rsidRDefault="009E732D" w:rsidP="009E732D">
      <w:pPr>
        <w:pStyle w:val="Bezodstpw"/>
        <w:jc w:val="both"/>
        <w:rPr>
          <w:sz w:val="26"/>
          <w:szCs w:val="26"/>
        </w:rPr>
      </w:pPr>
    </w:p>
    <w:p w:rsidR="009E732D" w:rsidRDefault="009E732D" w:rsidP="009E732D">
      <w:pPr>
        <w:pStyle w:val="Bezodstpw"/>
        <w:jc w:val="both"/>
        <w:rPr>
          <w:sz w:val="26"/>
          <w:szCs w:val="26"/>
        </w:rPr>
      </w:pPr>
      <w:r>
        <w:rPr>
          <w:sz w:val="26"/>
          <w:szCs w:val="26"/>
        </w:rPr>
        <w:t xml:space="preserve">Z analizy wykresów cen surowców (ropy naftowej, miedzi, palladu) wynika, że w najbliższych miesiącach można oczekiwać się spadków cen owych surowców. </w:t>
      </w:r>
    </w:p>
    <w:p w:rsidR="009E732D" w:rsidRDefault="009E732D" w:rsidP="009E732D">
      <w:pPr>
        <w:pStyle w:val="Bezodstpw"/>
        <w:jc w:val="both"/>
        <w:rPr>
          <w:sz w:val="26"/>
          <w:szCs w:val="26"/>
        </w:rPr>
      </w:pPr>
    </w:p>
    <w:p w:rsidR="009E732D" w:rsidRDefault="009E732D" w:rsidP="009E732D">
      <w:pPr>
        <w:pStyle w:val="Bezodstpw"/>
        <w:jc w:val="both"/>
        <w:rPr>
          <w:sz w:val="26"/>
          <w:szCs w:val="26"/>
        </w:rPr>
      </w:pPr>
      <w:r>
        <w:rPr>
          <w:sz w:val="26"/>
          <w:szCs w:val="26"/>
        </w:rPr>
        <w:t xml:space="preserve">Nie jest to oczywiście pewne, ale w każdym razie dość prawdopodobne. Pisałem o tym w poprzednich numerach </w:t>
      </w:r>
      <w:proofErr w:type="gramStart"/>
      <w:r>
        <w:rPr>
          <w:sz w:val="26"/>
          <w:szCs w:val="26"/>
        </w:rPr>
        <w:t>,,</w:t>
      </w:r>
      <w:proofErr w:type="gramEnd"/>
      <w:r>
        <w:rPr>
          <w:sz w:val="26"/>
          <w:szCs w:val="26"/>
        </w:rPr>
        <w:t xml:space="preserve">Raportu Tygodniowego”. </w:t>
      </w:r>
    </w:p>
    <w:p w:rsidR="009E732D" w:rsidRDefault="009E732D" w:rsidP="009E732D">
      <w:pPr>
        <w:pStyle w:val="Bezodstpw"/>
        <w:jc w:val="both"/>
        <w:rPr>
          <w:sz w:val="26"/>
          <w:szCs w:val="26"/>
        </w:rPr>
      </w:pPr>
    </w:p>
    <w:p w:rsidR="009E732D" w:rsidRDefault="009E732D" w:rsidP="009E732D">
      <w:pPr>
        <w:pStyle w:val="Bezodstpw"/>
        <w:jc w:val="both"/>
        <w:rPr>
          <w:sz w:val="26"/>
          <w:szCs w:val="26"/>
        </w:rPr>
      </w:pPr>
      <w:r>
        <w:rPr>
          <w:sz w:val="26"/>
          <w:szCs w:val="26"/>
        </w:rPr>
        <w:t xml:space="preserve">W rezultacie może dojść do zniżek indeksów na wschodzących rynkach akcji. Istnieje także ryzyko spadków indeksów rynków dojrzałych. </w:t>
      </w:r>
    </w:p>
    <w:p w:rsidR="009E732D" w:rsidRDefault="009E732D" w:rsidP="009E732D">
      <w:pPr>
        <w:pStyle w:val="Bezodstpw"/>
        <w:jc w:val="both"/>
        <w:rPr>
          <w:sz w:val="26"/>
          <w:szCs w:val="26"/>
        </w:rPr>
      </w:pPr>
    </w:p>
    <w:p w:rsidR="009E732D" w:rsidRPr="00276477" w:rsidRDefault="009E732D" w:rsidP="009E732D">
      <w:pPr>
        <w:pStyle w:val="Bezodstpw"/>
        <w:jc w:val="both"/>
        <w:rPr>
          <w:b/>
          <w:sz w:val="26"/>
          <w:szCs w:val="26"/>
        </w:rPr>
      </w:pPr>
      <w:r>
        <w:rPr>
          <w:sz w:val="26"/>
          <w:szCs w:val="26"/>
        </w:rPr>
        <w:t xml:space="preserve">Warto przyjrzeć się na przykład wykresowi </w:t>
      </w:r>
      <w:r w:rsidRPr="00276477">
        <w:rPr>
          <w:b/>
          <w:sz w:val="26"/>
          <w:szCs w:val="26"/>
        </w:rPr>
        <w:t xml:space="preserve">indeksu szwajcarskiego rynku akcji SMI. </w:t>
      </w:r>
    </w:p>
    <w:p w:rsidR="009E732D" w:rsidRDefault="009E732D" w:rsidP="009E732D">
      <w:pPr>
        <w:pStyle w:val="Bezodstpw"/>
        <w:jc w:val="both"/>
        <w:rPr>
          <w:sz w:val="26"/>
          <w:szCs w:val="26"/>
        </w:rPr>
      </w:pPr>
    </w:p>
    <w:p w:rsidR="009E732D" w:rsidRDefault="009E732D" w:rsidP="009E732D">
      <w:pPr>
        <w:pStyle w:val="Bezodstpw"/>
        <w:jc w:val="both"/>
        <w:rPr>
          <w:b/>
          <w:sz w:val="26"/>
          <w:szCs w:val="26"/>
          <w:u w:val="single"/>
        </w:rPr>
      </w:pPr>
      <w:r w:rsidRPr="003A540B">
        <w:rPr>
          <w:b/>
          <w:sz w:val="26"/>
          <w:szCs w:val="26"/>
          <w:u w:val="single"/>
        </w:rPr>
        <w:t xml:space="preserve">SMI </w:t>
      </w:r>
    </w:p>
    <w:p w:rsidR="009E732D" w:rsidRDefault="009E732D" w:rsidP="009E732D">
      <w:pPr>
        <w:pStyle w:val="Bezodstpw"/>
        <w:jc w:val="both"/>
        <w:rPr>
          <w:b/>
          <w:sz w:val="26"/>
          <w:szCs w:val="26"/>
          <w:u w:val="single"/>
        </w:rPr>
      </w:pPr>
    </w:p>
    <w:p w:rsidR="009E732D" w:rsidRPr="003A540B" w:rsidRDefault="009E732D" w:rsidP="009E732D">
      <w:pPr>
        <w:pStyle w:val="Bezodstpw"/>
        <w:jc w:val="both"/>
        <w:rPr>
          <w:b/>
          <w:sz w:val="26"/>
          <w:szCs w:val="26"/>
          <w:u w:val="single"/>
        </w:rPr>
      </w:pPr>
      <w:r>
        <w:rPr>
          <w:b/>
          <w:noProof/>
          <w:sz w:val="26"/>
          <w:szCs w:val="26"/>
          <w:u w:val="single"/>
          <w:lang w:eastAsia="pl-PL"/>
        </w:rPr>
        <w:drawing>
          <wp:inline distT="0" distB="0" distL="0" distR="0" wp14:anchorId="05A6CAE5" wp14:editId="6AC26996">
            <wp:extent cx="5429250" cy="32575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9E732D" w:rsidRDefault="009E732D" w:rsidP="009E732D">
      <w:pPr>
        <w:pStyle w:val="Bezodstpw"/>
        <w:jc w:val="both"/>
        <w:rPr>
          <w:sz w:val="26"/>
          <w:szCs w:val="26"/>
        </w:rPr>
      </w:pPr>
    </w:p>
    <w:p w:rsidR="009E732D" w:rsidRDefault="009E732D" w:rsidP="009E732D">
      <w:pPr>
        <w:pStyle w:val="Bezodstpw"/>
        <w:jc w:val="both"/>
        <w:rPr>
          <w:sz w:val="26"/>
          <w:szCs w:val="26"/>
        </w:rPr>
      </w:pPr>
      <w:r>
        <w:rPr>
          <w:sz w:val="26"/>
          <w:szCs w:val="26"/>
        </w:rPr>
        <w:t xml:space="preserve">Warto zauważyć, że na wykresie tego indeksu doszło do wybicia z formacji podwójnego szczytu. W rezultacie można obawiać się dalszych spadów tego indeksu </w:t>
      </w:r>
      <w:r>
        <w:rPr>
          <w:sz w:val="26"/>
          <w:szCs w:val="26"/>
        </w:rPr>
        <w:lastRenderedPageBreak/>
        <w:t xml:space="preserve">w kolejnych miesiącach. Może to wywołać spadki także innych indeksów, w tym być może także indeksu WIG20. </w:t>
      </w:r>
    </w:p>
    <w:p w:rsidR="009E732D" w:rsidRDefault="009E732D" w:rsidP="009E732D">
      <w:pPr>
        <w:pStyle w:val="Bezodstpw"/>
        <w:jc w:val="both"/>
        <w:rPr>
          <w:sz w:val="26"/>
          <w:szCs w:val="26"/>
        </w:rPr>
      </w:pPr>
    </w:p>
    <w:p w:rsidR="009E732D" w:rsidRDefault="009E732D" w:rsidP="009E732D">
      <w:pPr>
        <w:pStyle w:val="Bezodstpw"/>
        <w:jc w:val="both"/>
        <w:rPr>
          <w:sz w:val="26"/>
          <w:szCs w:val="26"/>
        </w:rPr>
      </w:pPr>
      <w:r>
        <w:rPr>
          <w:sz w:val="26"/>
          <w:szCs w:val="26"/>
        </w:rPr>
        <w:t xml:space="preserve">Warto bowiem </w:t>
      </w:r>
      <w:proofErr w:type="gramStart"/>
      <w:r>
        <w:rPr>
          <w:sz w:val="26"/>
          <w:szCs w:val="26"/>
        </w:rPr>
        <w:t>zauważyć,  że</w:t>
      </w:r>
      <w:proofErr w:type="gramEnd"/>
      <w:r>
        <w:rPr>
          <w:sz w:val="26"/>
          <w:szCs w:val="26"/>
        </w:rPr>
        <w:t xml:space="preserve"> silnym falom spadkowym indeksu SMI towarzyszyły z reguły spadki indeksu WIG20. </w:t>
      </w:r>
    </w:p>
    <w:p w:rsidR="009E732D" w:rsidRDefault="009E732D" w:rsidP="009E732D">
      <w:pPr>
        <w:pStyle w:val="Bezodstpw"/>
        <w:jc w:val="both"/>
        <w:rPr>
          <w:sz w:val="26"/>
          <w:szCs w:val="26"/>
        </w:rPr>
      </w:pPr>
    </w:p>
    <w:p w:rsidR="009E732D" w:rsidRDefault="009E732D" w:rsidP="009E732D">
      <w:pPr>
        <w:pStyle w:val="Bezodstpw"/>
        <w:jc w:val="both"/>
        <w:rPr>
          <w:b/>
          <w:sz w:val="26"/>
          <w:szCs w:val="26"/>
          <w:u w:val="single"/>
        </w:rPr>
      </w:pPr>
      <w:r w:rsidRPr="000240A5">
        <w:rPr>
          <w:b/>
          <w:sz w:val="26"/>
          <w:szCs w:val="26"/>
          <w:u w:val="single"/>
        </w:rPr>
        <w:t>SMI oraz WIG20</w:t>
      </w:r>
    </w:p>
    <w:p w:rsidR="009E732D" w:rsidRDefault="009E732D" w:rsidP="009E732D">
      <w:pPr>
        <w:pStyle w:val="Bezodstpw"/>
        <w:jc w:val="both"/>
        <w:rPr>
          <w:b/>
          <w:sz w:val="26"/>
          <w:szCs w:val="26"/>
          <w:u w:val="single"/>
        </w:rPr>
      </w:pPr>
    </w:p>
    <w:p w:rsidR="009E732D" w:rsidRPr="000240A5" w:rsidRDefault="009E732D" w:rsidP="009E732D">
      <w:pPr>
        <w:pStyle w:val="Bezodstpw"/>
        <w:jc w:val="both"/>
        <w:rPr>
          <w:b/>
          <w:sz w:val="26"/>
          <w:szCs w:val="26"/>
          <w:u w:val="single"/>
        </w:rPr>
      </w:pPr>
      <w:r>
        <w:rPr>
          <w:b/>
          <w:noProof/>
          <w:sz w:val="26"/>
          <w:szCs w:val="26"/>
          <w:u w:val="single"/>
          <w:lang w:eastAsia="pl-PL"/>
        </w:rPr>
        <w:drawing>
          <wp:inline distT="0" distB="0" distL="0" distR="0" wp14:anchorId="3F599AC0" wp14:editId="6B9289DE">
            <wp:extent cx="5448300" cy="32670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3267075"/>
                    </a:xfrm>
                    <a:prstGeom prst="rect">
                      <a:avLst/>
                    </a:prstGeom>
                    <a:noFill/>
                  </pic:spPr>
                </pic:pic>
              </a:graphicData>
            </a:graphic>
          </wp:inline>
        </w:drawing>
      </w:r>
    </w:p>
    <w:p w:rsidR="009E732D" w:rsidRDefault="009E732D" w:rsidP="009E732D">
      <w:pPr>
        <w:pStyle w:val="Bezodstpw"/>
        <w:jc w:val="both"/>
        <w:rPr>
          <w:sz w:val="26"/>
          <w:szCs w:val="26"/>
        </w:rPr>
      </w:pPr>
    </w:p>
    <w:p w:rsidR="009E732D" w:rsidRDefault="009E732D" w:rsidP="009E732D">
      <w:pPr>
        <w:pStyle w:val="Bezodstpw"/>
        <w:jc w:val="both"/>
        <w:rPr>
          <w:sz w:val="26"/>
          <w:szCs w:val="26"/>
        </w:rPr>
      </w:pPr>
      <w:r>
        <w:rPr>
          <w:sz w:val="26"/>
          <w:szCs w:val="26"/>
        </w:rPr>
        <w:t xml:space="preserve">SMI to jeden z reprezentantów rynków dojrzałych. Skoro wspominam o możliwości spadków indeksu rynku dojrzałego to powstaje pytanie co może być tego </w:t>
      </w:r>
      <w:proofErr w:type="gramStart"/>
      <w:r>
        <w:rPr>
          <w:sz w:val="26"/>
          <w:szCs w:val="26"/>
        </w:rPr>
        <w:t>przyczyną ?</w:t>
      </w:r>
      <w:proofErr w:type="gramEnd"/>
    </w:p>
    <w:p w:rsidR="009E732D" w:rsidRDefault="009E732D" w:rsidP="009E732D">
      <w:pPr>
        <w:pStyle w:val="Bezodstpw"/>
        <w:jc w:val="both"/>
        <w:rPr>
          <w:sz w:val="26"/>
          <w:szCs w:val="26"/>
        </w:rPr>
      </w:pPr>
    </w:p>
    <w:p w:rsidR="009E732D" w:rsidRPr="00276477" w:rsidRDefault="009E732D" w:rsidP="009E732D">
      <w:pPr>
        <w:pStyle w:val="Bezodstpw"/>
        <w:jc w:val="both"/>
        <w:rPr>
          <w:b/>
          <w:sz w:val="26"/>
          <w:szCs w:val="26"/>
        </w:rPr>
      </w:pPr>
      <w:r>
        <w:rPr>
          <w:sz w:val="26"/>
          <w:szCs w:val="26"/>
        </w:rPr>
        <w:t xml:space="preserve">Nie jest wykluczone, że </w:t>
      </w:r>
      <w:r w:rsidRPr="00276477">
        <w:rPr>
          <w:b/>
          <w:sz w:val="26"/>
          <w:szCs w:val="26"/>
        </w:rPr>
        <w:t xml:space="preserve">ewentualna słabość indeksów rynków dojrzałych może wynikać z na przykład ryzyka wyjścia Wielkiej Brytanii z UE. </w:t>
      </w:r>
    </w:p>
    <w:p w:rsidR="009E732D" w:rsidRDefault="009E732D" w:rsidP="009E732D">
      <w:pPr>
        <w:pStyle w:val="Bezodstpw"/>
        <w:jc w:val="both"/>
        <w:rPr>
          <w:sz w:val="26"/>
          <w:szCs w:val="26"/>
        </w:rPr>
      </w:pPr>
    </w:p>
    <w:p w:rsidR="009E732D" w:rsidRDefault="009E732D" w:rsidP="009E732D">
      <w:pPr>
        <w:pStyle w:val="Bezodstpw"/>
        <w:jc w:val="both"/>
        <w:rPr>
          <w:sz w:val="26"/>
          <w:szCs w:val="26"/>
        </w:rPr>
      </w:pPr>
      <w:proofErr w:type="gramStart"/>
      <w:r>
        <w:rPr>
          <w:sz w:val="26"/>
          <w:szCs w:val="26"/>
        </w:rPr>
        <w:t>Trudno bowiem</w:t>
      </w:r>
      <w:proofErr w:type="gramEnd"/>
      <w:r>
        <w:rPr>
          <w:sz w:val="26"/>
          <w:szCs w:val="26"/>
        </w:rPr>
        <w:t xml:space="preserve"> przewidzieć skutki tego ewentualnego kroku, co może (choć nie musi) powodować pewną nerwowość wśród uczestników życia gospodarczego.</w:t>
      </w:r>
    </w:p>
    <w:p w:rsidR="009E732D" w:rsidRDefault="009E732D" w:rsidP="009E732D">
      <w:pPr>
        <w:pStyle w:val="Bezodstpw"/>
        <w:jc w:val="both"/>
        <w:rPr>
          <w:sz w:val="26"/>
          <w:szCs w:val="26"/>
        </w:rPr>
      </w:pPr>
    </w:p>
    <w:p w:rsidR="009E732D" w:rsidRDefault="009E732D" w:rsidP="009E732D">
      <w:pPr>
        <w:pStyle w:val="Bezodstpw"/>
        <w:jc w:val="both"/>
        <w:rPr>
          <w:sz w:val="26"/>
          <w:szCs w:val="26"/>
        </w:rPr>
      </w:pPr>
      <w:r>
        <w:rPr>
          <w:sz w:val="26"/>
          <w:szCs w:val="26"/>
        </w:rPr>
        <w:t xml:space="preserve">Warto przypomnieć, że referendum w sprawie wyjścia Wielkiej Brytanii z UE odbędzie się w dniu 23 czerwca 2016 roku. </w:t>
      </w:r>
    </w:p>
    <w:p w:rsidR="009E732D" w:rsidRDefault="009E732D" w:rsidP="009E732D">
      <w:pPr>
        <w:pStyle w:val="Bezodstpw"/>
        <w:jc w:val="both"/>
        <w:rPr>
          <w:sz w:val="26"/>
          <w:szCs w:val="26"/>
        </w:rPr>
      </w:pPr>
    </w:p>
    <w:p w:rsidR="009E732D" w:rsidRPr="00276477" w:rsidRDefault="009E732D" w:rsidP="009E732D">
      <w:pPr>
        <w:pStyle w:val="Bezodstpw"/>
        <w:jc w:val="both"/>
        <w:rPr>
          <w:b/>
          <w:sz w:val="26"/>
          <w:szCs w:val="26"/>
        </w:rPr>
      </w:pPr>
      <w:r w:rsidRPr="00276477">
        <w:rPr>
          <w:b/>
          <w:sz w:val="26"/>
          <w:szCs w:val="26"/>
        </w:rPr>
        <w:t>Warto będzie obserwować wyniki najnowszych sondaży dotyczących tego referendum. Wyniki sondaży publikowane są tutaj:</w:t>
      </w:r>
    </w:p>
    <w:p w:rsidR="009E732D" w:rsidRDefault="009E732D" w:rsidP="009E732D">
      <w:pPr>
        <w:pStyle w:val="Bezodstpw"/>
        <w:jc w:val="both"/>
        <w:rPr>
          <w:sz w:val="26"/>
          <w:szCs w:val="26"/>
        </w:rPr>
      </w:pPr>
    </w:p>
    <w:p w:rsidR="009E732D" w:rsidRDefault="009E732D" w:rsidP="009E732D">
      <w:pPr>
        <w:pStyle w:val="Bezodstpw"/>
        <w:jc w:val="both"/>
        <w:rPr>
          <w:rStyle w:val="Hipercze"/>
          <w:sz w:val="26"/>
          <w:szCs w:val="26"/>
        </w:rPr>
      </w:pPr>
      <w:hyperlink r:id="rId10" w:history="1">
        <w:r w:rsidRPr="00E03483">
          <w:rPr>
            <w:rStyle w:val="Hipercze"/>
            <w:sz w:val="26"/>
            <w:szCs w:val="26"/>
          </w:rPr>
          <w:t>https://en.wikipedia.org/wiki/Opinion_polling_for_the_United_Kingdom_European_Union_membership_referendum</w:t>
        </w:r>
      </w:hyperlink>
    </w:p>
    <w:p w:rsidR="009E732D" w:rsidRDefault="009E732D" w:rsidP="009E732D">
      <w:pPr>
        <w:pStyle w:val="Bezodstpw"/>
        <w:jc w:val="both"/>
        <w:rPr>
          <w:rStyle w:val="Hipercze"/>
          <w:sz w:val="26"/>
          <w:szCs w:val="26"/>
        </w:rPr>
      </w:pPr>
    </w:p>
    <w:p w:rsidR="009E732D" w:rsidRDefault="009E732D" w:rsidP="00BD2B38">
      <w:pPr>
        <w:pStyle w:val="Bezodstpw"/>
        <w:pBdr>
          <w:top w:val="single" w:sz="4" w:space="1" w:color="auto"/>
          <w:left w:val="single" w:sz="4" w:space="4" w:color="auto"/>
          <w:bottom w:val="single" w:sz="4" w:space="1" w:color="auto"/>
          <w:right w:val="single" w:sz="4" w:space="4" w:color="auto"/>
        </w:pBdr>
        <w:shd w:val="clear" w:color="auto" w:fill="FFFF00"/>
        <w:jc w:val="center"/>
        <w:rPr>
          <w:rStyle w:val="Hipercze"/>
          <w:color w:val="000000" w:themeColor="text1"/>
          <w:sz w:val="26"/>
          <w:szCs w:val="26"/>
        </w:rPr>
      </w:pPr>
      <w:r>
        <w:rPr>
          <w:rStyle w:val="Hipercze"/>
          <w:color w:val="000000" w:themeColor="text1"/>
          <w:sz w:val="26"/>
          <w:szCs w:val="26"/>
        </w:rPr>
        <w:lastRenderedPageBreak/>
        <w:t xml:space="preserve">Spółka tygodnia – </w:t>
      </w:r>
      <w:proofErr w:type="spellStart"/>
      <w:r>
        <w:rPr>
          <w:rStyle w:val="Hipercze"/>
          <w:color w:val="000000" w:themeColor="text1"/>
          <w:sz w:val="26"/>
          <w:szCs w:val="26"/>
        </w:rPr>
        <w:t>Emperia</w:t>
      </w:r>
      <w:proofErr w:type="spellEnd"/>
      <w:r>
        <w:rPr>
          <w:rStyle w:val="Hipercze"/>
          <w:color w:val="000000" w:themeColor="text1"/>
          <w:sz w:val="26"/>
          <w:szCs w:val="26"/>
        </w:rPr>
        <w:t xml:space="preserve"> Holding</w:t>
      </w:r>
    </w:p>
    <w:p w:rsidR="009E732D" w:rsidRDefault="009E732D" w:rsidP="009E732D">
      <w:pPr>
        <w:pStyle w:val="Bezodstpw"/>
        <w:jc w:val="center"/>
        <w:rPr>
          <w:rStyle w:val="Hipercze"/>
          <w:color w:val="000000" w:themeColor="text1"/>
          <w:sz w:val="26"/>
          <w:szCs w:val="26"/>
        </w:rPr>
      </w:pPr>
    </w:p>
    <w:p w:rsidR="009E732D" w:rsidRPr="009E732D" w:rsidRDefault="009E732D" w:rsidP="009E732D">
      <w:pPr>
        <w:pStyle w:val="Bezodstpw"/>
        <w:jc w:val="both"/>
        <w:rPr>
          <w:rStyle w:val="Hipercze"/>
          <w:color w:val="000000" w:themeColor="text1"/>
          <w:sz w:val="26"/>
          <w:szCs w:val="26"/>
          <w:u w:val="none"/>
        </w:rPr>
      </w:pPr>
      <w:r w:rsidRPr="009E732D">
        <w:rPr>
          <w:rStyle w:val="Hipercze"/>
          <w:color w:val="000000" w:themeColor="text1"/>
          <w:sz w:val="26"/>
          <w:szCs w:val="26"/>
          <w:u w:val="none"/>
        </w:rPr>
        <w:t xml:space="preserve">Spośród spółek, które w ostatnich 12 miesiącach znalazły się w rubryce </w:t>
      </w:r>
      <w:proofErr w:type="gramStart"/>
      <w:r w:rsidRPr="009E732D">
        <w:rPr>
          <w:rStyle w:val="Hipercze"/>
          <w:color w:val="000000" w:themeColor="text1"/>
          <w:sz w:val="26"/>
          <w:szCs w:val="26"/>
          <w:u w:val="none"/>
        </w:rPr>
        <w:t>,,</w:t>
      </w:r>
      <w:proofErr w:type="gramEnd"/>
      <w:r w:rsidRPr="009E732D">
        <w:rPr>
          <w:rStyle w:val="Hipercze"/>
          <w:color w:val="000000" w:themeColor="text1"/>
          <w:sz w:val="26"/>
          <w:szCs w:val="26"/>
          <w:u w:val="none"/>
        </w:rPr>
        <w:t xml:space="preserve">Wykres do przemyślenia” relatywnie mocno w ostatnim tygodniu zachował się kurs akcji spółki </w:t>
      </w:r>
      <w:proofErr w:type="spellStart"/>
      <w:r w:rsidRPr="009E732D">
        <w:rPr>
          <w:rStyle w:val="Hipercze"/>
          <w:color w:val="000000" w:themeColor="text1"/>
          <w:sz w:val="26"/>
          <w:szCs w:val="26"/>
          <w:u w:val="none"/>
        </w:rPr>
        <w:t>Emperia</w:t>
      </w:r>
      <w:proofErr w:type="spellEnd"/>
      <w:r w:rsidRPr="009E732D">
        <w:rPr>
          <w:rStyle w:val="Hipercze"/>
          <w:color w:val="000000" w:themeColor="text1"/>
          <w:sz w:val="26"/>
          <w:szCs w:val="26"/>
          <w:u w:val="none"/>
        </w:rPr>
        <w:t xml:space="preserve"> Holding. Kurs akcji tej spółki wzrósł o 5,3 %. </w:t>
      </w:r>
    </w:p>
    <w:p w:rsidR="009E732D" w:rsidRPr="009E732D" w:rsidRDefault="009E732D" w:rsidP="009E732D">
      <w:pPr>
        <w:pStyle w:val="Bezodstpw"/>
        <w:jc w:val="both"/>
        <w:rPr>
          <w:rStyle w:val="Hipercze"/>
          <w:color w:val="000000" w:themeColor="text1"/>
          <w:sz w:val="26"/>
          <w:szCs w:val="26"/>
          <w:u w:val="none"/>
        </w:rPr>
      </w:pPr>
    </w:p>
    <w:p w:rsidR="009E732D" w:rsidRPr="009E732D" w:rsidRDefault="009E732D" w:rsidP="009E732D">
      <w:pPr>
        <w:pStyle w:val="Bezodstpw"/>
        <w:jc w:val="both"/>
        <w:rPr>
          <w:rStyle w:val="Hipercze"/>
          <w:color w:val="000000" w:themeColor="text1"/>
          <w:sz w:val="26"/>
          <w:szCs w:val="26"/>
          <w:u w:val="none"/>
        </w:rPr>
      </w:pPr>
      <w:r w:rsidRPr="009E732D">
        <w:rPr>
          <w:rStyle w:val="Hipercze"/>
          <w:color w:val="000000" w:themeColor="text1"/>
          <w:sz w:val="26"/>
          <w:szCs w:val="26"/>
          <w:u w:val="none"/>
        </w:rPr>
        <w:t xml:space="preserve">Warto zauważyć, że gdyby kurs akcji tej spółki osiągnął na zamknięciu sesji </w:t>
      </w:r>
      <w:proofErr w:type="gramStart"/>
      <w:r w:rsidRPr="009E732D">
        <w:rPr>
          <w:rStyle w:val="Hipercze"/>
          <w:color w:val="000000" w:themeColor="text1"/>
          <w:sz w:val="26"/>
          <w:szCs w:val="26"/>
          <w:u w:val="none"/>
        </w:rPr>
        <w:t>kurs co</w:t>
      </w:r>
      <w:proofErr w:type="gramEnd"/>
      <w:r w:rsidRPr="009E732D">
        <w:rPr>
          <w:rStyle w:val="Hipercze"/>
          <w:color w:val="000000" w:themeColor="text1"/>
          <w:sz w:val="26"/>
          <w:szCs w:val="26"/>
          <w:u w:val="none"/>
        </w:rPr>
        <w:t xml:space="preserve"> najmniej 59 złote i 23 grosze doszłoby do wybicia z formacji podwójnego szczytu. </w:t>
      </w:r>
    </w:p>
    <w:p w:rsidR="009E732D" w:rsidRPr="009E732D" w:rsidRDefault="009E732D" w:rsidP="009E732D">
      <w:pPr>
        <w:pStyle w:val="Bezodstpw"/>
        <w:jc w:val="both"/>
        <w:rPr>
          <w:rStyle w:val="Hipercze"/>
          <w:color w:val="000000" w:themeColor="text1"/>
          <w:sz w:val="26"/>
          <w:szCs w:val="26"/>
          <w:u w:val="none"/>
        </w:rPr>
      </w:pPr>
    </w:p>
    <w:p w:rsidR="009E732D" w:rsidRPr="009E732D" w:rsidRDefault="009E732D" w:rsidP="009E732D">
      <w:pPr>
        <w:pStyle w:val="Bezodstpw"/>
        <w:jc w:val="both"/>
        <w:rPr>
          <w:rStyle w:val="Hipercze"/>
          <w:color w:val="000000" w:themeColor="text1"/>
          <w:sz w:val="26"/>
          <w:szCs w:val="26"/>
          <w:u w:val="none"/>
        </w:rPr>
      </w:pPr>
      <w:r w:rsidRPr="009E732D">
        <w:rPr>
          <w:rStyle w:val="Hipercze"/>
          <w:color w:val="000000" w:themeColor="text1"/>
          <w:sz w:val="26"/>
          <w:szCs w:val="26"/>
          <w:u w:val="none"/>
        </w:rPr>
        <w:t xml:space="preserve">Pojawiłaby się wówczas szansa na wzrost kursu akcji tej spółki do 63 złotych i 79 groszy. Czy do tego </w:t>
      </w:r>
      <w:proofErr w:type="gramStart"/>
      <w:r w:rsidRPr="009E732D">
        <w:rPr>
          <w:rStyle w:val="Hipercze"/>
          <w:color w:val="000000" w:themeColor="text1"/>
          <w:sz w:val="26"/>
          <w:szCs w:val="26"/>
          <w:u w:val="none"/>
        </w:rPr>
        <w:t xml:space="preserve">dojdzie ? </w:t>
      </w:r>
      <w:proofErr w:type="gramEnd"/>
      <w:r w:rsidRPr="009E732D">
        <w:rPr>
          <w:rStyle w:val="Hipercze"/>
          <w:color w:val="000000" w:themeColor="text1"/>
          <w:sz w:val="26"/>
          <w:szCs w:val="26"/>
          <w:u w:val="none"/>
        </w:rPr>
        <w:t xml:space="preserve">Czas pokaże. </w:t>
      </w:r>
    </w:p>
    <w:p w:rsidR="009E732D" w:rsidRDefault="009E732D" w:rsidP="009E732D">
      <w:pPr>
        <w:pStyle w:val="Bezodstpw"/>
        <w:jc w:val="both"/>
        <w:rPr>
          <w:rStyle w:val="Hipercze"/>
          <w:color w:val="000000" w:themeColor="text1"/>
          <w:sz w:val="26"/>
          <w:szCs w:val="26"/>
        </w:rPr>
      </w:pPr>
    </w:p>
    <w:p w:rsidR="009E732D" w:rsidRDefault="009E732D" w:rsidP="009E732D">
      <w:pPr>
        <w:pStyle w:val="Bezodstpw"/>
        <w:jc w:val="both"/>
        <w:rPr>
          <w:rStyle w:val="Hipercze"/>
          <w:b/>
          <w:color w:val="000000" w:themeColor="text1"/>
          <w:sz w:val="26"/>
          <w:szCs w:val="26"/>
        </w:rPr>
      </w:pPr>
      <w:r w:rsidRPr="00AA5A68">
        <w:rPr>
          <w:rStyle w:val="Hipercze"/>
          <w:b/>
          <w:color w:val="000000" w:themeColor="text1"/>
          <w:sz w:val="26"/>
          <w:szCs w:val="26"/>
        </w:rPr>
        <w:t xml:space="preserve">EMPERIA HOLDING </w:t>
      </w:r>
    </w:p>
    <w:p w:rsidR="009E732D" w:rsidRDefault="009E732D" w:rsidP="009E732D">
      <w:pPr>
        <w:pStyle w:val="Bezodstpw"/>
        <w:jc w:val="both"/>
        <w:rPr>
          <w:rStyle w:val="Hipercze"/>
          <w:b/>
          <w:color w:val="000000" w:themeColor="text1"/>
          <w:sz w:val="26"/>
          <w:szCs w:val="26"/>
        </w:rPr>
      </w:pPr>
    </w:p>
    <w:p w:rsidR="009E732D" w:rsidRPr="00AA5A68" w:rsidRDefault="009E732D" w:rsidP="009E732D">
      <w:pPr>
        <w:pStyle w:val="Bezodstpw"/>
        <w:jc w:val="both"/>
        <w:rPr>
          <w:rStyle w:val="Hipercze"/>
          <w:b/>
          <w:color w:val="000000" w:themeColor="text1"/>
          <w:sz w:val="26"/>
          <w:szCs w:val="26"/>
        </w:rPr>
      </w:pPr>
      <w:r>
        <w:rPr>
          <w:b/>
          <w:noProof/>
          <w:color w:val="000000" w:themeColor="text1"/>
          <w:sz w:val="26"/>
          <w:szCs w:val="26"/>
          <w:u w:val="single"/>
          <w:lang w:eastAsia="pl-PL"/>
        </w:rPr>
        <w:drawing>
          <wp:inline distT="0" distB="0" distL="0" distR="0" wp14:anchorId="6FC00CD8" wp14:editId="35B9BCC5">
            <wp:extent cx="5429250" cy="32575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9E732D" w:rsidRDefault="009E732D" w:rsidP="009E732D">
      <w:pPr>
        <w:pStyle w:val="Bezodstpw"/>
        <w:jc w:val="both"/>
        <w:rPr>
          <w:rStyle w:val="Hipercze"/>
          <w:color w:val="000000" w:themeColor="text1"/>
          <w:sz w:val="26"/>
          <w:szCs w:val="26"/>
        </w:rPr>
      </w:pPr>
    </w:p>
    <w:p w:rsidR="009E732D" w:rsidRPr="009E732D" w:rsidRDefault="009E732D" w:rsidP="009E732D">
      <w:pPr>
        <w:pStyle w:val="Bezodstpw"/>
        <w:jc w:val="both"/>
        <w:rPr>
          <w:rStyle w:val="Hipercze"/>
          <w:color w:val="000000" w:themeColor="text1"/>
          <w:sz w:val="26"/>
          <w:szCs w:val="26"/>
          <w:u w:val="none"/>
        </w:rPr>
      </w:pPr>
      <w:r w:rsidRPr="009E732D">
        <w:rPr>
          <w:rStyle w:val="Hipercze"/>
          <w:color w:val="000000" w:themeColor="text1"/>
          <w:sz w:val="26"/>
          <w:szCs w:val="26"/>
          <w:u w:val="none"/>
        </w:rPr>
        <w:t xml:space="preserve">Oto zestawienie ostatnich rekomendacji dla akcji spółki </w:t>
      </w:r>
      <w:proofErr w:type="spellStart"/>
      <w:r w:rsidRPr="009E732D">
        <w:rPr>
          <w:rStyle w:val="Hipercze"/>
          <w:color w:val="000000" w:themeColor="text1"/>
          <w:sz w:val="26"/>
          <w:szCs w:val="26"/>
          <w:u w:val="none"/>
        </w:rPr>
        <w:t>Emperia</w:t>
      </w:r>
      <w:proofErr w:type="spellEnd"/>
      <w:r w:rsidRPr="009E732D">
        <w:rPr>
          <w:rStyle w:val="Hipercze"/>
          <w:color w:val="000000" w:themeColor="text1"/>
          <w:sz w:val="26"/>
          <w:szCs w:val="26"/>
          <w:u w:val="none"/>
        </w:rPr>
        <w:t xml:space="preserve"> Holding. </w:t>
      </w:r>
    </w:p>
    <w:p w:rsidR="009E732D" w:rsidRPr="009E732D" w:rsidRDefault="009E732D" w:rsidP="009E732D">
      <w:pPr>
        <w:pStyle w:val="Bezodstpw"/>
        <w:jc w:val="both"/>
        <w:rPr>
          <w:rStyle w:val="Hipercze"/>
          <w:color w:val="000000" w:themeColor="text1"/>
          <w:sz w:val="26"/>
          <w:szCs w:val="26"/>
          <w:u w:val="none"/>
        </w:rPr>
      </w:pPr>
    </w:p>
    <w:p w:rsidR="009E732D" w:rsidRDefault="009E732D" w:rsidP="009E732D">
      <w:pPr>
        <w:pStyle w:val="Bezodstpw"/>
        <w:jc w:val="both"/>
        <w:rPr>
          <w:rStyle w:val="Hipercze"/>
          <w:color w:val="000000" w:themeColor="text1"/>
          <w:sz w:val="26"/>
          <w:szCs w:val="26"/>
          <w:u w:val="none"/>
        </w:rPr>
      </w:pPr>
      <w:hyperlink r:id="rId12" w:history="1">
        <w:r w:rsidRPr="001B3E6E">
          <w:rPr>
            <w:rStyle w:val="Hipercze"/>
            <w:sz w:val="26"/>
            <w:szCs w:val="26"/>
          </w:rPr>
          <w:t>http://www.bankier.pl/gielda/rekomendacje?symbol_char=&amp;symbol=352&amp;instytucja=0&amp;zmiana=all&amp;charakter=0&amp;poziom=0&amp;od=2015-06-14&amp;do=2016-06-13</w:t>
        </w:r>
      </w:hyperlink>
    </w:p>
    <w:p w:rsidR="009E732D" w:rsidRPr="009E732D" w:rsidRDefault="009E732D" w:rsidP="009E732D">
      <w:pPr>
        <w:pStyle w:val="Bezodstpw"/>
        <w:jc w:val="both"/>
        <w:rPr>
          <w:rStyle w:val="Hipercze"/>
          <w:color w:val="000000" w:themeColor="text1"/>
          <w:sz w:val="26"/>
          <w:szCs w:val="26"/>
          <w:u w:val="none"/>
        </w:rPr>
      </w:pPr>
    </w:p>
    <w:p w:rsidR="009E732D" w:rsidRPr="009E732D" w:rsidRDefault="009E732D" w:rsidP="009E732D">
      <w:pPr>
        <w:pStyle w:val="Bezodstpw"/>
        <w:jc w:val="both"/>
        <w:rPr>
          <w:rStyle w:val="Hipercze"/>
          <w:color w:val="000000" w:themeColor="text1"/>
          <w:sz w:val="26"/>
          <w:szCs w:val="26"/>
          <w:u w:val="none"/>
        </w:rPr>
      </w:pPr>
      <w:r w:rsidRPr="009E732D">
        <w:rPr>
          <w:rStyle w:val="Hipercze"/>
          <w:color w:val="000000" w:themeColor="text1"/>
          <w:sz w:val="26"/>
          <w:szCs w:val="26"/>
          <w:u w:val="none"/>
        </w:rPr>
        <w:t xml:space="preserve">Co ciekawe ostatnią rekomendacją była rekomendacja kupna wydana przez analityków Domu Maklerskiego PKO Bank Polski w dniu 17 marca 2016 </w:t>
      </w:r>
      <w:proofErr w:type="gramStart"/>
      <w:r w:rsidRPr="009E732D">
        <w:rPr>
          <w:rStyle w:val="Hipercze"/>
          <w:color w:val="000000" w:themeColor="text1"/>
          <w:sz w:val="26"/>
          <w:szCs w:val="26"/>
          <w:u w:val="none"/>
        </w:rPr>
        <w:t xml:space="preserve">roku. </w:t>
      </w:r>
      <w:proofErr w:type="gramEnd"/>
    </w:p>
    <w:p w:rsidR="009E732D" w:rsidRPr="009E732D" w:rsidRDefault="009E732D" w:rsidP="009E732D">
      <w:pPr>
        <w:pStyle w:val="Bezodstpw"/>
        <w:jc w:val="both"/>
        <w:rPr>
          <w:rStyle w:val="Hipercze"/>
          <w:color w:val="000000" w:themeColor="text1"/>
          <w:sz w:val="26"/>
          <w:szCs w:val="26"/>
          <w:u w:val="none"/>
        </w:rPr>
      </w:pPr>
    </w:p>
    <w:p w:rsidR="009E732D" w:rsidRPr="009E732D" w:rsidRDefault="009E732D" w:rsidP="009E732D">
      <w:pPr>
        <w:pStyle w:val="Bezodstpw"/>
        <w:jc w:val="both"/>
        <w:rPr>
          <w:sz w:val="26"/>
          <w:szCs w:val="26"/>
        </w:rPr>
      </w:pPr>
      <w:r w:rsidRPr="009E732D">
        <w:rPr>
          <w:rStyle w:val="Hipercze"/>
          <w:color w:val="000000" w:themeColor="text1"/>
          <w:sz w:val="26"/>
          <w:szCs w:val="26"/>
          <w:u w:val="none"/>
        </w:rPr>
        <w:t xml:space="preserve">Od momentu wydania tej rekomendacji kurs akacji tej spółki zwyżkował. Być może pojawienie się tej pozytywnej rekomendacji przyczyni się do wybicia kursu akcji spółki </w:t>
      </w:r>
      <w:proofErr w:type="spellStart"/>
      <w:r w:rsidRPr="009E732D">
        <w:rPr>
          <w:rStyle w:val="Hipercze"/>
          <w:color w:val="000000" w:themeColor="text1"/>
          <w:sz w:val="26"/>
          <w:szCs w:val="26"/>
          <w:u w:val="none"/>
        </w:rPr>
        <w:t>Emperia</w:t>
      </w:r>
      <w:proofErr w:type="spellEnd"/>
      <w:r w:rsidRPr="009E732D">
        <w:rPr>
          <w:rStyle w:val="Hipercze"/>
          <w:color w:val="000000" w:themeColor="text1"/>
          <w:sz w:val="26"/>
          <w:szCs w:val="26"/>
          <w:u w:val="none"/>
        </w:rPr>
        <w:t xml:space="preserve"> Holding z formacji podwójnego dna. Nie jest to wykluczone. W każdym razie czas pokaże jak będzie. </w:t>
      </w:r>
    </w:p>
    <w:p w:rsidR="009E732D" w:rsidRPr="007D7A69" w:rsidRDefault="009E732D" w:rsidP="00575088">
      <w:pPr>
        <w:spacing w:after="0" w:line="240" w:lineRule="auto"/>
        <w:jc w:val="both"/>
        <w:rPr>
          <w:b/>
          <w:sz w:val="26"/>
          <w:szCs w:val="26"/>
          <w:u w:val="single"/>
        </w:rPr>
      </w:pPr>
    </w:p>
    <w:p w:rsidR="00575088" w:rsidRDefault="00575088" w:rsidP="00575088">
      <w:pPr>
        <w:shd w:val="clear" w:color="auto" w:fill="FFFF00"/>
        <w:spacing w:after="0" w:line="240" w:lineRule="auto"/>
        <w:jc w:val="center"/>
        <w:rPr>
          <w:rFonts w:eastAsia="Times New Roman" w:cs="Times New Roman"/>
          <w:b/>
          <w:sz w:val="100"/>
          <w:szCs w:val="100"/>
          <w:lang w:eastAsia="pl-PL"/>
        </w:rPr>
      </w:pPr>
      <w:r>
        <w:rPr>
          <w:rFonts w:eastAsia="Times New Roman" w:cs="Times New Roman"/>
          <w:b/>
          <w:sz w:val="100"/>
          <w:szCs w:val="100"/>
          <w:lang w:eastAsia="pl-PL"/>
        </w:rPr>
        <w:t xml:space="preserve">Ile wynosiła średnia procentowa zmiana kursu akcji spółki po wprowadzeniu jej do rubryki </w:t>
      </w:r>
      <w:proofErr w:type="gramStart"/>
      <w:r>
        <w:rPr>
          <w:rFonts w:eastAsia="Times New Roman" w:cs="Times New Roman"/>
          <w:b/>
          <w:sz w:val="100"/>
          <w:szCs w:val="100"/>
          <w:lang w:eastAsia="pl-PL"/>
        </w:rPr>
        <w:t>,,</w:t>
      </w:r>
      <w:proofErr w:type="gramEnd"/>
      <w:r>
        <w:rPr>
          <w:rFonts w:eastAsia="Times New Roman" w:cs="Times New Roman"/>
          <w:b/>
          <w:sz w:val="100"/>
          <w:szCs w:val="100"/>
          <w:lang w:eastAsia="pl-PL"/>
        </w:rPr>
        <w:t>Wykres do przemyślenia” w okresie 12 pierwszych miesięcy po jej wprowadzeniu do tej rubryki ?</w:t>
      </w:r>
    </w:p>
    <w:p w:rsidR="00575088" w:rsidRDefault="00575088" w:rsidP="00575088">
      <w:pPr>
        <w:spacing w:after="0" w:line="240" w:lineRule="auto"/>
        <w:jc w:val="both"/>
        <w:rPr>
          <w:rFonts w:eastAsia="Times New Roman" w:cs="Times New Roman"/>
          <w:b/>
          <w:sz w:val="26"/>
          <w:szCs w:val="26"/>
          <w:lang w:eastAsia="pl-PL"/>
        </w:rPr>
      </w:pPr>
    </w:p>
    <w:p w:rsidR="00575088" w:rsidRDefault="00575088" w:rsidP="00575088">
      <w:pPr>
        <w:spacing w:after="0" w:line="240" w:lineRule="auto"/>
        <w:jc w:val="both"/>
        <w:rPr>
          <w:rFonts w:eastAsia="Times New Roman" w:cs="Times New Roman"/>
          <w:b/>
          <w:sz w:val="26"/>
          <w:szCs w:val="26"/>
          <w:lang w:eastAsia="pl-PL"/>
        </w:rPr>
      </w:pPr>
    </w:p>
    <w:p w:rsidR="00575088" w:rsidRDefault="00575088" w:rsidP="00575088">
      <w:pPr>
        <w:spacing w:after="0" w:line="240" w:lineRule="auto"/>
        <w:jc w:val="center"/>
        <w:rPr>
          <w:rFonts w:eastAsia="Times New Roman" w:cs="Times New Roman"/>
          <w:b/>
          <w:sz w:val="32"/>
          <w:szCs w:val="32"/>
          <w:u w:val="single"/>
          <w:lang w:eastAsia="pl-PL"/>
        </w:rPr>
      </w:pPr>
      <w:r>
        <w:rPr>
          <w:rFonts w:eastAsia="Times New Roman" w:cs="Times New Roman"/>
          <w:b/>
          <w:sz w:val="32"/>
          <w:szCs w:val="32"/>
          <w:u w:val="single"/>
          <w:lang w:eastAsia="pl-PL"/>
        </w:rPr>
        <w:t xml:space="preserve">Obliczenia według stanu na </w:t>
      </w:r>
      <w:r w:rsidR="009E732D">
        <w:rPr>
          <w:rFonts w:eastAsia="Times New Roman" w:cs="Times New Roman"/>
          <w:b/>
          <w:sz w:val="32"/>
          <w:szCs w:val="32"/>
          <w:u w:val="single"/>
          <w:lang w:eastAsia="pl-PL"/>
        </w:rPr>
        <w:t>10</w:t>
      </w:r>
      <w:r>
        <w:rPr>
          <w:rFonts w:eastAsia="Times New Roman" w:cs="Times New Roman"/>
          <w:b/>
          <w:sz w:val="32"/>
          <w:szCs w:val="32"/>
          <w:u w:val="single"/>
          <w:lang w:eastAsia="pl-PL"/>
        </w:rPr>
        <w:t xml:space="preserve"> czerwca 2016 roku</w:t>
      </w:r>
    </w:p>
    <w:p w:rsidR="00575088" w:rsidRDefault="00575088" w:rsidP="00575088">
      <w:pPr>
        <w:spacing w:after="0" w:line="240" w:lineRule="auto"/>
        <w:jc w:val="center"/>
        <w:rPr>
          <w:rFonts w:eastAsia="Times New Roman" w:cs="Times New Roman"/>
          <w:b/>
          <w:sz w:val="32"/>
          <w:szCs w:val="32"/>
          <w:u w:val="single"/>
          <w:lang w:eastAsia="pl-PL"/>
        </w:rPr>
      </w:pPr>
    </w:p>
    <w:p w:rsidR="00575088" w:rsidRDefault="00575088" w:rsidP="00575088">
      <w:pPr>
        <w:spacing w:after="0" w:line="240" w:lineRule="auto"/>
        <w:jc w:val="both"/>
        <w:rPr>
          <w:rFonts w:eastAsia="Times New Roman" w:cs="Times New Roman"/>
          <w:b/>
          <w:sz w:val="26"/>
          <w:szCs w:val="26"/>
          <w:lang w:eastAsia="pl-PL"/>
        </w:rPr>
      </w:pPr>
    </w:p>
    <w:p w:rsidR="00575088" w:rsidRPr="005110E6" w:rsidRDefault="00575088" w:rsidP="00575088">
      <w:pPr>
        <w:spacing w:after="0" w:line="240" w:lineRule="auto"/>
        <w:jc w:val="both"/>
        <w:rPr>
          <w:rFonts w:eastAsia="Times New Roman" w:cs="Times New Roman"/>
          <w:b/>
          <w:sz w:val="32"/>
          <w:szCs w:val="32"/>
          <w:lang w:eastAsia="pl-PL"/>
        </w:rPr>
      </w:pPr>
      <w:r w:rsidRPr="005110E6">
        <w:rPr>
          <w:rFonts w:eastAsia="Times New Roman" w:cs="Times New Roman"/>
          <w:b/>
          <w:sz w:val="32"/>
          <w:szCs w:val="32"/>
          <w:lang w:eastAsia="pl-PL"/>
        </w:rPr>
        <w:t xml:space="preserve">Wprowadzenie </w:t>
      </w:r>
    </w:p>
    <w:p w:rsidR="00575088" w:rsidRPr="005110E6" w:rsidRDefault="00575088" w:rsidP="00575088">
      <w:pPr>
        <w:spacing w:after="0" w:line="240" w:lineRule="auto"/>
        <w:jc w:val="both"/>
        <w:rPr>
          <w:rFonts w:eastAsia="Times New Roman" w:cs="Times New Roman"/>
          <w:sz w:val="32"/>
          <w:szCs w:val="32"/>
          <w:lang w:eastAsia="pl-PL"/>
        </w:rPr>
      </w:pPr>
    </w:p>
    <w:p w:rsidR="00575088" w:rsidRPr="005110E6" w:rsidRDefault="00575088" w:rsidP="00575088">
      <w:pPr>
        <w:spacing w:after="0" w:line="240" w:lineRule="auto"/>
        <w:jc w:val="both"/>
        <w:rPr>
          <w:rFonts w:eastAsia="Times New Roman" w:cs="Times New Roman"/>
          <w:sz w:val="32"/>
          <w:szCs w:val="32"/>
          <w:lang w:eastAsia="pl-PL"/>
        </w:rPr>
      </w:pPr>
      <w:r w:rsidRPr="005110E6">
        <w:rPr>
          <w:rFonts w:eastAsia="Times New Roman" w:cs="Times New Roman"/>
          <w:sz w:val="32"/>
          <w:szCs w:val="32"/>
          <w:lang w:eastAsia="pl-PL"/>
        </w:rPr>
        <w:t xml:space="preserve">Strona internetowa </w:t>
      </w:r>
      <w:hyperlink r:id="rId13" w:history="1">
        <w:r w:rsidRPr="005110E6">
          <w:rPr>
            <w:rStyle w:val="Hipercze"/>
            <w:rFonts w:eastAsia="Times New Roman" w:cs="Times New Roman"/>
            <w:sz w:val="32"/>
            <w:szCs w:val="32"/>
            <w:lang w:eastAsia="pl-PL"/>
          </w:rPr>
          <w:t>http://analizy-rynkowe.pl/</w:t>
        </w:r>
      </w:hyperlink>
      <w:r w:rsidRPr="005110E6">
        <w:rPr>
          <w:rFonts w:eastAsia="Times New Roman" w:cs="Times New Roman"/>
          <w:sz w:val="32"/>
          <w:szCs w:val="32"/>
          <w:lang w:eastAsia="pl-PL"/>
        </w:rPr>
        <w:t xml:space="preserve"> prowadzona jest od września 2014 roku. </w:t>
      </w:r>
    </w:p>
    <w:p w:rsidR="00575088" w:rsidRPr="005110E6" w:rsidRDefault="00575088" w:rsidP="00575088">
      <w:pPr>
        <w:spacing w:after="0" w:line="240" w:lineRule="auto"/>
        <w:jc w:val="both"/>
        <w:rPr>
          <w:rFonts w:eastAsia="Times New Roman" w:cs="Times New Roman"/>
          <w:sz w:val="32"/>
          <w:szCs w:val="32"/>
          <w:lang w:eastAsia="pl-PL"/>
        </w:rPr>
      </w:pPr>
    </w:p>
    <w:p w:rsidR="00575088" w:rsidRPr="005110E6" w:rsidRDefault="00575088" w:rsidP="00575088">
      <w:pPr>
        <w:spacing w:after="0" w:line="240" w:lineRule="auto"/>
        <w:jc w:val="both"/>
        <w:rPr>
          <w:rFonts w:eastAsia="Times New Roman" w:cs="Times New Roman"/>
          <w:sz w:val="32"/>
          <w:szCs w:val="32"/>
          <w:lang w:eastAsia="pl-PL"/>
        </w:rPr>
      </w:pPr>
      <w:r w:rsidRPr="005110E6">
        <w:rPr>
          <w:rFonts w:eastAsia="Times New Roman" w:cs="Times New Roman"/>
          <w:sz w:val="32"/>
          <w:szCs w:val="32"/>
          <w:lang w:eastAsia="pl-PL"/>
        </w:rPr>
        <w:t xml:space="preserve">Co tydzień publikowany jest </w:t>
      </w:r>
      <w:proofErr w:type="gramStart"/>
      <w:r w:rsidRPr="005110E6">
        <w:rPr>
          <w:rFonts w:eastAsia="Times New Roman" w:cs="Times New Roman"/>
          <w:sz w:val="32"/>
          <w:szCs w:val="32"/>
          <w:lang w:eastAsia="pl-PL"/>
        </w:rPr>
        <w:t>,,</w:t>
      </w:r>
      <w:proofErr w:type="gramEnd"/>
      <w:r w:rsidRPr="005110E6">
        <w:rPr>
          <w:rFonts w:eastAsia="Times New Roman" w:cs="Times New Roman"/>
          <w:sz w:val="32"/>
          <w:szCs w:val="32"/>
          <w:lang w:eastAsia="pl-PL"/>
        </w:rPr>
        <w:t>Raport Tygodniowy”</w:t>
      </w:r>
    </w:p>
    <w:p w:rsidR="00575088" w:rsidRPr="005110E6" w:rsidRDefault="00575088" w:rsidP="00575088">
      <w:pPr>
        <w:spacing w:after="0" w:line="240" w:lineRule="auto"/>
        <w:jc w:val="both"/>
        <w:rPr>
          <w:rFonts w:eastAsia="Times New Roman" w:cs="Times New Roman"/>
          <w:sz w:val="32"/>
          <w:szCs w:val="32"/>
          <w:lang w:eastAsia="pl-PL"/>
        </w:rPr>
      </w:pPr>
    </w:p>
    <w:p w:rsidR="00575088" w:rsidRPr="005110E6" w:rsidRDefault="00575088" w:rsidP="00575088">
      <w:pPr>
        <w:spacing w:after="0" w:line="240" w:lineRule="auto"/>
        <w:jc w:val="both"/>
        <w:rPr>
          <w:rFonts w:eastAsia="Times New Roman" w:cs="Times New Roman"/>
          <w:b/>
          <w:color w:val="FF0000"/>
          <w:sz w:val="32"/>
          <w:szCs w:val="32"/>
          <w:lang w:eastAsia="pl-PL"/>
        </w:rPr>
      </w:pPr>
      <w:r w:rsidRPr="005110E6">
        <w:rPr>
          <w:rFonts w:eastAsia="Times New Roman" w:cs="Times New Roman"/>
          <w:sz w:val="32"/>
          <w:szCs w:val="32"/>
          <w:lang w:eastAsia="pl-PL"/>
        </w:rPr>
        <w:t xml:space="preserve">Od czasu do czasu umieszczam wybrane spółki w rubryce </w:t>
      </w:r>
      <w:proofErr w:type="gramStart"/>
      <w:r w:rsidRPr="005110E6">
        <w:rPr>
          <w:rFonts w:eastAsia="Times New Roman" w:cs="Times New Roman"/>
          <w:b/>
          <w:color w:val="FF0000"/>
          <w:sz w:val="32"/>
          <w:szCs w:val="32"/>
          <w:lang w:eastAsia="pl-PL"/>
        </w:rPr>
        <w:t>,,</w:t>
      </w:r>
      <w:proofErr w:type="gramEnd"/>
      <w:r w:rsidRPr="005110E6">
        <w:rPr>
          <w:rFonts w:eastAsia="Times New Roman" w:cs="Times New Roman"/>
          <w:b/>
          <w:color w:val="FF0000"/>
          <w:sz w:val="32"/>
          <w:szCs w:val="32"/>
          <w:lang w:eastAsia="pl-PL"/>
        </w:rPr>
        <w:t xml:space="preserve">Wykres do przemyślenia”. </w:t>
      </w:r>
    </w:p>
    <w:p w:rsidR="00575088" w:rsidRPr="005110E6" w:rsidRDefault="00575088" w:rsidP="00575088">
      <w:pPr>
        <w:spacing w:after="0" w:line="240" w:lineRule="auto"/>
        <w:jc w:val="both"/>
        <w:rPr>
          <w:rFonts w:eastAsia="Times New Roman" w:cs="Times New Roman"/>
          <w:sz w:val="32"/>
          <w:szCs w:val="32"/>
          <w:lang w:eastAsia="pl-PL"/>
        </w:rPr>
      </w:pPr>
    </w:p>
    <w:p w:rsidR="00575088" w:rsidRPr="005110E6" w:rsidRDefault="00575088" w:rsidP="00575088">
      <w:pPr>
        <w:spacing w:after="0" w:line="240" w:lineRule="auto"/>
        <w:jc w:val="both"/>
        <w:rPr>
          <w:rFonts w:eastAsia="Times New Roman" w:cs="Times New Roman"/>
          <w:b/>
          <w:color w:val="FF0000"/>
          <w:sz w:val="32"/>
          <w:szCs w:val="32"/>
          <w:lang w:eastAsia="pl-PL"/>
        </w:rPr>
      </w:pPr>
      <w:r w:rsidRPr="005110E6">
        <w:rPr>
          <w:rFonts w:eastAsia="Times New Roman" w:cs="Times New Roman"/>
          <w:sz w:val="32"/>
          <w:szCs w:val="32"/>
          <w:lang w:eastAsia="pl-PL"/>
        </w:rPr>
        <w:t xml:space="preserve">Umieszczane są tam te przykładowe spółki, których kurs </w:t>
      </w:r>
      <w:r w:rsidRPr="005110E6">
        <w:rPr>
          <w:rFonts w:eastAsia="Times New Roman" w:cs="Times New Roman"/>
          <w:b/>
          <w:color w:val="FF0000"/>
          <w:sz w:val="32"/>
          <w:szCs w:val="32"/>
          <w:lang w:eastAsia="pl-PL"/>
        </w:rPr>
        <w:t xml:space="preserve">wybił się z formacji podwójnego dna. </w:t>
      </w:r>
    </w:p>
    <w:p w:rsidR="00575088" w:rsidRPr="005110E6" w:rsidRDefault="00575088" w:rsidP="00575088">
      <w:pPr>
        <w:spacing w:after="0" w:line="240" w:lineRule="auto"/>
        <w:jc w:val="both"/>
        <w:rPr>
          <w:rFonts w:eastAsia="Times New Roman" w:cs="Times New Roman"/>
          <w:sz w:val="32"/>
          <w:szCs w:val="32"/>
          <w:lang w:eastAsia="pl-PL"/>
        </w:rPr>
      </w:pPr>
    </w:p>
    <w:p w:rsidR="00575088" w:rsidRPr="005110E6" w:rsidRDefault="00575088" w:rsidP="00575088">
      <w:pPr>
        <w:spacing w:after="0" w:line="240" w:lineRule="auto"/>
        <w:jc w:val="both"/>
        <w:rPr>
          <w:rFonts w:eastAsia="Times New Roman" w:cs="Times New Roman"/>
          <w:b/>
          <w:sz w:val="32"/>
          <w:szCs w:val="32"/>
          <w:lang w:eastAsia="pl-PL"/>
        </w:rPr>
      </w:pPr>
      <w:r w:rsidRPr="005110E6">
        <w:rPr>
          <w:rFonts w:eastAsia="Times New Roman" w:cs="Times New Roman"/>
          <w:sz w:val="32"/>
          <w:szCs w:val="32"/>
          <w:lang w:eastAsia="pl-PL"/>
        </w:rPr>
        <w:t xml:space="preserve">Formacja podwójnego dna ma </w:t>
      </w:r>
      <w:r w:rsidRPr="005110E6">
        <w:rPr>
          <w:rFonts w:eastAsia="Times New Roman" w:cs="Times New Roman"/>
          <w:b/>
          <w:sz w:val="32"/>
          <w:szCs w:val="32"/>
          <w:lang w:eastAsia="pl-PL"/>
        </w:rPr>
        <w:t xml:space="preserve">2 </w:t>
      </w:r>
      <w:proofErr w:type="gramStart"/>
      <w:r w:rsidRPr="005110E6">
        <w:rPr>
          <w:rFonts w:eastAsia="Times New Roman" w:cs="Times New Roman"/>
          <w:b/>
          <w:sz w:val="32"/>
          <w:szCs w:val="32"/>
          <w:lang w:eastAsia="pl-PL"/>
        </w:rPr>
        <w:t>,,</w:t>
      </w:r>
      <w:proofErr w:type="gramEnd"/>
      <w:r w:rsidRPr="005110E6">
        <w:rPr>
          <w:rFonts w:eastAsia="Times New Roman" w:cs="Times New Roman"/>
          <w:b/>
          <w:sz w:val="32"/>
          <w:szCs w:val="32"/>
          <w:lang w:eastAsia="pl-PL"/>
        </w:rPr>
        <w:t xml:space="preserve">zadania”. </w:t>
      </w:r>
    </w:p>
    <w:p w:rsidR="00575088" w:rsidRPr="005110E6" w:rsidRDefault="00575088" w:rsidP="00575088">
      <w:pPr>
        <w:spacing w:after="0" w:line="240" w:lineRule="auto"/>
        <w:jc w:val="both"/>
        <w:rPr>
          <w:rFonts w:eastAsia="Times New Roman" w:cs="Times New Roman"/>
          <w:sz w:val="32"/>
          <w:szCs w:val="32"/>
          <w:lang w:eastAsia="pl-PL"/>
        </w:rPr>
      </w:pPr>
    </w:p>
    <w:p w:rsidR="00575088" w:rsidRPr="005110E6" w:rsidRDefault="00575088" w:rsidP="00575088">
      <w:pPr>
        <w:spacing w:after="0" w:line="240" w:lineRule="auto"/>
        <w:jc w:val="both"/>
        <w:rPr>
          <w:rFonts w:eastAsia="Times New Roman" w:cs="Times New Roman"/>
          <w:sz w:val="32"/>
          <w:szCs w:val="32"/>
          <w:lang w:eastAsia="pl-PL"/>
        </w:rPr>
      </w:pPr>
      <w:r w:rsidRPr="005110E6">
        <w:rPr>
          <w:rFonts w:eastAsia="Times New Roman" w:cs="Times New Roman"/>
          <w:sz w:val="32"/>
          <w:szCs w:val="32"/>
          <w:lang w:eastAsia="pl-PL"/>
        </w:rPr>
        <w:t xml:space="preserve">Podstawowym, minimalnym </w:t>
      </w:r>
      <w:proofErr w:type="gramStart"/>
      <w:r w:rsidRPr="005110E6">
        <w:rPr>
          <w:rFonts w:eastAsia="Times New Roman" w:cs="Times New Roman"/>
          <w:sz w:val="32"/>
          <w:szCs w:val="32"/>
          <w:lang w:eastAsia="pl-PL"/>
        </w:rPr>
        <w:t>,,</w:t>
      </w:r>
      <w:proofErr w:type="gramEnd"/>
      <w:r w:rsidRPr="005110E6">
        <w:rPr>
          <w:rFonts w:eastAsia="Times New Roman" w:cs="Times New Roman"/>
          <w:sz w:val="32"/>
          <w:szCs w:val="32"/>
          <w:lang w:eastAsia="pl-PL"/>
        </w:rPr>
        <w:t xml:space="preserve">zadaniem” tej formacji jest jej wypełnienie </w:t>
      </w:r>
    </w:p>
    <w:p w:rsidR="00575088" w:rsidRPr="005110E6" w:rsidRDefault="00575088" w:rsidP="00575088">
      <w:pPr>
        <w:spacing w:after="0" w:line="240" w:lineRule="auto"/>
        <w:jc w:val="both"/>
        <w:rPr>
          <w:rFonts w:eastAsia="Times New Roman" w:cs="Times New Roman"/>
          <w:sz w:val="32"/>
          <w:szCs w:val="32"/>
          <w:lang w:eastAsia="pl-PL"/>
        </w:rPr>
      </w:pPr>
    </w:p>
    <w:p w:rsidR="00575088" w:rsidRPr="005110E6" w:rsidRDefault="00575088" w:rsidP="00575088">
      <w:pPr>
        <w:spacing w:after="0" w:line="240" w:lineRule="auto"/>
        <w:jc w:val="both"/>
        <w:rPr>
          <w:rFonts w:eastAsia="Times New Roman" w:cs="Times New Roman"/>
          <w:sz w:val="32"/>
          <w:szCs w:val="32"/>
          <w:lang w:eastAsia="pl-PL"/>
        </w:rPr>
      </w:pPr>
      <w:r w:rsidRPr="005110E6">
        <w:rPr>
          <w:rFonts w:eastAsia="Times New Roman" w:cs="Times New Roman"/>
          <w:sz w:val="32"/>
          <w:szCs w:val="32"/>
          <w:lang w:eastAsia="pl-PL"/>
        </w:rPr>
        <w:t xml:space="preserve">Drugim </w:t>
      </w:r>
      <w:proofErr w:type="gramStart"/>
      <w:r w:rsidRPr="005110E6">
        <w:rPr>
          <w:rFonts w:eastAsia="Times New Roman" w:cs="Times New Roman"/>
          <w:sz w:val="32"/>
          <w:szCs w:val="32"/>
          <w:lang w:eastAsia="pl-PL"/>
        </w:rPr>
        <w:t>,,</w:t>
      </w:r>
      <w:proofErr w:type="gramEnd"/>
      <w:r w:rsidRPr="005110E6">
        <w:rPr>
          <w:rFonts w:eastAsia="Times New Roman" w:cs="Times New Roman"/>
          <w:sz w:val="32"/>
          <w:szCs w:val="32"/>
          <w:lang w:eastAsia="pl-PL"/>
        </w:rPr>
        <w:t xml:space="preserve">zadaniem” tej formacji jest doprowadzenie do zmiany trendu ze spadkowego na wzrostowy. </w:t>
      </w:r>
    </w:p>
    <w:p w:rsidR="00575088" w:rsidRPr="005110E6" w:rsidRDefault="00575088" w:rsidP="00575088">
      <w:pPr>
        <w:spacing w:after="0" w:line="240" w:lineRule="auto"/>
        <w:jc w:val="both"/>
        <w:rPr>
          <w:rFonts w:eastAsia="Times New Roman" w:cs="Times New Roman"/>
          <w:sz w:val="32"/>
          <w:szCs w:val="32"/>
          <w:lang w:eastAsia="pl-PL"/>
        </w:rPr>
      </w:pPr>
    </w:p>
    <w:p w:rsidR="00575088" w:rsidRPr="005110E6" w:rsidRDefault="00575088" w:rsidP="00575088">
      <w:pPr>
        <w:spacing w:after="0" w:line="240" w:lineRule="auto"/>
        <w:jc w:val="both"/>
        <w:rPr>
          <w:rFonts w:eastAsia="Times New Roman" w:cs="Times New Roman"/>
          <w:sz w:val="32"/>
          <w:szCs w:val="32"/>
          <w:lang w:eastAsia="pl-PL"/>
        </w:rPr>
      </w:pPr>
      <w:r w:rsidRPr="005110E6">
        <w:rPr>
          <w:rFonts w:eastAsia="Times New Roman" w:cs="Times New Roman"/>
          <w:sz w:val="32"/>
          <w:szCs w:val="32"/>
          <w:lang w:eastAsia="pl-PL"/>
        </w:rPr>
        <w:t xml:space="preserve">Osobiście wyróżniam </w:t>
      </w:r>
      <w:r w:rsidRPr="005110E6">
        <w:rPr>
          <w:rFonts w:eastAsia="Times New Roman" w:cs="Times New Roman"/>
          <w:b/>
          <w:sz w:val="32"/>
          <w:szCs w:val="32"/>
          <w:lang w:eastAsia="pl-PL"/>
        </w:rPr>
        <w:t>typowe oraz nietypowe podwójne dno.</w:t>
      </w:r>
      <w:r w:rsidRPr="005110E6">
        <w:rPr>
          <w:rFonts w:eastAsia="Times New Roman" w:cs="Times New Roman"/>
          <w:sz w:val="32"/>
          <w:szCs w:val="32"/>
          <w:lang w:eastAsia="pl-PL"/>
        </w:rPr>
        <w:t xml:space="preserve"> </w:t>
      </w:r>
    </w:p>
    <w:p w:rsidR="00575088" w:rsidRPr="005110E6" w:rsidRDefault="00575088" w:rsidP="00575088">
      <w:pPr>
        <w:spacing w:after="0" w:line="240" w:lineRule="auto"/>
        <w:jc w:val="both"/>
        <w:rPr>
          <w:rFonts w:eastAsia="Times New Roman" w:cs="Times New Roman"/>
          <w:sz w:val="32"/>
          <w:szCs w:val="32"/>
          <w:lang w:eastAsia="pl-PL"/>
        </w:rPr>
      </w:pPr>
    </w:p>
    <w:p w:rsidR="00575088" w:rsidRPr="005110E6" w:rsidRDefault="00575088" w:rsidP="00575088">
      <w:pPr>
        <w:spacing w:after="0" w:line="240" w:lineRule="auto"/>
        <w:jc w:val="both"/>
        <w:rPr>
          <w:rFonts w:eastAsia="Times New Roman" w:cs="Times New Roman"/>
          <w:sz w:val="32"/>
          <w:szCs w:val="32"/>
          <w:lang w:eastAsia="pl-PL"/>
        </w:rPr>
      </w:pPr>
      <w:r w:rsidRPr="005110E6">
        <w:rPr>
          <w:rFonts w:eastAsia="Times New Roman" w:cs="Times New Roman"/>
          <w:sz w:val="32"/>
          <w:szCs w:val="32"/>
          <w:lang w:eastAsia="pl-PL"/>
        </w:rPr>
        <w:t xml:space="preserve">Typowa formacja podwójnego dna charakteryzuje się tym, że dołki w formacji kształtują się na poziomie identycznym, bądź prawie identycznym. </w:t>
      </w:r>
    </w:p>
    <w:p w:rsidR="00575088" w:rsidRPr="005110E6" w:rsidRDefault="00575088" w:rsidP="00575088">
      <w:pPr>
        <w:spacing w:after="0" w:line="240" w:lineRule="auto"/>
        <w:jc w:val="both"/>
        <w:rPr>
          <w:rFonts w:eastAsia="Times New Roman" w:cs="Times New Roman"/>
          <w:sz w:val="32"/>
          <w:szCs w:val="32"/>
          <w:lang w:eastAsia="pl-PL"/>
        </w:rPr>
      </w:pPr>
    </w:p>
    <w:p w:rsidR="00575088" w:rsidRPr="005110E6" w:rsidRDefault="00575088" w:rsidP="00575088">
      <w:pPr>
        <w:spacing w:after="0" w:line="240" w:lineRule="auto"/>
        <w:jc w:val="both"/>
        <w:rPr>
          <w:rFonts w:eastAsia="Times New Roman" w:cs="Times New Roman"/>
          <w:sz w:val="32"/>
          <w:szCs w:val="32"/>
          <w:lang w:eastAsia="pl-PL"/>
        </w:rPr>
      </w:pPr>
      <w:r w:rsidRPr="005110E6">
        <w:rPr>
          <w:rFonts w:eastAsia="Times New Roman" w:cs="Times New Roman"/>
          <w:sz w:val="32"/>
          <w:szCs w:val="32"/>
          <w:lang w:eastAsia="pl-PL"/>
        </w:rPr>
        <w:t>Natomiast w przypadku nietypowej formacji podwójnego dna kształtują się one na poziomie zupełnie odmiennym.</w:t>
      </w:r>
    </w:p>
    <w:p w:rsidR="00575088" w:rsidRPr="005110E6" w:rsidRDefault="00575088" w:rsidP="00575088">
      <w:pPr>
        <w:spacing w:after="0" w:line="240" w:lineRule="auto"/>
        <w:jc w:val="both"/>
        <w:rPr>
          <w:rFonts w:eastAsia="Times New Roman" w:cs="Times New Roman"/>
          <w:sz w:val="32"/>
          <w:szCs w:val="32"/>
          <w:lang w:eastAsia="pl-PL"/>
        </w:rPr>
      </w:pPr>
    </w:p>
    <w:p w:rsidR="00575088" w:rsidRPr="005110E6" w:rsidRDefault="00575088" w:rsidP="00575088">
      <w:pPr>
        <w:spacing w:after="0" w:line="240" w:lineRule="auto"/>
        <w:jc w:val="both"/>
        <w:rPr>
          <w:rFonts w:eastAsia="Times New Roman" w:cs="Times New Roman"/>
          <w:b/>
          <w:sz w:val="32"/>
          <w:szCs w:val="32"/>
          <w:lang w:eastAsia="pl-PL"/>
        </w:rPr>
      </w:pPr>
      <w:r w:rsidRPr="005110E6">
        <w:rPr>
          <w:rFonts w:eastAsia="Times New Roman" w:cs="Times New Roman"/>
          <w:sz w:val="32"/>
          <w:szCs w:val="32"/>
          <w:lang w:eastAsia="pl-PL"/>
        </w:rPr>
        <w:t xml:space="preserve">Od pierwszego numeru </w:t>
      </w:r>
      <w:proofErr w:type="gramStart"/>
      <w:r w:rsidRPr="005110E6">
        <w:rPr>
          <w:rFonts w:eastAsia="Times New Roman" w:cs="Times New Roman"/>
          <w:sz w:val="32"/>
          <w:szCs w:val="32"/>
          <w:lang w:eastAsia="pl-PL"/>
        </w:rPr>
        <w:t>,,</w:t>
      </w:r>
      <w:proofErr w:type="gramEnd"/>
      <w:r w:rsidRPr="005110E6">
        <w:rPr>
          <w:rFonts w:eastAsia="Times New Roman" w:cs="Times New Roman"/>
          <w:sz w:val="32"/>
          <w:szCs w:val="32"/>
          <w:lang w:eastAsia="pl-PL"/>
        </w:rPr>
        <w:t xml:space="preserve">Raportu Tygodniowego” postanowiłem, że będę </w:t>
      </w:r>
      <w:r w:rsidRPr="005110E6">
        <w:rPr>
          <w:rFonts w:eastAsia="Times New Roman" w:cs="Times New Roman"/>
          <w:b/>
          <w:sz w:val="32"/>
          <w:szCs w:val="32"/>
          <w:lang w:eastAsia="pl-PL"/>
        </w:rPr>
        <w:t>porównywał</w:t>
      </w:r>
      <w:r w:rsidRPr="005110E6">
        <w:rPr>
          <w:rFonts w:eastAsia="Times New Roman" w:cs="Times New Roman"/>
          <w:sz w:val="32"/>
          <w:szCs w:val="32"/>
          <w:lang w:eastAsia="pl-PL"/>
        </w:rPr>
        <w:t xml:space="preserve"> zachowanie kursu akcji spółki po wprowadzeniu jej do rubryki ,,Wykres do przemyślenia” </w:t>
      </w:r>
      <w:r w:rsidRPr="005110E6">
        <w:rPr>
          <w:rFonts w:eastAsia="Times New Roman" w:cs="Times New Roman"/>
          <w:b/>
          <w:sz w:val="32"/>
          <w:szCs w:val="32"/>
          <w:lang w:eastAsia="pl-PL"/>
        </w:rPr>
        <w:t xml:space="preserve">z zachowaniem indeksu WIG20. </w:t>
      </w:r>
    </w:p>
    <w:p w:rsidR="00575088" w:rsidRPr="005110E6" w:rsidRDefault="00575088" w:rsidP="00575088">
      <w:pPr>
        <w:spacing w:after="0" w:line="240" w:lineRule="auto"/>
        <w:jc w:val="both"/>
        <w:rPr>
          <w:rFonts w:eastAsia="Times New Roman" w:cs="Times New Roman"/>
          <w:sz w:val="36"/>
          <w:szCs w:val="36"/>
          <w:lang w:eastAsia="pl-PL"/>
        </w:rPr>
      </w:pPr>
    </w:p>
    <w:p w:rsidR="00575088" w:rsidRDefault="00575088" w:rsidP="00575088">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 akcji czterech spółek, których akcje zostały wymienione w pierwszym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8 września 2014 roku w rubryce ,,Wykres do przemyślenia” w okresie od 5 września do 4 września 2015 roku oraz procentowa zmiana indeksu WIG 20 w tym okresie. </w:t>
      </w:r>
    </w:p>
    <w:p w:rsidR="00575088" w:rsidRDefault="00575088" w:rsidP="00575088">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05.09.2014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04.09.2015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Immobile</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2,04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2,35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+15,2 %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Akcja spółki Lena</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3,99 zł.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4,44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+11,3 %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 xml:space="preserve">spółki  </w:t>
            </w:r>
            <w:proofErr w:type="spellStart"/>
            <w:r>
              <w:rPr>
                <w:rFonts w:eastAsiaTheme="minorEastAsia"/>
                <w:lang w:eastAsia="pl-PL"/>
              </w:rPr>
              <w:t>Netmedia</w:t>
            </w:r>
            <w:proofErr w:type="spellEnd"/>
            <w:proofErr w:type="gramEnd"/>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3,63 zł.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5,64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+55,4 %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Akcja spółki Rafako</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4,25 zł.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6,72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+58,1 %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 xml:space="preserve">    +35,0 %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2 541,42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2 146,47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-15,5 %</w:t>
            </w:r>
          </w:p>
        </w:tc>
      </w:tr>
    </w:tbl>
    <w:p w:rsidR="00575088" w:rsidRDefault="00575088" w:rsidP="00575088">
      <w:pPr>
        <w:spacing w:after="0" w:line="240" w:lineRule="auto"/>
        <w:jc w:val="both"/>
        <w:rPr>
          <w:rFonts w:ascii="Calibri" w:eastAsia="Times New Roman" w:hAnsi="Calibri" w:cs="Times New Roman"/>
          <w:sz w:val="36"/>
          <w:szCs w:val="36"/>
          <w:u w:val="single"/>
          <w:lang w:eastAsia="pl-PL"/>
        </w:rPr>
      </w:pPr>
    </w:p>
    <w:p w:rsidR="00575088" w:rsidRDefault="00575088" w:rsidP="00575088">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drugim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15 września 2014 roku w rubryce ,,Wykres do przemyślenia” w okresie od 12 września do 11 września 2015 roku oraz procentowa zmiana indeksu WIG 20 w tym okresie. </w:t>
      </w:r>
    </w:p>
    <w:p w:rsidR="00575088" w:rsidRDefault="00575088" w:rsidP="00575088">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12.09.2014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11.09.2015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Akcja spółki Boryszew</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6,50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5,15 zł. </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-20,8 %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 xml:space="preserve">  -20,8 %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2 185,46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-12,5 %</w:t>
            </w:r>
          </w:p>
        </w:tc>
      </w:tr>
    </w:tbl>
    <w:p w:rsidR="00575088" w:rsidRDefault="00575088" w:rsidP="00575088">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16 września na stronie internetowej </w:t>
      </w:r>
      <w:hyperlink r:id="rId14"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15 września do 15 września 2015 roku oraz procentowa zmiana indeksu WIG 20 w tym okresie. </w:t>
      </w:r>
    </w:p>
    <w:p w:rsidR="00575088" w:rsidRDefault="00575088" w:rsidP="00575088">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15.09.2014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15.09.2015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Erbud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26,50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32,90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24,2 %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 xml:space="preserve">  24,2 %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lastRenderedPageBreak/>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2 185,88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-12,2 %</w:t>
            </w:r>
          </w:p>
        </w:tc>
      </w:tr>
    </w:tbl>
    <w:p w:rsidR="00575088" w:rsidRDefault="00575088" w:rsidP="00575088">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trzecim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22 września 2014 roku w rubryce ,,Wykres do przemyślenia” w okresie od 19 września 2014 roku do 18 września 2015 roku oraz procentowa zmiana indeksu WIG 20 w tym okresie. </w:t>
      </w:r>
    </w:p>
    <w:p w:rsidR="00575088" w:rsidRDefault="00575088" w:rsidP="00575088">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19.09.2014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Akcja spółki IF Capital</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1,32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0,98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2,3 %</w:t>
            </w:r>
          </w:p>
        </w:tc>
      </w:tr>
      <w:tr w:rsidR="00575088" w:rsidTr="003F36A6">
        <w:trPr>
          <w:trHeight w:val="310"/>
        </w:trPr>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2,3 %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-13,2 %</w:t>
            </w:r>
          </w:p>
        </w:tc>
      </w:tr>
    </w:tbl>
    <w:p w:rsidR="00575088" w:rsidRDefault="00575088" w:rsidP="00575088">
      <w:pPr>
        <w:spacing w:after="0" w:line="240" w:lineRule="auto"/>
        <w:jc w:val="both"/>
        <w:rPr>
          <w:rFonts w:eastAsiaTheme="minorEastAsia"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25 września na stronie internetowej </w:t>
      </w:r>
      <w:hyperlink r:id="rId15"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24 września 2014 roku do 24 września 2015 roku oraz procentowa zmiana indeksu WIG 20 w tym okresie. </w:t>
      </w:r>
    </w:p>
    <w:p w:rsidR="00575088" w:rsidRDefault="00575088" w:rsidP="00575088">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24.09.2014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Akcja spółki Capital Partners</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1,85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2,40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+29,7 %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+29,7 %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2 082,95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-15,8 %</w:t>
            </w:r>
          </w:p>
        </w:tc>
      </w:tr>
    </w:tbl>
    <w:p w:rsidR="00575088" w:rsidRDefault="00575088" w:rsidP="00575088">
      <w:pPr>
        <w:spacing w:after="0" w:line="240" w:lineRule="auto"/>
        <w:jc w:val="both"/>
        <w:rPr>
          <w:rFonts w:eastAsiaTheme="minorEastAsia" w:cs="Times New Roman"/>
          <w:lang w:eastAsia="pl-PL"/>
        </w:rPr>
      </w:pPr>
    </w:p>
    <w:p w:rsidR="00575088" w:rsidRDefault="00575088" w:rsidP="00575088">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 akcji trzech spółek, których akcje zostały wymienione w czwartym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29 września 2014 roku w rubryce ,,Wykres do przemyślenia” w okresie od 30 września 2014 roku do 25 września 2015 roku oraz procentowa zmiana indeksu WIG 20 w tym okresie. </w:t>
      </w:r>
    </w:p>
    <w:p w:rsidR="00575088" w:rsidRDefault="00575088" w:rsidP="00575088">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26.09.2014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25.09.2015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Asseco</w:t>
            </w:r>
            <w:proofErr w:type="spellEnd"/>
            <w:r>
              <w:rPr>
                <w:rFonts w:eastAsiaTheme="minorEastAsia"/>
                <w:lang w:eastAsia="pl-PL"/>
              </w:rPr>
              <w:t xml:space="preserve"> Poland </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45,64 zł.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54,70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+19,9 %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spółki  CD</w:t>
            </w:r>
            <w:proofErr w:type="gramEnd"/>
            <w:r>
              <w:rPr>
                <w:rFonts w:eastAsiaTheme="minorEastAsia"/>
                <w:lang w:eastAsia="pl-PL"/>
              </w:rPr>
              <w:t xml:space="preserve"> Projekt</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16,59 zł.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26,80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+61,5 %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Sygnity</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17,60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8,82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- 49,9 %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 xml:space="preserve"> +10,5%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2484,02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- 15,8 %</w:t>
            </w:r>
          </w:p>
        </w:tc>
      </w:tr>
    </w:tbl>
    <w:p w:rsidR="00575088" w:rsidRDefault="00575088" w:rsidP="00575088">
      <w:pPr>
        <w:spacing w:after="0" w:line="240" w:lineRule="auto"/>
        <w:rPr>
          <w:rFonts w:ascii="Calibri" w:eastAsia="Times New Roman" w:hAnsi="Calibri" w:cs="Times New Roman"/>
          <w:sz w:val="26"/>
          <w:szCs w:val="26"/>
          <w:u w:val="single"/>
          <w:lang w:eastAsia="pl-PL"/>
        </w:rPr>
      </w:pPr>
    </w:p>
    <w:p w:rsidR="00575088" w:rsidRDefault="00575088" w:rsidP="00575088">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piątym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6 października 2014 roku w rubryce ,,Wykres do przemyślenia” w okresie od 3 października do 2 października 2015 roku oraz procentowa zmiana indeksu WIG 20 w tym okresie. </w:t>
      </w:r>
    </w:p>
    <w:p w:rsidR="00575088" w:rsidRDefault="00575088" w:rsidP="00575088">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03.10.2014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02.10.2015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Akcja spółki Stalprodukt</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244,10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278,15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+13,9 %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+13,9 %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2 444,06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2 036,32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-16,7 %</w:t>
            </w:r>
          </w:p>
        </w:tc>
      </w:tr>
    </w:tbl>
    <w:p w:rsidR="00575088" w:rsidRDefault="00575088" w:rsidP="00575088">
      <w:pPr>
        <w:spacing w:after="0" w:line="240" w:lineRule="auto"/>
        <w:rPr>
          <w:rFonts w:ascii="Calibri" w:eastAsia="Times New Roman" w:hAnsi="Calibri" w:cs="Times New Roman"/>
          <w:sz w:val="26"/>
          <w:szCs w:val="26"/>
          <w:u w:val="single"/>
          <w:lang w:eastAsia="pl-PL"/>
        </w:rPr>
      </w:pPr>
    </w:p>
    <w:p w:rsidR="00575088" w:rsidRDefault="00575088" w:rsidP="00575088">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szóstym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20 października 2014 roku w rubryce ,,Wykres do przemyślenia” w okresie od 17 września do 16 października 2015 roku oraz procentowa zmiana indeksu WIG 20 w tym okresie. </w:t>
      </w:r>
    </w:p>
    <w:p w:rsidR="00575088" w:rsidRDefault="00575088" w:rsidP="00575088">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17.10.2014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16.10.2015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Tauron</w:t>
            </w:r>
            <w:proofErr w:type="spellEnd"/>
            <w:r>
              <w:rPr>
                <w:rFonts w:eastAsiaTheme="minorEastAsia"/>
                <w:lang w:eastAsia="pl-PL"/>
              </w:rPr>
              <w:t xml:space="preserve"> Polska Energia</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5,21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3,23 zł. </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-38,0 %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 xml:space="preserve">  -38,0 %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2 121,94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-11,6 %</w:t>
            </w:r>
          </w:p>
        </w:tc>
      </w:tr>
    </w:tbl>
    <w:p w:rsidR="00575088" w:rsidRDefault="00575088" w:rsidP="00575088">
      <w:pPr>
        <w:spacing w:after="0" w:line="240" w:lineRule="auto"/>
        <w:rPr>
          <w:rFonts w:ascii="Calibri" w:eastAsia="Times New Roman" w:hAnsi="Calibri" w:cs="Times New Roman"/>
          <w:sz w:val="42"/>
          <w:szCs w:val="42"/>
          <w:u w:val="single"/>
          <w:lang w:eastAsia="pl-PL"/>
        </w:rPr>
      </w:pPr>
    </w:p>
    <w:p w:rsidR="00575088" w:rsidRDefault="00575088" w:rsidP="00575088">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22 października na stronie internetowej </w:t>
      </w:r>
      <w:hyperlink r:id="rId16"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21 października do 19 czerwca 2015 roku do 21 października 2015 roku oraz procentowa zmiana indeksu WIG 20 w tym okresie. </w:t>
      </w:r>
    </w:p>
    <w:p w:rsidR="00575088" w:rsidRDefault="00575088" w:rsidP="00575088">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21.10.2014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21.10.2015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Elektrotim</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8,70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18,66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+ 114,5 %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lang w:eastAsia="pl-PL"/>
              </w:rPr>
              <w:t>Akcja spółki Relpol</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color w:val="000000" w:themeColor="text1"/>
                <w:lang w:eastAsia="pl-PL"/>
              </w:rPr>
            </w:pPr>
            <w:r>
              <w:rPr>
                <w:rFonts w:eastAsiaTheme="minorEastAsia"/>
                <w:color w:val="000000" w:themeColor="text1"/>
                <w:lang w:eastAsia="pl-PL"/>
              </w:rPr>
              <w:t xml:space="preserve">6,93 zł.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color w:val="000000" w:themeColor="text1"/>
                <w:lang w:eastAsia="pl-PL"/>
              </w:rPr>
            </w:pPr>
            <w:r>
              <w:rPr>
                <w:rFonts w:eastAsiaTheme="minorEastAsia"/>
                <w:color w:val="000000" w:themeColor="text1"/>
                <w:lang w:eastAsia="pl-PL"/>
              </w:rPr>
              <w:t xml:space="preserve">6,70 zł. </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color w:val="000000" w:themeColor="text1"/>
                <w:lang w:eastAsia="pl-PL"/>
              </w:rPr>
            </w:pPr>
            <w:r>
              <w:rPr>
                <w:rFonts w:eastAsiaTheme="minorEastAsia"/>
                <w:color w:val="000000" w:themeColor="text1"/>
                <w:lang w:eastAsia="pl-PL"/>
              </w:rPr>
              <w:t xml:space="preserve">  -3,3 %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575088" w:rsidRDefault="00575088" w:rsidP="003F36A6">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575088" w:rsidRDefault="00575088" w:rsidP="003F36A6">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 xml:space="preserve">   + 55,6 %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2 423,77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2 105,65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-13,1 %</w:t>
            </w:r>
          </w:p>
        </w:tc>
      </w:tr>
    </w:tbl>
    <w:p w:rsidR="00575088" w:rsidRDefault="00575088" w:rsidP="00575088">
      <w:pPr>
        <w:spacing w:after="0" w:line="240" w:lineRule="auto"/>
        <w:jc w:val="both"/>
        <w:rPr>
          <w:rFonts w:eastAsiaTheme="minorEastAsia" w:cs="Times New Roman"/>
          <w:lang w:eastAsia="pl-PL"/>
        </w:rPr>
      </w:pPr>
    </w:p>
    <w:p w:rsidR="00575088" w:rsidRDefault="00575088" w:rsidP="00575088">
      <w:pPr>
        <w:spacing w:after="0" w:line="240" w:lineRule="auto"/>
        <w:jc w:val="both"/>
        <w:rPr>
          <w:rFonts w:eastAsia="Times New Roman" w:cs="Times New Roman"/>
          <w:sz w:val="26"/>
          <w:szCs w:val="26"/>
          <w:lang w:eastAsia="pl-PL"/>
        </w:rPr>
      </w:pPr>
    </w:p>
    <w:p w:rsidR="00575088" w:rsidRDefault="00575088" w:rsidP="00575088">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siódmym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27 października 2014 roku w rubryce ,,Wykres do przemyślenia” w okresie od 24 października 2014 roku do 23 października 2015 roku oraz procentowa zmiana indeksu WIG 20 w tym okresie. </w:t>
      </w:r>
    </w:p>
    <w:p w:rsidR="00575088" w:rsidRDefault="00575088" w:rsidP="00575088">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24.10.2014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23.10.2015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Tesgas</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4,32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3,70 zł. </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-14,4 %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 xml:space="preserve">  -14,4 %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2 107,43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-13,1 %</w:t>
            </w:r>
          </w:p>
        </w:tc>
      </w:tr>
    </w:tbl>
    <w:p w:rsidR="00575088" w:rsidRDefault="00575088" w:rsidP="00575088">
      <w:pPr>
        <w:spacing w:after="0" w:line="240" w:lineRule="auto"/>
        <w:jc w:val="both"/>
        <w:rPr>
          <w:rFonts w:ascii="Calibri" w:eastAsia="Times New Roman" w:hAnsi="Calibri" w:cs="Times New Roman"/>
          <w:sz w:val="30"/>
          <w:szCs w:val="30"/>
          <w:u w:val="single"/>
          <w:lang w:eastAsia="pl-PL"/>
        </w:rPr>
      </w:pPr>
    </w:p>
    <w:p w:rsidR="00575088" w:rsidRDefault="00575088" w:rsidP="00575088">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3 listopada 2014 roku w rubryce ,,Wykres do przemyślenia” w okresie od 31 października 2014 roku do 30 października 2015 roku oraz procentowa zmiana indeksu WIG 20 w tym okresie. </w:t>
      </w:r>
    </w:p>
    <w:p w:rsidR="00575088" w:rsidRDefault="00575088" w:rsidP="00575088">
      <w:pPr>
        <w:spacing w:after="0" w:line="240" w:lineRule="auto"/>
        <w:jc w:val="both"/>
        <w:rPr>
          <w:rFonts w:eastAsia="Times New Roman" w:cs="Times New Roman"/>
          <w:sz w:val="28"/>
          <w:szCs w:val="28"/>
          <w:lang w:eastAsia="pl-PL"/>
        </w:rPr>
      </w:pP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31.10.2014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30.10.2015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Akcja spółki Enea</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16,00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12,83 zł. </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-19,8 %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 xml:space="preserve">  -19,8 %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2 463,68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2 060,03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-16,4 %</w:t>
            </w:r>
          </w:p>
        </w:tc>
      </w:tr>
    </w:tbl>
    <w:p w:rsidR="00575088" w:rsidRDefault="00575088" w:rsidP="00575088">
      <w:pPr>
        <w:spacing w:after="0" w:line="240" w:lineRule="auto"/>
        <w:jc w:val="both"/>
        <w:rPr>
          <w:rFonts w:ascii="Calibri" w:eastAsia="Times New Roman" w:hAnsi="Calibri" w:cs="Times New Roman"/>
          <w:sz w:val="26"/>
          <w:szCs w:val="26"/>
          <w:u w:val="single"/>
          <w:lang w:eastAsia="pl-PL"/>
        </w:rPr>
      </w:pPr>
    </w:p>
    <w:p w:rsidR="00575088" w:rsidRDefault="00575088" w:rsidP="00575088">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1 grudnia 2014 roku w rubryce ,,Wykres do przemyślenia” w okresie od 28 listopada 2014 roku do 27 listopada 2015 roku oraz procentowa zmiana indeksu WIG 20 w tym okresie. </w:t>
      </w:r>
    </w:p>
    <w:p w:rsidR="00575088" w:rsidRDefault="00575088" w:rsidP="00575088">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28.11.2014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27.11.2015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Procad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1,06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1,84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+73,6 %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+73,6 %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2 416,93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1 936,05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-19,9 %</w:t>
            </w:r>
          </w:p>
        </w:tc>
      </w:tr>
    </w:tbl>
    <w:p w:rsidR="00575088" w:rsidRDefault="00575088" w:rsidP="00575088">
      <w:pPr>
        <w:spacing w:after="0" w:line="240" w:lineRule="auto"/>
        <w:jc w:val="both"/>
        <w:rPr>
          <w:rFonts w:eastAsia="Times New Roman" w:cs="Times New Roman"/>
          <w:sz w:val="26"/>
          <w:szCs w:val="26"/>
          <w:lang w:eastAsia="pl-PL"/>
        </w:rPr>
      </w:pPr>
    </w:p>
    <w:p w:rsidR="00575088" w:rsidRDefault="00575088" w:rsidP="00575088">
      <w:pPr>
        <w:spacing w:after="0" w:line="240" w:lineRule="auto"/>
        <w:jc w:val="both"/>
        <w:rPr>
          <w:rFonts w:eastAsia="Times New Roman" w:cs="Times New Roman"/>
          <w:sz w:val="26"/>
          <w:szCs w:val="26"/>
          <w:lang w:eastAsia="pl-PL"/>
        </w:rPr>
      </w:pPr>
    </w:p>
    <w:p w:rsidR="00575088" w:rsidRDefault="00575088" w:rsidP="00575088">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2 grudnia na stronie internetowej </w:t>
      </w:r>
      <w:hyperlink r:id="rId17"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 grudnia 2014 roku do 1 grudnia 2015 roku procentowa zmiana indeksu WIG 20 w tym okresie. </w:t>
      </w: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01.12.2014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01.12.2015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Akcja spółki PKO BP </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37,65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27,20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-27,8 %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-27,8 %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1 923,94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-20,4 %</w:t>
            </w:r>
          </w:p>
        </w:tc>
      </w:tr>
    </w:tbl>
    <w:p w:rsidR="00575088" w:rsidRDefault="00575088" w:rsidP="00575088">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wymienione w numerze </w:t>
      </w:r>
      <w:proofErr w:type="gramStart"/>
      <w:r>
        <w:rPr>
          <w:rFonts w:eastAsia="Times New Roman" w:cs="Times New Roman"/>
          <w:lang w:eastAsia="pl-PL"/>
        </w:rPr>
        <w:t>,,</w:t>
      </w:r>
      <w:proofErr w:type="gramEnd"/>
      <w:r>
        <w:rPr>
          <w:rFonts w:eastAsia="Times New Roman" w:cs="Times New Roman"/>
          <w:lang w:eastAsia="pl-PL"/>
        </w:rPr>
        <w:t xml:space="preserve">Raportu Tygodniowego” z 15 grudnia 2014 roku w rubryce ,,Wykres do przemyślenia” w okresie od 12 grudnia 2014 roku do 11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12.12.2014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11.12.2015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Mercor</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8,14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8,60 zł. </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+5,7 %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 xml:space="preserve">  +5,7 %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2 360,00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1 757,37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  25,5 %</w:t>
            </w:r>
          </w:p>
        </w:tc>
      </w:tr>
    </w:tbl>
    <w:p w:rsidR="00575088" w:rsidRDefault="00575088" w:rsidP="00575088">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18"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30 grudnia 2014 roku do 23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30.12.2014</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Comarch</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115,50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114,05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-1,3 %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-1,3 %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2 315,94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-19,7  %</w:t>
            </w:r>
          </w:p>
        </w:tc>
      </w:tr>
    </w:tbl>
    <w:p w:rsidR="00575088" w:rsidRDefault="00575088" w:rsidP="00575088">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12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19" w:history="1">
        <w:r>
          <w:rPr>
            <w:rStyle w:val="Hipercze"/>
            <w:rFonts w:eastAsia="Times New Roman" w:cs="Times New Roman"/>
            <w:lang w:eastAsia="pl-PL"/>
          </w:rPr>
          <w:t>www.analizy-rynkowe.</w:t>
        </w:r>
        <w:proofErr w:type="gramStart"/>
        <w:r>
          <w:rPr>
            <w:rStyle w:val="Hipercze"/>
            <w:rFonts w:eastAsia="Times New Roman" w:cs="Times New Roman"/>
            <w:lang w:eastAsia="pl-PL"/>
          </w:rPr>
          <w:t>pl</w:t>
        </w:r>
      </w:hyperlink>
      <w:r>
        <w:rPr>
          <w:rFonts w:eastAsia="Times New Roman" w:cs="Times New Roman"/>
          <w:lang w:eastAsia="pl-PL"/>
        </w:rPr>
        <w:t>na  stronie</w:t>
      </w:r>
      <w:proofErr w:type="gramEnd"/>
      <w:r>
        <w:rPr>
          <w:rFonts w:eastAsia="Times New Roman" w:cs="Times New Roman"/>
          <w:lang w:eastAsia="pl-PL"/>
        </w:rPr>
        <w:t xml:space="preserve"> internetowej </w:t>
      </w:r>
      <w:hyperlink r:id="rId20"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9 stycznia 2015 roku do 8 stycznia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09.01.2015</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08.012016</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Akcja spółki Muza</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3,34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2,84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 -15,0 %0</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-15,0 %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1 725,14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-28,6 %</w:t>
            </w:r>
          </w:p>
        </w:tc>
      </w:tr>
    </w:tbl>
    <w:p w:rsidR="00575088" w:rsidRDefault="00575088" w:rsidP="00575088">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30 stycznia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21"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29 stycznia 2015 roku </w:t>
      </w:r>
      <w:r>
        <w:rPr>
          <w:rFonts w:eastAsia="Times New Roman" w:cs="Times New Roman"/>
          <w:lang w:eastAsia="pl-PL"/>
        </w:rPr>
        <w:t xml:space="preserve">do 29 stycznia 2016 roku  </w:t>
      </w:r>
      <w:r>
        <w:rPr>
          <w:rFonts w:eastAsia="Times New Roman" w:cs="Times New Roman"/>
          <w:sz w:val="26"/>
          <w:szCs w:val="26"/>
          <w:lang w:eastAsia="pl-PL"/>
        </w:rPr>
        <w:t xml:space="preserve">oraz procentowa zmiana indeksu WIG 20 w tym okresie. </w:t>
      </w:r>
    </w:p>
    <w:p w:rsidR="00575088" w:rsidRDefault="00575088" w:rsidP="00575088">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29.01.2015</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29.01.2016</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Akcja spółki Lubawa</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1,11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0,78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-29,7 %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-29,7 %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lang w:eastAsia="pl-PL"/>
              </w:rPr>
            </w:pPr>
            <w:r>
              <w:rPr>
                <w:rFonts w:eastAsiaTheme="minorEastAsia"/>
                <w:lang w:eastAsia="pl-PL"/>
              </w:rPr>
              <w:t>1 780,25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-26,3 %</w:t>
            </w:r>
          </w:p>
        </w:tc>
      </w:tr>
    </w:tbl>
    <w:p w:rsidR="00575088" w:rsidRDefault="00575088" w:rsidP="00575088">
      <w:pPr>
        <w:spacing w:after="0" w:line="240" w:lineRule="auto"/>
        <w:jc w:val="both"/>
        <w:rPr>
          <w:rFonts w:eastAsiaTheme="minorEastAsia" w:cs="Times New Roman"/>
          <w:lang w:eastAsia="pl-PL"/>
        </w:rPr>
      </w:pPr>
    </w:p>
    <w:p w:rsidR="00575088" w:rsidRDefault="00575088" w:rsidP="00575088">
      <w:pPr>
        <w:spacing w:after="0" w:line="240" w:lineRule="auto"/>
        <w:jc w:val="both"/>
        <w:rPr>
          <w:rFonts w:eastAsiaTheme="minorEastAsia" w:cs="Times New Roman"/>
          <w:lang w:eastAsia="pl-PL"/>
        </w:rPr>
      </w:pPr>
    </w:p>
    <w:p w:rsidR="00575088" w:rsidRDefault="00575088" w:rsidP="00575088">
      <w:pPr>
        <w:spacing w:after="0" w:line="240" w:lineRule="auto"/>
        <w:jc w:val="both"/>
        <w:rPr>
          <w:rFonts w:eastAsia="Times New Roman" w:cs="Times New Roman"/>
          <w:sz w:val="30"/>
          <w:szCs w:val="30"/>
          <w:lang w:eastAsia="pl-PL"/>
        </w:rPr>
      </w:pPr>
      <w:r>
        <w:rPr>
          <w:rFonts w:eastAsia="Times New Roman" w:cs="Times New Roman"/>
          <w:sz w:val="30"/>
          <w:szCs w:val="30"/>
          <w:lang w:eastAsia="pl-PL"/>
        </w:rPr>
        <w:t xml:space="preserve">Tabela: Procentowa zmiana ceny akcji spółki, której akcje zostały umieszczone 10 lutego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2"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9 lutego 2015 roku do 9 lutego 2016 roku  oraz procentowa zmiana indeksu WIG 20 w tym okresie. </w:t>
      </w:r>
    </w:p>
    <w:p w:rsidR="00575088" w:rsidRDefault="00575088" w:rsidP="00575088">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09.02.2015</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09.02.2016</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Atrem</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4,50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4,00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-11,1 %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-11,1 %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1 790,87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-24,5%</w:t>
            </w:r>
          </w:p>
        </w:tc>
      </w:tr>
    </w:tbl>
    <w:p w:rsidR="00575088" w:rsidRDefault="00575088" w:rsidP="00575088">
      <w:pPr>
        <w:spacing w:after="0" w:line="240" w:lineRule="auto"/>
        <w:jc w:val="both"/>
        <w:rPr>
          <w:rFonts w:eastAsiaTheme="minorEastAsia" w:cs="Times New Roman"/>
          <w:lang w:eastAsia="pl-PL"/>
        </w:rPr>
      </w:pPr>
    </w:p>
    <w:p w:rsidR="00575088" w:rsidRDefault="00575088" w:rsidP="00575088">
      <w:pPr>
        <w:spacing w:after="0" w:line="240" w:lineRule="auto"/>
        <w:jc w:val="both"/>
        <w:rPr>
          <w:rFonts w:eastAsia="Times New Roman" w:cs="Times New Roman"/>
          <w:lang w:eastAsia="pl-PL"/>
        </w:rPr>
      </w:pPr>
      <w:r>
        <w:rPr>
          <w:rFonts w:eastAsia="Times New Roman" w:cs="Times New Roman"/>
          <w:sz w:val="30"/>
          <w:szCs w:val="30"/>
          <w:lang w:eastAsia="pl-PL"/>
        </w:rPr>
        <w:t xml:space="preserve">Tabela: Procentowa zmiana ceny akcji spółki, której akcje zostały umieszczone 3 marca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3"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2 marca 2015 roku do 2 marca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02.03.2015</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02.03.2016</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Akcja spółki Mostostal Warszawa</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7,57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14,38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+90,0 %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+90,0 %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2 358,25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1 844,57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-21,8 %</w:t>
            </w:r>
          </w:p>
        </w:tc>
      </w:tr>
    </w:tbl>
    <w:p w:rsidR="00575088" w:rsidRDefault="00575088" w:rsidP="00575088">
      <w:pPr>
        <w:spacing w:after="0" w:line="240" w:lineRule="auto"/>
        <w:jc w:val="both"/>
        <w:rPr>
          <w:rFonts w:eastAsia="Times New Roman" w:cs="Times New Roman"/>
          <w:lang w:eastAsia="pl-PL"/>
        </w:rPr>
      </w:pPr>
      <w:r>
        <w:rPr>
          <w:rFonts w:eastAsia="Times New Roman" w:cs="Times New Roman"/>
          <w:sz w:val="30"/>
          <w:szCs w:val="30"/>
          <w:lang w:eastAsia="pl-PL"/>
        </w:rPr>
        <w:lastRenderedPageBreak/>
        <w:t xml:space="preserve">Tabela: Procentowa zmiana ceny akcji spółki, której akcje zostały umieszczone 9 kwietnia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4"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8 kwietnia 2015 roku do 8 kwietnia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08.04.2015</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lang w:eastAsia="pl-PL"/>
              </w:rPr>
            </w:pPr>
            <w:r>
              <w:rPr>
                <w:rFonts w:eastAsiaTheme="minorEastAsia"/>
                <w:lang w:eastAsia="pl-PL"/>
              </w:rPr>
              <w:t>Poziom – 08.04.2016</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Akcja spółki Ceramika Nowa Gala</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1,25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1,44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+15,2 %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+15,2 %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2 424,82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1 919,42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-20,8 %</w:t>
            </w:r>
          </w:p>
        </w:tc>
      </w:tr>
    </w:tbl>
    <w:p w:rsidR="00575088" w:rsidRDefault="00575088" w:rsidP="00575088">
      <w:pPr>
        <w:spacing w:after="0" w:line="240" w:lineRule="auto"/>
        <w:jc w:val="both"/>
        <w:rPr>
          <w:rFonts w:ascii="Calibri" w:eastAsia="Times New Roman" w:hAnsi="Calibri" w:cs="Times New Roman"/>
          <w:sz w:val="90"/>
          <w:szCs w:val="90"/>
          <w:u w:val="single"/>
          <w:lang w:eastAsia="pl-PL"/>
        </w:rPr>
      </w:pPr>
    </w:p>
    <w:p w:rsidR="00575088" w:rsidRDefault="00575088" w:rsidP="00575088">
      <w:pPr>
        <w:spacing w:after="0" w:line="240" w:lineRule="auto"/>
        <w:jc w:val="both"/>
        <w:rPr>
          <w:rFonts w:eastAsia="Times New Roman" w:cs="Times New Roman"/>
          <w:lang w:eastAsia="pl-PL"/>
        </w:rPr>
      </w:pPr>
      <w:r>
        <w:rPr>
          <w:rFonts w:eastAsia="Times New Roman" w:cs="Times New Roman"/>
          <w:sz w:val="30"/>
          <w:szCs w:val="30"/>
          <w:lang w:eastAsia="pl-PL"/>
        </w:rPr>
        <w:t xml:space="preserve">Tabela: Procentowa zmiana ceny akcji spółki, której akcje zostały umieszczone 5 maja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5"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5 maja 2015 roku do 5 maja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Poziom – 04.05.2015</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lang w:eastAsia="pl-PL"/>
              </w:rPr>
            </w:pPr>
            <w:r>
              <w:rPr>
                <w:rFonts w:eastAsiaTheme="minorEastAsia"/>
                <w:lang w:eastAsia="pl-PL"/>
              </w:rPr>
              <w:t>Poziom – 04.05.2016</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Zmiana (w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Akcja spółki Polnord</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11,10 zł.</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12,96 zł.</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+16,8 %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575088" w:rsidRDefault="00575088" w:rsidP="003F36A6">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575088" w:rsidRDefault="00575088" w:rsidP="003F36A6">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b/>
                <w:color w:val="FF0000"/>
                <w:lang w:eastAsia="pl-PL"/>
              </w:rPr>
            </w:pPr>
            <w:r>
              <w:rPr>
                <w:rFonts w:eastAsiaTheme="minorEastAsia"/>
                <w:b/>
                <w:color w:val="FF0000"/>
                <w:lang w:eastAsia="pl-PL"/>
              </w:rPr>
              <w:t>+16,8 %</w:t>
            </w:r>
          </w:p>
        </w:tc>
      </w:tr>
      <w:tr w:rsidR="00575088" w:rsidTr="003F36A6">
        <w:tc>
          <w:tcPr>
            <w:tcW w:w="34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 xml:space="preserve">2 424,82 pkt. </w:t>
            </w:r>
          </w:p>
        </w:tc>
        <w:tc>
          <w:tcPr>
            <w:tcW w:w="2303"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1 865,25 pkt.</w:t>
            </w:r>
          </w:p>
        </w:tc>
        <w:tc>
          <w:tcPr>
            <w:tcW w:w="1134" w:type="dxa"/>
            <w:tcBorders>
              <w:top w:val="single" w:sz="4" w:space="0" w:color="auto"/>
              <w:left w:val="single" w:sz="4" w:space="0" w:color="auto"/>
              <w:bottom w:val="single" w:sz="4" w:space="0" w:color="auto"/>
              <w:right w:val="single" w:sz="4" w:space="0" w:color="auto"/>
            </w:tcBorders>
            <w:hideMark/>
          </w:tcPr>
          <w:p w:rsidR="00575088" w:rsidRDefault="00575088" w:rsidP="003F36A6">
            <w:pPr>
              <w:jc w:val="center"/>
              <w:rPr>
                <w:rFonts w:eastAsiaTheme="minorEastAsia"/>
                <w:lang w:eastAsia="pl-PL"/>
              </w:rPr>
            </w:pPr>
            <w:r>
              <w:rPr>
                <w:rFonts w:eastAsiaTheme="minorEastAsia"/>
                <w:lang w:eastAsia="pl-PL"/>
              </w:rPr>
              <w:t>-26,1 %</w:t>
            </w:r>
          </w:p>
        </w:tc>
      </w:tr>
    </w:tbl>
    <w:p w:rsidR="00575088" w:rsidRPr="004D7555" w:rsidRDefault="00575088" w:rsidP="00575088">
      <w:pPr>
        <w:spacing w:after="0" w:line="240" w:lineRule="auto"/>
        <w:jc w:val="both"/>
        <w:rPr>
          <w:rFonts w:ascii="Calibri" w:eastAsia="Times New Roman" w:hAnsi="Calibri" w:cs="Times New Roman"/>
          <w:sz w:val="40"/>
          <w:szCs w:val="40"/>
          <w:u w:val="single"/>
          <w:lang w:eastAsia="pl-PL"/>
        </w:rPr>
      </w:pPr>
    </w:p>
    <w:p w:rsidR="00575088" w:rsidRPr="004D7555" w:rsidRDefault="00575088" w:rsidP="00575088">
      <w:pPr>
        <w:spacing w:after="0" w:line="240" w:lineRule="auto"/>
        <w:jc w:val="both"/>
        <w:rPr>
          <w:rFonts w:ascii="Calibri" w:eastAsia="Times New Roman" w:hAnsi="Calibri" w:cs="Times New Roman"/>
          <w:sz w:val="36"/>
          <w:szCs w:val="36"/>
          <w:u w:val="single"/>
          <w:lang w:eastAsia="pl-PL"/>
        </w:rPr>
      </w:pPr>
      <w:r w:rsidRPr="004D7555">
        <w:rPr>
          <w:rFonts w:ascii="Calibri" w:eastAsia="Times New Roman" w:hAnsi="Calibri" w:cs="Times New Roman"/>
          <w:sz w:val="36"/>
          <w:szCs w:val="36"/>
          <w:u w:val="single"/>
          <w:lang w:eastAsia="pl-PL"/>
        </w:rPr>
        <w:t>Wniosek końcowy z powyższych rozważań brzmi następująco:</w:t>
      </w:r>
    </w:p>
    <w:p w:rsidR="00575088" w:rsidRPr="004D7555" w:rsidRDefault="00575088" w:rsidP="00575088">
      <w:pPr>
        <w:spacing w:after="0" w:line="240" w:lineRule="auto"/>
        <w:jc w:val="both"/>
        <w:rPr>
          <w:rFonts w:ascii="Calibri" w:eastAsia="Times New Roman" w:hAnsi="Calibri" w:cs="Times New Roman"/>
          <w:color w:val="FF0000"/>
          <w:sz w:val="36"/>
          <w:szCs w:val="36"/>
          <w:u w:val="single"/>
          <w:lang w:eastAsia="pl-PL"/>
        </w:rPr>
      </w:pPr>
    </w:p>
    <w:p w:rsidR="00575088" w:rsidRDefault="00575088" w:rsidP="00575088">
      <w:pPr>
        <w:spacing w:after="0" w:line="240" w:lineRule="auto"/>
        <w:jc w:val="both"/>
        <w:rPr>
          <w:rFonts w:ascii="Calibri" w:eastAsia="Times New Roman" w:hAnsi="Calibri" w:cs="Times New Roman"/>
          <w:b/>
          <w:color w:val="000000" w:themeColor="text1"/>
          <w:sz w:val="36"/>
          <w:szCs w:val="36"/>
          <w:u w:val="single"/>
          <w:lang w:eastAsia="pl-PL"/>
        </w:rPr>
      </w:pPr>
      <w:r w:rsidRPr="004D7555">
        <w:rPr>
          <w:rFonts w:ascii="Calibri" w:eastAsia="Times New Roman" w:hAnsi="Calibri" w:cs="Times New Roman"/>
          <w:color w:val="000000"/>
          <w:sz w:val="36"/>
          <w:szCs w:val="36"/>
          <w:lang w:eastAsia="pl-PL"/>
        </w:rPr>
        <w:t xml:space="preserve">Średnia procentowa zmiana kursu akcji spółki po wprowadzeniu jej do rubryki </w:t>
      </w:r>
      <w:proofErr w:type="gramStart"/>
      <w:r w:rsidRPr="004D7555">
        <w:rPr>
          <w:rFonts w:ascii="Calibri" w:eastAsia="Times New Roman" w:hAnsi="Calibri" w:cs="Times New Roman"/>
          <w:b/>
          <w:color w:val="FF0000"/>
          <w:sz w:val="36"/>
          <w:szCs w:val="36"/>
          <w:lang w:eastAsia="pl-PL"/>
        </w:rPr>
        <w:t>,,</w:t>
      </w:r>
      <w:proofErr w:type="gramEnd"/>
      <w:r w:rsidRPr="004D7555">
        <w:rPr>
          <w:rFonts w:ascii="Calibri" w:eastAsia="Times New Roman" w:hAnsi="Calibri" w:cs="Times New Roman"/>
          <w:b/>
          <w:color w:val="FF0000"/>
          <w:sz w:val="36"/>
          <w:szCs w:val="36"/>
          <w:lang w:eastAsia="pl-PL"/>
        </w:rPr>
        <w:t>Wykres do przemyślenia”</w:t>
      </w:r>
      <w:r w:rsidRPr="004D7555">
        <w:rPr>
          <w:rFonts w:ascii="Calibri" w:eastAsia="Times New Roman" w:hAnsi="Calibri" w:cs="Times New Roman"/>
          <w:color w:val="000000"/>
          <w:sz w:val="36"/>
          <w:szCs w:val="36"/>
          <w:lang w:eastAsia="pl-PL"/>
        </w:rPr>
        <w:t xml:space="preserve"> w okresie 12 pierwszych miesięcy po jej wprowadzeniu do tej rubryki wynosiła </w:t>
      </w:r>
      <w:r w:rsidRPr="004D7555">
        <w:rPr>
          <w:rFonts w:ascii="Calibri" w:eastAsia="Times New Roman" w:hAnsi="Calibri" w:cs="Times New Roman"/>
          <w:b/>
          <w:color w:val="FF0000"/>
          <w:sz w:val="36"/>
          <w:szCs w:val="36"/>
          <w:lang w:eastAsia="pl-PL"/>
        </w:rPr>
        <w:t>plus 14,</w:t>
      </w:r>
      <w:r>
        <w:rPr>
          <w:rFonts w:ascii="Calibri" w:eastAsia="Times New Roman" w:hAnsi="Calibri" w:cs="Times New Roman"/>
          <w:b/>
          <w:color w:val="FF0000"/>
          <w:sz w:val="36"/>
          <w:szCs w:val="36"/>
          <w:lang w:eastAsia="pl-PL"/>
        </w:rPr>
        <w:t>3</w:t>
      </w:r>
      <w:r w:rsidRPr="004D7555">
        <w:rPr>
          <w:rFonts w:ascii="Calibri" w:eastAsia="Times New Roman" w:hAnsi="Calibri" w:cs="Times New Roman"/>
          <w:b/>
          <w:color w:val="FF0000"/>
          <w:sz w:val="36"/>
          <w:szCs w:val="36"/>
          <w:lang w:eastAsia="pl-PL"/>
        </w:rPr>
        <w:t xml:space="preserve"> %.</w:t>
      </w:r>
      <w:r w:rsidRPr="004D7555">
        <w:rPr>
          <w:rFonts w:ascii="Calibri" w:eastAsia="Times New Roman" w:hAnsi="Calibri" w:cs="Times New Roman"/>
          <w:color w:val="FF0000"/>
          <w:sz w:val="36"/>
          <w:szCs w:val="36"/>
          <w:lang w:eastAsia="pl-PL"/>
        </w:rPr>
        <w:t xml:space="preserve"> </w:t>
      </w:r>
      <w:r w:rsidRPr="004D7555">
        <w:rPr>
          <w:rFonts w:ascii="Calibri" w:eastAsia="Times New Roman" w:hAnsi="Calibri" w:cs="Times New Roman"/>
          <w:color w:val="000000" w:themeColor="text1"/>
          <w:sz w:val="36"/>
          <w:szCs w:val="36"/>
          <w:lang w:eastAsia="pl-PL"/>
        </w:rPr>
        <w:t xml:space="preserve">Średnia procentowa zmiana indeksu </w:t>
      </w:r>
      <w:r w:rsidRPr="004D7555">
        <w:rPr>
          <w:rFonts w:ascii="Calibri" w:eastAsia="Times New Roman" w:hAnsi="Calibri" w:cs="Times New Roman"/>
          <w:color w:val="000000" w:themeColor="text1"/>
          <w:sz w:val="36"/>
          <w:szCs w:val="36"/>
          <w:u w:val="single"/>
          <w:lang w:eastAsia="pl-PL"/>
        </w:rPr>
        <w:t xml:space="preserve">WIG20 </w:t>
      </w:r>
      <w:r w:rsidRPr="004D7555">
        <w:rPr>
          <w:rFonts w:ascii="Calibri" w:eastAsia="Times New Roman" w:hAnsi="Calibri" w:cs="Times New Roman"/>
          <w:color w:val="000000" w:themeColor="text1"/>
          <w:sz w:val="36"/>
          <w:szCs w:val="36"/>
          <w:lang w:eastAsia="pl-PL"/>
        </w:rPr>
        <w:t xml:space="preserve">w tym okresie wynosiła </w:t>
      </w:r>
      <w:r w:rsidRPr="004D7555">
        <w:rPr>
          <w:rFonts w:ascii="Calibri" w:eastAsia="Times New Roman" w:hAnsi="Calibri" w:cs="Times New Roman"/>
          <w:b/>
          <w:color w:val="000000" w:themeColor="text1"/>
          <w:sz w:val="36"/>
          <w:szCs w:val="36"/>
          <w:u w:val="single"/>
          <w:lang w:eastAsia="pl-PL"/>
        </w:rPr>
        <w:t>minus 17,</w:t>
      </w:r>
      <w:r>
        <w:rPr>
          <w:rFonts w:ascii="Calibri" w:eastAsia="Times New Roman" w:hAnsi="Calibri" w:cs="Times New Roman"/>
          <w:b/>
          <w:color w:val="000000" w:themeColor="text1"/>
          <w:sz w:val="36"/>
          <w:szCs w:val="36"/>
          <w:u w:val="single"/>
          <w:lang w:eastAsia="pl-PL"/>
        </w:rPr>
        <w:t>8</w:t>
      </w:r>
      <w:r w:rsidRPr="004D7555">
        <w:rPr>
          <w:rFonts w:ascii="Calibri" w:eastAsia="Times New Roman" w:hAnsi="Calibri" w:cs="Times New Roman"/>
          <w:b/>
          <w:color w:val="000000" w:themeColor="text1"/>
          <w:sz w:val="36"/>
          <w:szCs w:val="36"/>
          <w:u w:val="single"/>
          <w:lang w:eastAsia="pl-PL"/>
        </w:rPr>
        <w:t xml:space="preserve"> %. </w:t>
      </w:r>
    </w:p>
    <w:p w:rsidR="00575088" w:rsidRDefault="00575088" w:rsidP="00575088">
      <w:pPr>
        <w:spacing w:after="0" w:line="240" w:lineRule="auto"/>
        <w:jc w:val="both"/>
        <w:rPr>
          <w:rFonts w:ascii="Calibri" w:eastAsia="Times New Roman" w:hAnsi="Calibri" w:cs="Times New Roman"/>
          <w:b/>
          <w:color w:val="000000" w:themeColor="text1"/>
          <w:sz w:val="36"/>
          <w:szCs w:val="36"/>
          <w:u w:val="single"/>
          <w:lang w:eastAsia="pl-PL"/>
        </w:rPr>
      </w:pPr>
    </w:p>
    <w:p w:rsidR="00575088" w:rsidRDefault="00575088" w:rsidP="00575088">
      <w:pPr>
        <w:spacing w:after="0" w:line="240" w:lineRule="auto"/>
        <w:jc w:val="both"/>
        <w:rPr>
          <w:rFonts w:ascii="Calibri" w:eastAsia="Times New Roman" w:hAnsi="Calibri" w:cs="Times New Roman"/>
          <w:b/>
          <w:color w:val="000000" w:themeColor="text1"/>
          <w:sz w:val="36"/>
          <w:szCs w:val="36"/>
          <w:u w:val="single"/>
          <w:lang w:eastAsia="pl-PL"/>
        </w:rPr>
      </w:pPr>
    </w:p>
    <w:p w:rsidR="00575088" w:rsidRDefault="00575088" w:rsidP="00575088">
      <w:pPr>
        <w:spacing w:after="0" w:line="240" w:lineRule="auto"/>
        <w:jc w:val="both"/>
        <w:rPr>
          <w:rFonts w:eastAsia="Times New Roman" w:cs="Times New Roman"/>
          <w:b/>
          <w:lang w:eastAsia="pl-PL"/>
        </w:rPr>
      </w:pPr>
      <w:r>
        <w:rPr>
          <w:rFonts w:eastAsia="Times New Roman" w:cs="Times New Roman"/>
          <w:b/>
          <w:lang w:eastAsia="pl-PL"/>
        </w:rPr>
        <w:lastRenderedPageBreak/>
        <w:t>Wnioski końcowe</w:t>
      </w:r>
    </w:p>
    <w:p w:rsidR="00575088" w:rsidRDefault="00575088" w:rsidP="00575088">
      <w:pPr>
        <w:spacing w:after="0" w:line="240" w:lineRule="auto"/>
        <w:jc w:val="both"/>
        <w:rPr>
          <w:rFonts w:eastAsia="Times New Roman" w:cs="Times New Roman"/>
          <w:lang w:eastAsia="pl-PL"/>
        </w:rPr>
      </w:pPr>
    </w:p>
    <w:p w:rsidR="00575088" w:rsidRDefault="00575088" w:rsidP="00575088">
      <w:pPr>
        <w:numPr>
          <w:ilvl w:val="0"/>
          <w:numId w:val="1"/>
        </w:numPr>
        <w:spacing w:after="0" w:line="240" w:lineRule="auto"/>
        <w:contextualSpacing/>
        <w:jc w:val="both"/>
        <w:rPr>
          <w:rFonts w:eastAsia="Times New Roman" w:cs="Times New Roman"/>
          <w:b/>
          <w:color w:val="FF0000"/>
          <w:lang w:eastAsia="pl-PL"/>
        </w:rPr>
      </w:pPr>
      <w:r>
        <w:rPr>
          <w:rFonts w:eastAsia="Times New Roman" w:cs="Times New Roman"/>
          <w:color w:val="000000" w:themeColor="text1"/>
          <w:lang w:eastAsia="pl-PL"/>
        </w:rPr>
        <w:t xml:space="preserve">Kurs </w:t>
      </w:r>
      <w:r>
        <w:rPr>
          <w:rFonts w:eastAsia="Times New Roman" w:cs="Times New Roman"/>
          <w:lang w:eastAsia="pl-PL"/>
        </w:rPr>
        <w:t xml:space="preserve">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imes New Roman" w:cs="Times New Roman"/>
          <w:b/>
          <w:color w:val="FF0000"/>
          <w:lang w:eastAsia="pl-PL"/>
        </w:rPr>
        <w:t xml:space="preserve">do 4,4252 zł. </w:t>
      </w:r>
    </w:p>
    <w:p w:rsidR="00575088" w:rsidRDefault="00575088" w:rsidP="00575088">
      <w:pPr>
        <w:spacing w:after="0" w:line="240" w:lineRule="auto"/>
        <w:contextualSpacing/>
        <w:jc w:val="both"/>
        <w:rPr>
          <w:rFonts w:eastAsia="Times New Roman" w:cs="Times New Roman"/>
          <w:b/>
          <w:color w:val="FF0000"/>
          <w:lang w:eastAsia="pl-PL"/>
        </w:rPr>
      </w:pPr>
    </w:p>
    <w:p w:rsidR="00575088" w:rsidRDefault="00575088" w:rsidP="00575088">
      <w:pPr>
        <w:numPr>
          <w:ilvl w:val="0"/>
          <w:numId w:val="1"/>
        </w:numPr>
        <w:spacing w:after="0" w:line="240" w:lineRule="auto"/>
        <w:contextualSpacing/>
        <w:jc w:val="both"/>
        <w:rPr>
          <w:rFonts w:eastAsia="Times New Roman" w:cs="Times New Roman"/>
          <w:color w:val="000000" w:themeColor="text1"/>
          <w:lang w:eastAsia="pl-PL"/>
        </w:rPr>
      </w:pPr>
      <w:r>
        <w:rPr>
          <w:rFonts w:eastAsia="Times New Roman" w:cs="Times New Roman"/>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4,3607 zł. Dojście do oporu (szczyt z 26 grudnia 2014 roku) może osłabiło kursu euro (w złotych). W piątek 15 stycznia popyt zaatakował. Przebite zostało roczne maksimum. Można oczekiwać wzrostu w kierunku </w:t>
      </w:r>
      <w:r>
        <w:rPr>
          <w:rFonts w:eastAsia="Times New Roman" w:cs="Times New Roman"/>
          <w:b/>
          <w:color w:val="FF0000"/>
          <w:lang w:eastAsia="pl-PL"/>
        </w:rPr>
        <w:t>4,5644</w:t>
      </w:r>
      <w:r>
        <w:rPr>
          <w:rFonts w:eastAsia="Times New Roman" w:cs="Times New Roman"/>
          <w:color w:val="FF0000"/>
          <w:lang w:eastAsia="pl-PL"/>
        </w:rPr>
        <w:t xml:space="preserve"> </w:t>
      </w:r>
      <w:r>
        <w:rPr>
          <w:rFonts w:eastAsia="Times New Roman" w:cs="Times New Roman"/>
          <w:lang w:eastAsia="pl-PL"/>
        </w:rPr>
        <w:t>(szczyt z 13 grudnia 2011 roku).</w:t>
      </w:r>
    </w:p>
    <w:p w:rsidR="00575088" w:rsidRDefault="00575088" w:rsidP="00575088">
      <w:pPr>
        <w:spacing w:after="0" w:line="240" w:lineRule="auto"/>
        <w:contextualSpacing/>
        <w:jc w:val="both"/>
        <w:rPr>
          <w:rFonts w:eastAsia="Times New Roman" w:cs="Times New Roman"/>
          <w:color w:val="000000" w:themeColor="text1"/>
          <w:lang w:eastAsia="pl-PL"/>
        </w:rPr>
      </w:pPr>
    </w:p>
    <w:p w:rsidR="00575088" w:rsidRPr="009E732D" w:rsidRDefault="00575088" w:rsidP="00575088">
      <w:pPr>
        <w:numPr>
          <w:ilvl w:val="0"/>
          <w:numId w:val="1"/>
        </w:numPr>
        <w:spacing w:after="0" w:line="240" w:lineRule="auto"/>
        <w:contextualSpacing/>
        <w:jc w:val="both"/>
        <w:rPr>
          <w:rFonts w:eastAsia="Times New Roman" w:cs="Times New Roman"/>
          <w:lang w:eastAsia="pl-PL"/>
        </w:rPr>
      </w:pPr>
      <w:r w:rsidRPr="009E732D">
        <w:rPr>
          <w:rFonts w:eastAsia="Times New Roman" w:cs="Times New Roman"/>
          <w:color w:val="000000" w:themeColor="text1"/>
          <w:lang w:eastAsia="pl-PL"/>
        </w:rPr>
        <w:t xml:space="preserve">Zachowanie indeksów giełdowych można badań w rożnych okresach. Spoglądając choćby na okres ostatnich 3 miesięcy można zauważyć, że indeks WIG20 był niestety jednym z najsłabszych indeksów na świecie. Skoro na przestrzeni ostatnich 3 miesięcy zachowanie indeksu WIG20 było stosunkowo słabe w sytuacji relatywnie niezłego zachowania indeksów zagranicznych to można założyć, że w gdyby sytuacja za granica się pogorszyła to wówczas tym bardziej indeks WIG20 mógłby spadać. Naturalnie pewności nie ma, ale ryzyko takiego scenariusza jest spore. Oczywiście wiele zależy właśnie od zachowania indeksów zagranicznym, w tym zwłaszcza indeksu SP 500. Mimo to jest dość prawdopodobne, że będzie grupa spółek, których kurs zachowywać się będzie lepiej od indeksu WIG20. Być może spółką tą będzie </w:t>
      </w:r>
      <w:proofErr w:type="spellStart"/>
      <w:r w:rsidR="009E732D" w:rsidRPr="009E732D">
        <w:rPr>
          <w:rFonts w:eastAsia="Times New Roman" w:cs="Times New Roman"/>
          <w:b/>
          <w:color w:val="FF0000"/>
          <w:lang w:eastAsia="pl-PL"/>
        </w:rPr>
        <w:t>Emperia</w:t>
      </w:r>
      <w:proofErr w:type="spellEnd"/>
      <w:r w:rsidR="009E732D" w:rsidRPr="009E732D">
        <w:rPr>
          <w:rFonts w:eastAsia="Times New Roman" w:cs="Times New Roman"/>
          <w:b/>
          <w:color w:val="FF0000"/>
          <w:lang w:eastAsia="pl-PL"/>
        </w:rPr>
        <w:t xml:space="preserve"> Holding</w:t>
      </w:r>
      <w:r w:rsidRPr="009E732D">
        <w:rPr>
          <w:rFonts w:eastAsia="Times New Roman" w:cs="Times New Roman"/>
          <w:color w:val="000000" w:themeColor="text1"/>
          <w:lang w:eastAsia="pl-PL"/>
        </w:rPr>
        <w:t xml:space="preserve">. </w:t>
      </w:r>
      <w:r w:rsidR="009E732D" w:rsidRPr="009E732D">
        <w:rPr>
          <w:rFonts w:eastAsia="Times New Roman" w:cs="Times New Roman"/>
          <w:color w:val="000000" w:themeColor="text1"/>
          <w:lang w:eastAsia="pl-PL"/>
        </w:rPr>
        <w:t xml:space="preserve">Warto zauważyć, że gdyby kurs akcji tej spółki osiągnął na zamknięciu sesji </w:t>
      </w:r>
      <w:proofErr w:type="gramStart"/>
      <w:r w:rsidR="009E732D" w:rsidRPr="009E732D">
        <w:rPr>
          <w:rFonts w:eastAsia="Times New Roman" w:cs="Times New Roman"/>
          <w:color w:val="000000" w:themeColor="text1"/>
          <w:lang w:eastAsia="pl-PL"/>
        </w:rPr>
        <w:t>kurs co</w:t>
      </w:r>
      <w:proofErr w:type="gramEnd"/>
      <w:r w:rsidR="009E732D" w:rsidRPr="009E732D">
        <w:rPr>
          <w:rFonts w:eastAsia="Times New Roman" w:cs="Times New Roman"/>
          <w:color w:val="000000" w:themeColor="text1"/>
          <w:lang w:eastAsia="pl-PL"/>
        </w:rPr>
        <w:t xml:space="preserve"> najmniej 59 złote i 23 grosze doszłoby do wybicia z formacji podwójnego szczytu. Pojawiłaby się wówczas szansa na wzrost kursu akcji tej spółki do 63 złotych i 79 groszy. Czy do tego </w:t>
      </w:r>
      <w:proofErr w:type="gramStart"/>
      <w:r w:rsidR="009E732D" w:rsidRPr="009E732D">
        <w:rPr>
          <w:rFonts w:eastAsia="Times New Roman" w:cs="Times New Roman"/>
          <w:color w:val="000000" w:themeColor="text1"/>
          <w:lang w:eastAsia="pl-PL"/>
        </w:rPr>
        <w:t xml:space="preserve">dojdzie ? </w:t>
      </w:r>
      <w:proofErr w:type="gramEnd"/>
      <w:r w:rsidR="009E732D" w:rsidRPr="009E732D">
        <w:rPr>
          <w:rFonts w:eastAsia="Times New Roman" w:cs="Times New Roman"/>
          <w:color w:val="000000" w:themeColor="text1"/>
          <w:lang w:eastAsia="pl-PL"/>
        </w:rPr>
        <w:t xml:space="preserve">Czas pokaże. </w:t>
      </w:r>
    </w:p>
    <w:p w:rsidR="009E732D" w:rsidRPr="009E732D" w:rsidRDefault="009E732D" w:rsidP="009E732D">
      <w:pPr>
        <w:spacing w:after="0" w:line="240" w:lineRule="auto"/>
        <w:ind w:left="720"/>
        <w:contextualSpacing/>
        <w:jc w:val="both"/>
        <w:rPr>
          <w:rFonts w:eastAsia="Times New Roman" w:cs="Times New Roman"/>
          <w:lang w:eastAsia="pl-PL"/>
        </w:rPr>
      </w:pPr>
    </w:p>
    <w:p w:rsidR="00575088" w:rsidRDefault="00575088" w:rsidP="00575088">
      <w:pPr>
        <w:spacing w:after="0" w:line="240" w:lineRule="auto"/>
        <w:jc w:val="both"/>
        <w:rPr>
          <w:rFonts w:eastAsia="Times New Roman" w:cs="Times New Roman"/>
          <w:lang w:eastAsia="pl-PL"/>
        </w:rPr>
      </w:pPr>
      <w:r>
        <w:rPr>
          <w:rFonts w:eastAsia="Times New Roman" w:cs="Times New Roman"/>
          <w:lang w:eastAsia="pl-PL"/>
        </w:rPr>
        <w:t xml:space="preserve">Opracował: Sławomir Kłusek, </w:t>
      </w:r>
      <w:r w:rsidR="009E732D">
        <w:rPr>
          <w:rFonts w:eastAsia="Times New Roman" w:cs="Times New Roman"/>
          <w:lang w:eastAsia="pl-PL"/>
        </w:rPr>
        <w:t>13</w:t>
      </w:r>
      <w:r>
        <w:rPr>
          <w:rFonts w:eastAsia="Times New Roman" w:cs="Times New Roman"/>
          <w:lang w:eastAsia="pl-PL"/>
        </w:rPr>
        <w:t xml:space="preserve"> czerwca 2016 roku</w:t>
      </w:r>
    </w:p>
    <w:p w:rsidR="00575088" w:rsidRDefault="00575088" w:rsidP="00575088">
      <w:pPr>
        <w:spacing w:after="0" w:line="240" w:lineRule="auto"/>
        <w:jc w:val="both"/>
        <w:rPr>
          <w:rFonts w:eastAsia="Times New Roman" w:cs="Times New Roman"/>
          <w:lang w:eastAsia="pl-PL"/>
        </w:rPr>
      </w:pPr>
    </w:p>
    <w:p w:rsidR="00575088" w:rsidRDefault="00575088" w:rsidP="00575088">
      <w:pPr>
        <w:spacing w:after="0" w:line="240" w:lineRule="auto"/>
        <w:jc w:val="both"/>
        <w:rPr>
          <w:rFonts w:eastAsia="Times New Roman" w:cs="Times New Roman"/>
          <w:lang w:eastAsia="pl-PL"/>
        </w:rPr>
      </w:pPr>
      <w:r>
        <w:rPr>
          <w:rFonts w:eastAsia="Times New Roman" w:cs="Times New Roman"/>
          <w:lang w:eastAsia="pl-PL"/>
        </w:rPr>
        <w:t xml:space="preserve">Powyższy raport stanowi wyłącznie wyraz osobistych opinii autora. </w:t>
      </w:r>
    </w:p>
    <w:p w:rsidR="00575088" w:rsidRDefault="00575088" w:rsidP="00575088">
      <w:pPr>
        <w:spacing w:after="0" w:line="240" w:lineRule="auto"/>
        <w:jc w:val="both"/>
        <w:rPr>
          <w:rFonts w:eastAsia="Times New Roman" w:cs="Times New Roman"/>
          <w:lang w:eastAsia="pl-PL"/>
        </w:rPr>
      </w:pPr>
    </w:p>
    <w:p w:rsidR="00575088" w:rsidRDefault="00575088" w:rsidP="00575088">
      <w:pPr>
        <w:spacing w:after="0" w:line="240" w:lineRule="auto"/>
        <w:jc w:val="both"/>
        <w:rPr>
          <w:rFonts w:eastAsia="Times New Roman" w:cs="Times New Roman"/>
          <w:lang w:eastAsia="pl-PL"/>
        </w:rPr>
      </w:pPr>
      <w:r>
        <w:rPr>
          <w:rFonts w:eastAsia="Times New Roman" w:cs="Times New Roman"/>
          <w:lang w:eastAsia="pl-PL"/>
        </w:rPr>
        <w:t xml:space="preserve">Treści zawarte na stronie internetowej </w:t>
      </w:r>
      <w:hyperlink r:id="rId26" w:history="1">
        <w:r>
          <w:rPr>
            <w:rStyle w:val="Hipercze"/>
            <w:rFonts w:eastAsia="Times New Roman" w:cs="Times New Roman"/>
            <w:lang w:eastAsia="pl-PL"/>
          </w:rPr>
          <w:t>www.analizy-rynkowe.pl</w:t>
        </w:r>
      </w:hyperlink>
      <w:r>
        <w:rPr>
          <w:rFonts w:eastAsia="Times New Roman" w:cs="Times New Roman"/>
          <w:lang w:eastAsia="pl-PL"/>
        </w:rPr>
        <w:t xml:space="preserve"> nie stanowią "rekomendacji" w rozumieniu przepisów Rozporządzenia Ministra Finansów z dnia 19 października 2005 r. w sprawie informacji stanowiących rekomendacje dotyczące instrumentów finansowych, lub ich emitentów (</w:t>
      </w:r>
      <w:proofErr w:type="spellStart"/>
      <w:r>
        <w:rPr>
          <w:rFonts w:eastAsia="Times New Roman" w:cs="Times New Roman"/>
          <w:lang w:eastAsia="pl-PL"/>
        </w:rPr>
        <w:t>Dz.U</w:t>
      </w:r>
      <w:proofErr w:type="spellEnd"/>
      <w:r>
        <w:rPr>
          <w:rFonts w:eastAsia="Times New Roman" w:cs="Times New Roman"/>
          <w:lang w:eastAsia="pl-PL"/>
        </w:rPr>
        <w:t xml:space="preserve">. </w:t>
      </w:r>
      <w:proofErr w:type="gramStart"/>
      <w:r>
        <w:rPr>
          <w:rFonts w:eastAsia="Times New Roman" w:cs="Times New Roman"/>
          <w:lang w:eastAsia="pl-PL"/>
        </w:rPr>
        <w:t>z</w:t>
      </w:r>
      <w:proofErr w:type="gramEnd"/>
      <w:r>
        <w:rPr>
          <w:rFonts w:eastAsia="Times New Roman" w:cs="Times New Roman"/>
          <w:lang w:eastAsia="pl-PL"/>
        </w:rPr>
        <w:t xml:space="preserve"> 2005 r. Nr 206, poz. 1715).</w:t>
      </w:r>
    </w:p>
    <w:p w:rsidR="00575088" w:rsidRDefault="00575088" w:rsidP="00575088">
      <w:pPr>
        <w:spacing w:after="0" w:line="240" w:lineRule="auto"/>
        <w:jc w:val="both"/>
        <w:rPr>
          <w:rFonts w:eastAsia="Times New Roman" w:cs="Times New Roman"/>
          <w:lang w:eastAsia="pl-PL"/>
        </w:rPr>
      </w:pPr>
    </w:p>
    <w:p w:rsidR="00575088" w:rsidRDefault="00575088" w:rsidP="00575088">
      <w:pPr>
        <w:spacing w:after="0" w:line="240" w:lineRule="auto"/>
        <w:jc w:val="both"/>
        <w:rPr>
          <w:rFonts w:ascii="Calibri" w:eastAsia="Times New Roman" w:hAnsi="Calibri" w:cs="Times New Roman"/>
          <w:b/>
          <w:color w:val="000000" w:themeColor="text1"/>
          <w:sz w:val="58"/>
          <w:szCs w:val="58"/>
          <w:u w:val="single"/>
          <w:lang w:eastAsia="pl-PL"/>
        </w:rPr>
      </w:pPr>
      <w:r>
        <w:rPr>
          <w:rFonts w:eastAsia="Times New Roman" w:cs="Times New Roman"/>
          <w:lang w:eastAsia="pl-PL"/>
        </w:rPr>
        <w:t xml:space="preserve">Autor nie ponosi odpowiedzialności za jakiekolwiek decyzje inwestycyjne podjęte na podstawie treści zawartych na stronie internetowej </w:t>
      </w:r>
      <w:hyperlink r:id="rId27" w:history="1">
        <w:r>
          <w:rPr>
            <w:rStyle w:val="Hipercze"/>
            <w:rFonts w:eastAsia="Times New Roman" w:cs="Times New Roman"/>
            <w:lang w:eastAsia="pl-PL"/>
          </w:rPr>
          <w:t>www.analizy-rynkowe.pl</w:t>
        </w:r>
      </w:hyperlink>
    </w:p>
    <w:p w:rsidR="00575088" w:rsidRDefault="00575088" w:rsidP="00575088">
      <w:pPr>
        <w:spacing w:after="0" w:line="240" w:lineRule="auto"/>
        <w:jc w:val="both"/>
        <w:rPr>
          <w:sz w:val="26"/>
          <w:szCs w:val="26"/>
        </w:rPr>
      </w:pPr>
    </w:p>
    <w:p w:rsidR="00575088" w:rsidRDefault="00575088" w:rsidP="00575088">
      <w:pPr>
        <w:spacing w:after="0" w:line="240" w:lineRule="auto"/>
        <w:jc w:val="both"/>
        <w:rPr>
          <w:sz w:val="26"/>
          <w:szCs w:val="26"/>
        </w:rPr>
      </w:pPr>
    </w:p>
    <w:p w:rsidR="00575088" w:rsidRDefault="00575088" w:rsidP="00575088">
      <w:pPr>
        <w:spacing w:after="0" w:line="240" w:lineRule="auto"/>
        <w:jc w:val="both"/>
        <w:rPr>
          <w:sz w:val="26"/>
          <w:szCs w:val="26"/>
        </w:rPr>
      </w:pPr>
    </w:p>
    <w:p w:rsidR="00575088" w:rsidRDefault="00575088" w:rsidP="00575088">
      <w:pPr>
        <w:spacing w:after="0" w:line="240" w:lineRule="auto"/>
        <w:jc w:val="both"/>
        <w:rPr>
          <w:sz w:val="26"/>
          <w:szCs w:val="26"/>
        </w:rPr>
      </w:pPr>
    </w:p>
    <w:p w:rsidR="00575088" w:rsidRDefault="00575088" w:rsidP="00575088">
      <w:pPr>
        <w:spacing w:after="0" w:line="240" w:lineRule="auto"/>
        <w:jc w:val="both"/>
        <w:rPr>
          <w:sz w:val="26"/>
          <w:szCs w:val="26"/>
        </w:rPr>
      </w:pPr>
    </w:p>
    <w:p w:rsidR="00575088" w:rsidRDefault="00575088" w:rsidP="00575088"/>
    <w:p w:rsidR="00CF310D" w:rsidRDefault="00CF310D"/>
    <w:sectPr w:rsidR="00CF3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88"/>
    <w:rsid w:val="00276477"/>
    <w:rsid w:val="004041DD"/>
    <w:rsid w:val="00575088"/>
    <w:rsid w:val="009E732D"/>
    <w:rsid w:val="00B95321"/>
    <w:rsid w:val="00BD2B38"/>
    <w:rsid w:val="00CF310D"/>
    <w:rsid w:val="00F25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75088"/>
    <w:pPr>
      <w:spacing w:after="0" w:line="240" w:lineRule="auto"/>
    </w:pPr>
  </w:style>
  <w:style w:type="table" w:styleId="Tabela-Siatka">
    <w:name w:val="Table Grid"/>
    <w:basedOn w:val="Standardowy"/>
    <w:uiPriority w:val="59"/>
    <w:rsid w:val="00575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575088"/>
    <w:rPr>
      <w:color w:val="0000FF" w:themeColor="hyperlink"/>
      <w:u w:val="single"/>
    </w:rPr>
  </w:style>
  <w:style w:type="paragraph" w:styleId="Tekstdymka">
    <w:name w:val="Balloon Text"/>
    <w:basedOn w:val="Normalny"/>
    <w:link w:val="TekstdymkaZnak"/>
    <w:uiPriority w:val="99"/>
    <w:semiHidden/>
    <w:unhideWhenUsed/>
    <w:rsid w:val="005750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088"/>
    <w:rPr>
      <w:rFonts w:ascii="Tahoma" w:hAnsi="Tahoma" w:cs="Tahoma"/>
      <w:sz w:val="16"/>
      <w:szCs w:val="16"/>
    </w:rPr>
  </w:style>
  <w:style w:type="paragraph" w:styleId="Akapitzlist">
    <w:name w:val="List Paragraph"/>
    <w:basedOn w:val="Normalny"/>
    <w:uiPriority w:val="34"/>
    <w:qFormat/>
    <w:rsid w:val="009E7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75088"/>
    <w:pPr>
      <w:spacing w:after="0" w:line="240" w:lineRule="auto"/>
    </w:pPr>
  </w:style>
  <w:style w:type="table" w:styleId="Tabela-Siatka">
    <w:name w:val="Table Grid"/>
    <w:basedOn w:val="Standardowy"/>
    <w:uiPriority w:val="59"/>
    <w:rsid w:val="00575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575088"/>
    <w:rPr>
      <w:color w:val="0000FF" w:themeColor="hyperlink"/>
      <w:u w:val="single"/>
    </w:rPr>
  </w:style>
  <w:style w:type="paragraph" w:styleId="Tekstdymka">
    <w:name w:val="Balloon Text"/>
    <w:basedOn w:val="Normalny"/>
    <w:link w:val="TekstdymkaZnak"/>
    <w:uiPriority w:val="99"/>
    <w:semiHidden/>
    <w:unhideWhenUsed/>
    <w:rsid w:val="005750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088"/>
    <w:rPr>
      <w:rFonts w:ascii="Tahoma" w:hAnsi="Tahoma" w:cs="Tahoma"/>
      <w:sz w:val="16"/>
      <w:szCs w:val="16"/>
    </w:rPr>
  </w:style>
  <w:style w:type="paragraph" w:styleId="Akapitzlist">
    <w:name w:val="List Paragraph"/>
    <w:basedOn w:val="Normalny"/>
    <w:uiPriority w:val="34"/>
    <w:qFormat/>
    <w:rsid w:val="009E7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analizy-rynkowe.pl/" TargetMode="External"/><Relationship Id="rId18" Type="http://schemas.openxmlformats.org/officeDocument/2006/relationships/hyperlink" Target="http://www.analizy-rynkowe.pl" TargetMode="External"/><Relationship Id="rId26" Type="http://schemas.openxmlformats.org/officeDocument/2006/relationships/hyperlink" Target="http://www.analizy-rynkowe.pl" TargetMode="External"/><Relationship Id="rId3" Type="http://schemas.microsoft.com/office/2007/relationships/stylesWithEffects" Target="stylesWithEffects.xml"/><Relationship Id="rId21" Type="http://schemas.openxmlformats.org/officeDocument/2006/relationships/hyperlink" Target="http://www.analizy-rynkowe.pl" TargetMode="External"/><Relationship Id="rId7" Type="http://schemas.openxmlformats.org/officeDocument/2006/relationships/image" Target="media/image2.gif"/><Relationship Id="rId12" Type="http://schemas.openxmlformats.org/officeDocument/2006/relationships/hyperlink" Target="http://www.bankier.pl/gielda/rekomendacje?symbol_char=&amp;symbol=352&amp;instytucja=0&amp;zmiana=all&amp;charakter=0&amp;poziom=0&amp;od=2015-06-14&amp;do=2016-06-13" TargetMode="External"/><Relationship Id="rId17" Type="http://schemas.openxmlformats.org/officeDocument/2006/relationships/hyperlink" Target="http://www.analizy-rynkowe.pl" TargetMode="External"/><Relationship Id="rId25" Type="http://schemas.openxmlformats.org/officeDocument/2006/relationships/hyperlink" Target="http://www.analizy-rynkowe.pl" TargetMode="External"/><Relationship Id="rId2" Type="http://schemas.openxmlformats.org/officeDocument/2006/relationships/styles" Target="styles.xml"/><Relationship Id="rId16" Type="http://schemas.openxmlformats.org/officeDocument/2006/relationships/hyperlink" Target="http://www.analizy-rynkowe.pl" TargetMode="External"/><Relationship Id="rId20" Type="http://schemas.openxmlformats.org/officeDocument/2006/relationships/hyperlink" Target="http://www.analizy-rynkowe.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hyperlink" Target="http://www.analizy-rynkowe.pl" TargetMode="External"/><Relationship Id="rId5" Type="http://schemas.openxmlformats.org/officeDocument/2006/relationships/webSettings" Target="webSettings.xml"/><Relationship Id="rId15" Type="http://schemas.openxmlformats.org/officeDocument/2006/relationships/hyperlink" Target="http://www.analizy-rynkowe.pl" TargetMode="External"/><Relationship Id="rId23" Type="http://schemas.openxmlformats.org/officeDocument/2006/relationships/hyperlink" Target="http://www.analizy-rynkowe.pl" TargetMode="External"/><Relationship Id="rId28" Type="http://schemas.openxmlformats.org/officeDocument/2006/relationships/fontTable" Target="fontTable.xml"/><Relationship Id="rId10" Type="http://schemas.openxmlformats.org/officeDocument/2006/relationships/hyperlink" Target="https://en.wikipedia.org/wiki/Opinion_polling_for_the_United_Kingdom_European_Union_membership_referendum" TargetMode="External"/><Relationship Id="rId19" Type="http://schemas.openxmlformats.org/officeDocument/2006/relationships/hyperlink" Target="http://www.analizy-rynkowe.pl"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analizy-rynkowe.pl" TargetMode="External"/><Relationship Id="rId22" Type="http://schemas.openxmlformats.org/officeDocument/2006/relationships/hyperlink" Target="http://www.analizy-rynkowe.pl" TargetMode="External"/><Relationship Id="rId27" Type="http://schemas.openxmlformats.org/officeDocument/2006/relationships/hyperlink" Target="http://www.analizy-rynk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2930</Words>
  <Characters>17580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2</cp:revision>
  <dcterms:created xsi:type="dcterms:W3CDTF">2016-06-13T05:38:00Z</dcterms:created>
  <dcterms:modified xsi:type="dcterms:W3CDTF">2016-06-13T05:38:00Z</dcterms:modified>
</cp:coreProperties>
</file>