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D5" w:rsidRDefault="000961D5" w:rsidP="000961D5">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Raport</w:t>
      </w:r>
    </w:p>
    <w:p w:rsidR="000961D5" w:rsidRDefault="000961D5" w:rsidP="000961D5">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Tygodniowy</w:t>
      </w:r>
    </w:p>
    <w:p w:rsidR="000961D5" w:rsidRDefault="000961D5" w:rsidP="000961D5">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o</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sytuacji na</w:t>
      </w:r>
    </w:p>
    <w:p w:rsidR="000961D5" w:rsidRDefault="000961D5" w:rsidP="000961D5">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rynkach</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finansowych</w:t>
      </w:r>
    </w:p>
    <w:p w:rsidR="000961D5" w:rsidRDefault="000961D5" w:rsidP="000961D5">
      <w:pPr>
        <w:spacing w:after="0" w:line="240" w:lineRule="auto"/>
        <w:jc w:val="center"/>
        <w:rPr>
          <w:rFonts w:eastAsiaTheme="minorEastAsia"/>
          <w:sz w:val="48"/>
          <w:szCs w:val="48"/>
          <w:lang w:eastAsia="pl-PL"/>
        </w:rPr>
      </w:pPr>
    </w:p>
    <w:p w:rsidR="000961D5" w:rsidRDefault="000961D5" w:rsidP="000961D5">
      <w:pPr>
        <w:spacing w:after="0" w:line="240" w:lineRule="auto"/>
        <w:jc w:val="center"/>
        <w:rPr>
          <w:rFonts w:eastAsiaTheme="minorEastAsia"/>
          <w:sz w:val="48"/>
          <w:szCs w:val="48"/>
          <w:lang w:eastAsia="pl-PL"/>
        </w:rPr>
      </w:pPr>
    </w:p>
    <w:p w:rsidR="000961D5" w:rsidRDefault="000961D5" w:rsidP="000961D5">
      <w:pPr>
        <w:spacing w:after="0" w:line="240" w:lineRule="auto"/>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walutowy</w:t>
      </w:r>
    </w:p>
    <w:p w:rsidR="000961D5" w:rsidRDefault="000961D5" w:rsidP="000961D5">
      <w:pPr>
        <w:spacing w:after="0" w:line="240" w:lineRule="auto"/>
        <w:jc w:val="center"/>
        <w:rPr>
          <w:rFonts w:eastAsiaTheme="minorEastAsia"/>
          <w:sz w:val="100"/>
          <w:szCs w:val="100"/>
          <w:lang w:eastAsia="pl-PL"/>
          <w14:shadow w14:blurRad="50800" w14:dist="38100" w14:dir="2700000" w14:sx="100000" w14:sy="100000" w14:kx="0" w14:ky="0" w14:algn="tl">
            <w14:srgbClr w14:val="000000">
              <w14:alpha w14:val="60000"/>
            </w14:srgbClr>
          </w14:shadow>
        </w:rPr>
      </w:pPr>
    </w:p>
    <w:p w:rsidR="000961D5" w:rsidRDefault="000961D5" w:rsidP="000961D5">
      <w:pPr>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akcji</w:t>
      </w:r>
    </w:p>
    <w:p w:rsidR="000961D5" w:rsidRDefault="000961D5" w:rsidP="000961D5">
      <w:pPr>
        <w:spacing w:after="0" w:line="240" w:lineRule="auto"/>
        <w:jc w:val="both"/>
        <w:rPr>
          <w:sz w:val="26"/>
          <w:szCs w:val="26"/>
        </w:rPr>
      </w:pPr>
    </w:p>
    <w:p w:rsidR="000961D5" w:rsidRDefault="000961D5" w:rsidP="000961D5">
      <w:pPr>
        <w:spacing w:after="0" w:line="240" w:lineRule="auto"/>
        <w:jc w:val="both"/>
        <w:rPr>
          <w:sz w:val="26"/>
          <w:szCs w:val="26"/>
        </w:rPr>
      </w:pPr>
    </w:p>
    <w:p w:rsidR="000961D5" w:rsidRDefault="000961D5" w:rsidP="000961D5">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r>
        <w:rPr>
          <w:rFonts w:eastAsiaTheme="minorEastAsia"/>
          <w:sz w:val="24"/>
          <w:szCs w:val="24"/>
          <w:lang w:eastAsia="pl-PL"/>
          <w14:shadow w14:blurRad="50800" w14:dist="38100" w14:dir="2700000" w14:sx="100000" w14:sy="100000" w14:kx="0" w14:ky="0" w14:algn="tl">
            <w14:srgbClr w14:val="000000">
              <w14:alpha w14:val="60000"/>
            </w14:srgbClr>
          </w14:shadow>
        </w:rPr>
        <w:lastRenderedPageBreak/>
        <w:t>Poniedziałek, 6 czerwca 2016 roku</w:t>
      </w:r>
    </w:p>
    <w:p w:rsidR="000961D5" w:rsidRDefault="000961D5" w:rsidP="000961D5">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 xml:space="preserve">Kurs USD/PLN – perspektywa długoterminowa, kurs </w:t>
      </w:r>
      <w:proofErr w:type="gramStart"/>
      <w:r>
        <w:rPr>
          <w:rFonts w:eastAsiaTheme="minorEastAsia"/>
          <w:lang w:eastAsia="pl-PL"/>
        </w:rPr>
        <w:t>z 3  czerwca</w:t>
      </w:r>
      <w:proofErr w:type="gramEnd"/>
      <w:r>
        <w:rPr>
          <w:rFonts w:eastAsiaTheme="minorEastAsia"/>
          <w:lang w:eastAsia="pl-PL"/>
        </w:rPr>
        <w:t xml:space="preserve"> 2016 roku = 3,8625</w:t>
      </w:r>
    </w:p>
    <w:p w:rsidR="000961D5" w:rsidRDefault="000961D5" w:rsidP="000961D5">
      <w:pPr>
        <w:spacing w:after="0" w:line="240" w:lineRule="auto"/>
        <w:jc w:val="both"/>
        <w:rPr>
          <w:rFonts w:eastAsiaTheme="minorEastAsia"/>
          <w:lang w:eastAsia="pl-PL"/>
        </w:rPr>
      </w:pPr>
    </w:p>
    <w:p w:rsidR="000961D5" w:rsidRDefault="000961D5" w:rsidP="000961D5">
      <w:pPr>
        <w:spacing w:after="0" w:line="240" w:lineRule="auto"/>
        <w:jc w:val="both"/>
        <w:rPr>
          <w:rFonts w:eastAsiaTheme="minorEastAsia"/>
          <w:lang w:eastAsia="pl-PL"/>
        </w:rPr>
      </w:pPr>
      <w:r>
        <w:rPr>
          <w:rFonts w:eastAsiaTheme="minorEastAsia"/>
          <w:noProof/>
          <w:lang w:eastAsia="pl-PL"/>
        </w:rPr>
        <w:drawing>
          <wp:inline distT="0" distB="0" distL="0" distR="0" wp14:anchorId="7933B75A" wp14:editId="500DE29E">
            <wp:extent cx="4829175" cy="29051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0961D5" w:rsidRDefault="000961D5" w:rsidP="000961D5">
      <w:pPr>
        <w:spacing w:after="0" w:line="240" w:lineRule="auto"/>
        <w:jc w:val="both"/>
        <w:rPr>
          <w:rFonts w:eastAsiaTheme="minorEastAsia"/>
          <w:b/>
          <w:color w:val="FF0000"/>
          <w:lang w:eastAsia="pl-PL"/>
        </w:rPr>
      </w:pPr>
      <w:r>
        <w:rPr>
          <w:rFonts w:eastAsiaTheme="minorEastAsia"/>
          <w:lang w:eastAsia="pl-PL"/>
        </w:rP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heme="minorEastAsia"/>
          <w:b/>
          <w:color w:val="FF0000"/>
          <w:lang w:eastAsia="pl-PL"/>
        </w:rPr>
        <w:t xml:space="preserve">do 4,4252 zł. </w:t>
      </w:r>
    </w:p>
    <w:p w:rsidR="000961D5" w:rsidRDefault="000961D5" w:rsidP="000961D5">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EUR/PLN – perspektywa średniookresowa, kurs z 3 czerwca 2016 roku = 4,3862</w:t>
      </w:r>
    </w:p>
    <w:p w:rsidR="000961D5" w:rsidRDefault="000961D5" w:rsidP="000961D5">
      <w:pPr>
        <w:spacing w:after="0" w:line="240" w:lineRule="auto"/>
        <w:jc w:val="both"/>
        <w:rPr>
          <w:rFonts w:eastAsiaTheme="minorEastAsia"/>
          <w:lang w:eastAsia="pl-PL"/>
        </w:rPr>
      </w:pPr>
      <w:r>
        <w:rPr>
          <w:rFonts w:eastAsiaTheme="minorEastAsia"/>
          <w:noProof/>
          <w:lang w:eastAsia="pl-PL"/>
        </w:rPr>
        <w:drawing>
          <wp:inline distT="0" distB="0" distL="0" distR="0" wp14:anchorId="43169EE1" wp14:editId="55D9FAE0">
            <wp:extent cx="4829175" cy="29051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0961D5" w:rsidRDefault="000961D5" w:rsidP="000961D5">
      <w:pPr>
        <w:spacing w:after="0" w:line="240" w:lineRule="auto"/>
        <w:jc w:val="both"/>
        <w:rPr>
          <w:rFonts w:eastAsiaTheme="minorEastAsia"/>
          <w:lang w:eastAsia="pl-PL"/>
        </w:rPr>
      </w:pPr>
    </w:p>
    <w:p w:rsidR="000961D5" w:rsidRPr="007D7A69" w:rsidRDefault="000961D5" w:rsidP="000961D5">
      <w:pPr>
        <w:spacing w:after="0" w:line="240" w:lineRule="auto"/>
        <w:jc w:val="both"/>
        <w:rPr>
          <w:b/>
          <w:sz w:val="26"/>
          <w:szCs w:val="26"/>
          <w:u w:val="single"/>
        </w:rPr>
      </w:pPr>
      <w:r>
        <w:rPr>
          <w:rFonts w:eastAsiaTheme="minorEastAsia"/>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Pr>
          <w:rFonts w:eastAsiaTheme="minorEastAsia"/>
          <w:color w:val="000000" w:themeColor="text1"/>
          <w:lang w:eastAsia="pl-PL"/>
        </w:rPr>
        <w:t xml:space="preserve">4,3607 zł. Dojście do oporu (szczyt z 26 grudnia 2014 roku) może osłabiło kursu euro (w złotych). W piątek 15 stycznia popyt zaatakował. Przebite zostało roczne maksimum. Można oczekiwać wzrostu w kierunku </w:t>
      </w:r>
      <w:r>
        <w:rPr>
          <w:rFonts w:eastAsiaTheme="minorEastAsia"/>
          <w:b/>
          <w:color w:val="FF0000"/>
          <w:lang w:eastAsia="pl-PL"/>
        </w:rPr>
        <w:t>4,5644</w:t>
      </w:r>
      <w:r>
        <w:rPr>
          <w:rFonts w:eastAsiaTheme="minorEastAsia"/>
          <w:color w:val="FF0000"/>
          <w:lang w:eastAsia="pl-PL"/>
        </w:rPr>
        <w:t xml:space="preserve"> </w:t>
      </w:r>
      <w:r>
        <w:rPr>
          <w:rFonts w:eastAsiaTheme="minorEastAsia"/>
          <w:color w:val="000000" w:themeColor="text1"/>
          <w:lang w:eastAsia="pl-PL"/>
        </w:rPr>
        <w:t xml:space="preserve">(szczyt z 13 grudnia 2011 roku). </w:t>
      </w:r>
    </w:p>
    <w:p w:rsidR="000961D5" w:rsidRDefault="000961D5" w:rsidP="000961D5">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7D0C69">
        <w:rPr>
          <w:sz w:val="26"/>
          <w:szCs w:val="26"/>
        </w:rPr>
        <w:lastRenderedPageBreak/>
        <w:t>Indeks WIG20 na przestrzeni ostatnich 3 miesięcy wykazał dużą słabość</w:t>
      </w:r>
    </w:p>
    <w:p w:rsidR="000961D5" w:rsidRDefault="000961D5" w:rsidP="000961D5">
      <w:pPr>
        <w:pStyle w:val="Bezodstpw"/>
        <w:jc w:val="center"/>
        <w:rPr>
          <w:sz w:val="26"/>
          <w:szCs w:val="26"/>
        </w:rPr>
      </w:pPr>
    </w:p>
    <w:p w:rsidR="000961D5" w:rsidRDefault="000961D5" w:rsidP="000961D5">
      <w:pPr>
        <w:pStyle w:val="Bezodstpw"/>
        <w:jc w:val="both"/>
        <w:rPr>
          <w:sz w:val="26"/>
          <w:szCs w:val="26"/>
        </w:rPr>
      </w:pPr>
      <w:r>
        <w:rPr>
          <w:sz w:val="26"/>
          <w:szCs w:val="26"/>
        </w:rPr>
        <w:t>Zachowanie indeksów giełdowych można badań w rożnych okresach. Spoglądając choćby na okres ostatnich 3 miesięcy można zauważyć, że indeks WIG20 był niestety jednym z najsłabszych indeksów na świecie.</w:t>
      </w:r>
    </w:p>
    <w:p w:rsidR="000961D5" w:rsidRDefault="000961D5" w:rsidP="000961D5">
      <w:pPr>
        <w:pStyle w:val="Bezodstpw"/>
        <w:jc w:val="both"/>
        <w:rPr>
          <w:sz w:val="26"/>
          <w:szCs w:val="26"/>
        </w:rPr>
      </w:pPr>
    </w:p>
    <w:p w:rsidR="000961D5" w:rsidRDefault="000961D5" w:rsidP="000961D5">
      <w:pPr>
        <w:pStyle w:val="Bezodstpw"/>
        <w:jc w:val="both"/>
        <w:rPr>
          <w:sz w:val="26"/>
          <w:szCs w:val="26"/>
        </w:rPr>
      </w:pPr>
      <w:r>
        <w:rPr>
          <w:sz w:val="26"/>
          <w:szCs w:val="26"/>
        </w:rPr>
        <w:t>Tabela: Procentowa zmiana indeksów na przestrzeni ostatnich 3 miesięcy</w:t>
      </w:r>
    </w:p>
    <w:p w:rsidR="000961D5" w:rsidRDefault="000961D5" w:rsidP="000961D5">
      <w:pPr>
        <w:pStyle w:val="Bezodstpw"/>
        <w:jc w:val="both"/>
        <w:rPr>
          <w:sz w:val="26"/>
          <w:szCs w:val="26"/>
        </w:rPr>
      </w:pPr>
    </w:p>
    <w:tbl>
      <w:tblPr>
        <w:tblStyle w:val="Tabela-Siatka"/>
        <w:tblW w:w="0" w:type="auto"/>
        <w:tblLook w:val="04A0" w:firstRow="1" w:lastRow="0" w:firstColumn="1" w:lastColumn="0" w:noHBand="0" w:noVBand="1"/>
      </w:tblPr>
      <w:tblGrid>
        <w:gridCol w:w="4606"/>
        <w:gridCol w:w="4606"/>
      </w:tblGrid>
      <w:tr w:rsidR="000961D5" w:rsidTr="0008493D">
        <w:tc>
          <w:tcPr>
            <w:tcW w:w="4606" w:type="dxa"/>
          </w:tcPr>
          <w:p w:rsidR="000961D5" w:rsidRDefault="000961D5" w:rsidP="0008493D">
            <w:pPr>
              <w:pStyle w:val="Bezodstpw"/>
              <w:jc w:val="center"/>
              <w:rPr>
                <w:sz w:val="26"/>
                <w:szCs w:val="26"/>
              </w:rPr>
            </w:pPr>
            <w:r>
              <w:rPr>
                <w:sz w:val="26"/>
                <w:szCs w:val="26"/>
              </w:rPr>
              <w:t>Indeks</w:t>
            </w:r>
          </w:p>
        </w:tc>
        <w:tc>
          <w:tcPr>
            <w:tcW w:w="4606" w:type="dxa"/>
          </w:tcPr>
          <w:p w:rsidR="000961D5" w:rsidRDefault="000961D5" w:rsidP="0008493D">
            <w:pPr>
              <w:pStyle w:val="Bezodstpw"/>
              <w:jc w:val="center"/>
              <w:rPr>
                <w:sz w:val="26"/>
                <w:szCs w:val="26"/>
              </w:rPr>
            </w:pPr>
            <w:r>
              <w:rPr>
                <w:sz w:val="26"/>
                <w:szCs w:val="26"/>
              </w:rPr>
              <w:t>Stopa zwrotu</w:t>
            </w:r>
          </w:p>
        </w:tc>
      </w:tr>
      <w:tr w:rsidR="000961D5" w:rsidTr="0008493D">
        <w:tc>
          <w:tcPr>
            <w:tcW w:w="4606" w:type="dxa"/>
          </w:tcPr>
          <w:p w:rsidR="000961D5" w:rsidRDefault="000961D5" w:rsidP="0008493D">
            <w:pPr>
              <w:pStyle w:val="Bezodstpw"/>
              <w:jc w:val="center"/>
              <w:rPr>
                <w:sz w:val="26"/>
                <w:szCs w:val="26"/>
              </w:rPr>
            </w:pPr>
            <w:r>
              <w:rPr>
                <w:sz w:val="26"/>
                <w:szCs w:val="26"/>
              </w:rPr>
              <w:t>S&amp;P 500 - USA</w:t>
            </w:r>
          </w:p>
        </w:tc>
        <w:tc>
          <w:tcPr>
            <w:tcW w:w="4606" w:type="dxa"/>
          </w:tcPr>
          <w:p w:rsidR="000961D5" w:rsidRDefault="000961D5" w:rsidP="0008493D">
            <w:pPr>
              <w:pStyle w:val="Bezodstpw"/>
              <w:jc w:val="center"/>
              <w:rPr>
                <w:sz w:val="26"/>
                <w:szCs w:val="26"/>
              </w:rPr>
            </w:pPr>
            <w:r>
              <w:rPr>
                <w:sz w:val="26"/>
                <w:szCs w:val="26"/>
              </w:rPr>
              <w:t>+5,3 %</w:t>
            </w:r>
          </w:p>
        </w:tc>
      </w:tr>
      <w:tr w:rsidR="000961D5" w:rsidTr="0008493D">
        <w:tc>
          <w:tcPr>
            <w:tcW w:w="4606" w:type="dxa"/>
          </w:tcPr>
          <w:p w:rsidR="000961D5" w:rsidRDefault="000961D5" w:rsidP="0008493D">
            <w:pPr>
              <w:pStyle w:val="Bezodstpw"/>
              <w:jc w:val="center"/>
              <w:rPr>
                <w:sz w:val="26"/>
                <w:szCs w:val="26"/>
              </w:rPr>
            </w:pPr>
            <w:r>
              <w:rPr>
                <w:sz w:val="26"/>
                <w:szCs w:val="26"/>
              </w:rPr>
              <w:t xml:space="preserve">DAX 30 – Niemcy </w:t>
            </w:r>
          </w:p>
        </w:tc>
        <w:tc>
          <w:tcPr>
            <w:tcW w:w="4606" w:type="dxa"/>
          </w:tcPr>
          <w:p w:rsidR="000961D5" w:rsidRDefault="000961D5" w:rsidP="0008493D">
            <w:pPr>
              <w:pStyle w:val="Bezodstpw"/>
              <w:jc w:val="center"/>
              <w:rPr>
                <w:sz w:val="26"/>
                <w:szCs w:val="26"/>
              </w:rPr>
            </w:pPr>
            <w:r>
              <w:rPr>
                <w:sz w:val="26"/>
                <w:szCs w:val="26"/>
              </w:rPr>
              <w:t>+3,6 %</w:t>
            </w:r>
          </w:p>
        </w:tc>
      </w:tr>
      <w:tr w:rsidR="000961D5" w:rsidTr="0008493D">
        <w:tc>
          <w:tcPr>
            <w:tcW w:w="4606" w:type="dxa"/>
          </w:tcPr>
          <w:p w:rsidR="000961D5" w:rsidRDefault="000961D5" w:rsidP="0008493D">
            <w:pPr>
              <w:pStyle w:val="Bezodstpw"/>
              <w:jc w:val="center"/>
              <w:rPr>
                <w:sz w:val="26"/>
                <w:szCs w:val="26"/>
              </w:rPr>
            </w:pPr>
            <w:r>
              <w:rPr>
                <w:sz w:val="26"/>
                <w:szCs w:val="26"/>
              </w:rPr>
              <w:t xml:space="preserve">CAC 40 – Francja </w:t>
            </w:r>
          </w:p>
        </w:tc>
        <w:tc>
          <w:tcPr>
            <w:tcW w:w="4606" w:type="dxa"/>
          </w:tcPr>
          <w:p w:rsidR="000961D5" w:rsidRDefault="000961D5" w:rsidP="0008493D">
            <w:pPr>
              <w:pStyle w:val="Bezodstpw"/>
              <w:jc w:val="center"/>
              <w:rPr>
                <w:sz w:val="26"/>
                <w:szCs w:val="26"/>
              </w:rPr>
            </w:pPr>
            <w:r>
              <w:rPr>
                <w:sz w:val="26"/>
                <w:szCs w:val="26"/>
              </w:rPr>
              <w:t>+0,1 %</w:t>
            </w:r>
          </w:p>
        </w:tc>
      </w:tr>
      <w:tr w:rsidR="000961D5" w:rsidTr="0008493D">
        <w:tc>
          <w:tcPr>
            <w:tcW w:w="4606" w:type="dxa"/>
          </w:tcPr>
          <w:p w:rsidR="000961D5" w:rsidRDefault="000961D5" w:rsidP="0008493D">
            <w:pPr>
              <w:pStyle w:val="Bezodstpw"/>
              <w:jc w:val="center"/>
              <w:rPr>
                <w:sz w:val="26"/>
                <w:szCs w:val="26"/>
              </w:rPr>
            </w:pPr>
            <w:r>
              <w:rPr>
                <w:sz w:val="26"/>
                <w:szCs w:val="26"/>
              </w:rPr>
              <w:t xml:space="preserve">NIKKEI 225 – Japonia </w:t>
            </w:r>
          </w:p>
        </w:tc>
        <w:tc>
          <w:tcPr>
            <w:tcW w:w="4606" w:type="dxa"/>
          </w:tcPr>
          <w:p w:rsidR="000961D5" w:rsidRDefault="000961D5" w:rsidP="0008493D">
            <w:pPr>
              <w:pStyle w:val="Bezodstpw"/>
              <w:jc w:val="center"/>
              <w:rPr>
                <w:sz w:val="26"/>
                <w:szCs w:val="26"/>
              </w:rPr>
            </w:pPr>
            <w:r>
              <w:rPr>
                <w:sz w:val="26"/>
                <w:szCs w:val="26"/>
              </w:rPr>
              <w:t>-1,9 %</w:t>
            </w:r>
          </w:p>
        </w:tc>
      </w:tr>
      <w:tr w:rsidR="000961D5" w:rsidTr="0008493D">
        <w:tc>
          <w:tcPr>
            <w:tcW w:w="4606" w:type="dxa"/>
          </w:tcPr>
          <w:p w:rsidR="000961D5" w:rsidRDefault="000961D5" w:rsidP="0008493D">
            <w:pPr>
              <w:pStyle w:val="Bezodstpw"/>
              <w:jc w:val="center"/>
              <w:rPr>
                <w:sz w:val="26"/>
                <w:szCs w:val="26"/>
              </w:rPr>
            </w:pPr>
            <w:r>
              <w:rPr>
                <w:sz w:val="26"/>
                <w:szCs w:val="26"/>
              </w:rPr>
              <w:t xml:space="preserve">WIG 20 – Polska </w:t>
            </w:r>
          </w:p>
        </w:tc>
        <w:tc>
          <w:tcPr>
            <w:tcW w:w="4606" w:type="dxa"/>
          </w:tcPr>
          <w:p w:rsidR="000961D5" w:rsidRDefault="000961D5" w:rsidP="0008493D">
            <w:pPr>
              <w:pStyle w:val="Bezodstpw"/>
              <w:jc w:val="center"/>
              <w:rPr>
                <w:sz w:val="26"/>
                <w:szCs w:val="26"/>
              </w:rPr>
            </w:pPr>
            <w:r>
              <w:rPr>
                <w:sz w:val="26"/>
                <w:szCs w:val="26"/>
              </w:rPr>
              <w:t>-4,5 %</w:t>
            </w:r>
          </w:p>
        </w:tc>
      </w:tr>
    </w:tbl>
    <w:p w:rsidR="000961D5" w:rsidRDefault="000961D5" w:rsidP="000961D5">
      <w:pPr>
        <w:pStyle w:val="Bezodstpw"/>
        <w:jc w:val="both"/>
        <w:rPr>
          <w:sz w:val="26"/>
          <w:szCs w:val="26"/>
        </w:rPr>
      </w:pPr>
    </w:p>
    <w:p w:rsidR="000961D5" w:rsidRDefault="000961D5" w:rsidP="000961D5">
      <w:pPr>
        <w:pStyle w:val="Bezodstpw"/>
        <w:jc w:val="both"/>
        <w:rPr>
          <w:sz w:val="26"/>
          <w:szCs w:val="26"/>
        </w:rPr>
      </w:pPr>
      <w:r w:rsidRPr="000961D5">
        <w:rPr>
          <w:b/>
          <w:sz w:val="26"/>
          <w:szCs w:val="26"/>
          <w:u w:val="single"/>
        </w:rPr>
        <w:t>Układ średnich</w:t>
      </w:r>
      <w:r>
        <w:rPr>
          <w:sz w:val="26"/>
          <w:szCs w:val="26"/>
        </w:rPr>
        <w:t xml:space="preserve"> na wykresie indeksu WIG20 jest </w:t>
      </w:r>
      <w:r w:rsidRPr="000961D5">
        <w:rPr>
          <w:b/>
          <w:sz w:val="26"/>
          <w:szCs w:val="26"/>
          <w:u w:val="single"/>
        </w:rPr>
        <w:t>typowy dla bessy</w:t>
      </w:r>
      <w:r>
        <w:rPr>
          <w:sz w:val="26"/>
          <w:szCs w:val="26"/>
        </w:rPr>
        <w:t xml:space="preserve">, co oznacza, że bardziej prawdopodobne są spadki, niż wzrosty. </w:t>
      </w:r>
    </w:p>
    <w:p w:rsidR="000961D5" w:rsidRDefault="000961D5" w:rsidP="000961D5">
      <w:pPr>
        <w:pStyle w:val="Bezodstpw"/>
        <w:jc w:val="both"/>
        <w:rPr>
          <w:sz w:val="26"/>
          <w:szCs w:val="26"/>
        </w:rPr>
      </w:pPr>
    </w:p>
    <w:p w:rsidR="000961D5" w:rsidRDefault="000961D5" w:rsidP="000961D5">
      <w:pPr>
        <w:pStyle w:val="Bezodstpw"/>
        <w:jc w:val="both"/>
        <w:rPr>
          <w:b/>
          <w:sz w:val="26"/>
          <w:szCs w:val="26"/>
          <w:u w:val="single"/>
        </w:rPr>
      </w:pPr>
      <w:r w:rsidRPr="00285FC8">
        <w:rPr>
          <w:b/>
          <w:sz w:val="26"/>
          <w:szCs w:val="26"/>
          <w:u w:val="single"/>
        </w:rPr>
        <w:t>WIG20</w:t>
      </w:r>
    </w:p>
    <w:p w:rsidR="000961D5" w:rsidRDefault="000961D5" w:rsidP="000961D5">
      <w:pPr>
        <w:pStyle w:val="Bezodstpw"/>
        <w:jc w:val="both"/>
        <w:rPr>
          <w:b/>
          <w:sz w:val="26"/>
          <w:szCs w:val="26"/>
          <w:u w:val="single"/>
        </w:rPr>
      </w:pPr>
    </w:p>
    <w:p w:rsidR="000961D5" w:rsidRPr="00285FC8" w:rsidRDefault="000961D5" w:rsidP="000961D5">
      <w:pPr>
        <w:pStyle w:val="Bezodstpw"/>
        <w:jc w:val="both"/>
        <w:rPr>
          <w:b/>
          <w:sz w:val="26"/>
          <w:szCs w:val="26"/>
          <w:u w:val="single"/>
        </w:rPr>
      </w:pPr>
      <w:r>
        <w:rPr>
          <w:b/>
          <w:noProof/>
          <w:sz w:val="26"/>
          <w:szCs w:val="26"/>
          <w:u w:val="single"/>
          <w:lang w:eastAsia="pl-PL"/>
        </w:rPr>
        <w:drawing>
          <wp:inline distT="0" distB="0" distL="0" distR="0" wp14:anchorId="510A0C47" wp14:editId="0985EDA4">
            <wp:extent cx="5429250" cy="3257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0961D5" w:rsidRPr="007D0C69" w:rsidRDefault="000961D5" w:rsidP="000961D5">
      <w:pPr>
        <w:pStyle w:val="Bezodstpw"/>
        <w:jc w:val="both"/>
        <w:rPr>
          <w:sz w:val="26"/>
          <w:szCs w:val="26"/>
        </w:rPr>
      </w:pPr>
    </w:p>
    <w:p w:rsidR="000961D5" w:rsidRDefault="000961D5" w:rsidP="000961D5">
      <w:pPr>
        <w:pStyle w:val="Bezodstpw"/>
        <w:jc w:val="both"/>
        <w:rPr>
          <w:sz w:val="26"/>
          <w:szCs w:val="26"/>
        </w:rPr>
      </w:pPr>
      <w:r>
        <w:rPr>
          <w:sz w:val="26"/>
          <w:szCs w:val="26"/>
        </w:rPr>
        <w:t xml:space="preserve">Skoro na przestrzeni ostatnich 3 miesięcy zachowanie indeksu WIG20 było stosunkowo słabe w sytuacji relatywnie niezłego zachowania indeksów zagranicznych to można założyć, że w gdyby sytuacja za granica się pogorszyła to wówczas tym bardziej indeks WIG20 mógłby spadać. Naturalnie pewności nie ma, ale ryzyko takiego scenariusza jest spore. Oczywiście wiele zależy właśnie od zachowania </w:t>
      </w:r>
      <w:r>
        <w:rPr>
          <w:sz w:val="26"/>
          <w:szCs w:val="26"/>
        </w:rPr>
        <w:lastRenderedPageBreak/>
        <w:t>indeksów zagranicznym, w tym zwłaszcza indeksu SP 500. Warto przyjrzeć się wykresowi na tej stronie.</w:t>
      </w:r>
    </w:p>
    <w:p w:rsidR="000961D5" w:rsidRDefault="000961D5" w:rsidP="000961D5">
      <w:pPr>
        <w:pStyle w:val="Bezodstpw"/>
        <w:jc w:val="both"/>
        <w:rPr>
          <w:sz w:val="26"/>
          <w:szCs w:val="26"/>
        </w:rPr>
      </w:pPr>
    </w:p>
    <w:p w:rsidR="000961D5" w:rsidRDefault="000961D5" w:rsidP="000961D5">
      <w:pPr>
        <w:pStyle w:val="Bezodstpw"/>
        <w:jc w:val="both"/>
        <w:rPr>
          <w:b/>
          <w:sz w:val="26"/>
          <w:szCs w:val="26"/>
          <w:u w:val="single"/>
        </w:rPr>
      </w:pPr>
      <w:r w:rsidRPr="00DB5CD2">
        <w:rPr>
          <w:b/>
          <w:sz w:val="26"/>
          <w:szCs w:val="26"/>
          <w:u w:val="single"/>
        </w:rPr>
        <w:t>S&amp;P500 oraz WIG20</w:t>
      </w:r>
    </w:p>
    <w:p w:rsidR="000961D5" w:rsidRDefault="000961D5" w:rsidP="000961D5">
      <w:pPr>
        <w:pStyle w:val="Bezodstpw"/>
        <w:jc w:val="both"/>
        <w:rPr>
          <w:b/>
          <w:sz w:val="26"/>
          <w:szCs w:val="26"/>
          <w:u w:val="single"/>
        </w:rPr>
      </w:pPr>
    </w:p>
    <w:p w:rsidR="000961D5" w:rsidRPr="00DB5CD2" w:rsidRDefault="000961D5" w:rsidP="000961D5">
      <w:pPr>
        <w:pStyle w:val="Bezodstpw"/>
        <w:jc w:val="both"/>
        <w:rPr>
          <w:b/>
          <w:sz w:val="26"/>
          <w:szCs w:val="26"/>
          <w:u w:val="single"/>
        </w:rPr>
      </w:pPr>
      <w:r>
        <w:rPr>
          <w:b/>
          <w:noProof/>
          <w:sz w:val="26"/>
          <w:szCs w:val="26"/>
          <w:u w:val="single"/>
          <w:lang w:eastAsia="pl-PL"/>
        </w:rPr>
        <w:drawing>
          <wp:inline distT="0" distB="0" distL="0" distR="0" wp14:anchorId="71FA6AFE" wp14:editId="2EE777E1">
            <wp:extent cx="5448300" cy="32670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pic:spPr>
                </pic:pic>
              </a:graphicData>
            </a:graphic>
          </wp:inline>
        </w:drawing>
      </w:r>
    </w:p>
    <w:p w:rsidR="000961D5" w:rsidRDefault="000961D5" w:rsidP="000961D5">
      <w:pPr>
        <w:pStyle w:val="Bezodstpw"/>
        <w:jc w:val="both"/>
        <w:rPr>
          <w:sz w:val="26"/>
          <w:szCs w:val="26"/>
        </w:rPr>
      </w:pPr>
    </w:p>
    <w:p w:rsidR="000961D5" w:rsidRDefault="000961D5" w:rsidP="000961D5">
      <w:pPr>
        <w:pStyle w:val="Bezodstpw"/>
        <w:jc w:val="both"/>
        <w:rPr>
          <w:sz w:val="26"/>
          <w:szCs w:val="26"/>
        </w:rPr>
      </w:pPr>
      <w:r>
        <w:rPr>
          <w:sz w:val="26"/>
          <w:szCs w:val="26"/>
        </w:rPr>
        <w:t xml:space="preserve">Z powyższego wykresu wynika, że w przeszłości zazwyczaj było tak, że silnym falom spadków indeksu S&amp;P500 towarzyszyły silne fale spadków indeksu WIG20. Z kolei silnym falom zwyżek indeksu S&amp;P500 towarzyszyły zazwyczaj silne wzrosty indeksu WIG20. </w:t>
      </w:r>
    </w:p>
    <w:p w:rsidR="000961D5" w:rsidRDefault="000961D5" w:rsidP="000961D5">
      <w:pPr>
        <w:pStyle w:val="Bezodstpw"/>
        <w:jc w:val="both"/>
        <w:rPr>
          <w:sz w:val="26"/>
          <w:szCs w:val="26"/>
        </w:rPr>
      </w:pPr>
    </w:p>
    <w:p w:rsidR="000961D5" w:rsidRDefault="000961D5" w:rsidP="000961D5">
      <w:pPr>
        <w:pStyle w:val="Bezodstpw"/>
        <w:jc w:val="both"/>
        <w:rPr>
          <w:sz w:val="26"/>
          <w:szCs w:val="26"/>
        </w:rPr>
      </w:pPr>
      <w:r>
        <w:rPr>
          <w:sz w:val="26"/>
          <w:szCs w:val="26"/>
        </w:rPr>
        <w:t xml:space="preserve">Teraz popatrzmy na wykres indeksu S&amp;P500. Znajdujemy się w pobliżu istotnych oporów. </w:t>
      </w:r>
    </w:p>
    <w:p w:rsidR="000961D5" w:rsidRDefault="000961D5" w:rsidP="000961D5">
      <w:pPr>
        <w:pStyle w:val="Bezodstpw"/>
        <w:jc w:val="both"/>
        <w:rPr>
          <w:sz w:val="26"/>
          <w:szCs w:val="26"/>
        </w:rPr>
      </w:pPr>
    </w:p>
    <w:p w:rsidR="000961D5" w:rsidRDefault="000961D5" w:rsidP="000961D5">
      <w:pPr>
        <w:pStyle w:val="Bezodstpw"/>
        <w:jc w:val="both"/>
        <w:rPr>
          <w:b/>
          <w:sz w:val="26"/>
          <w:szCs w:val="26"/>
          <w:u w:val="single"/>
        </w:rPr>
      </w:pPr>
      <w:r w:rsidRPr="007D7A69">
        <w:rPr>
          <w:b/>
          <w:sz w:val="26"/>
          <w:szCs w:val="26"/>
          <w:u w:val="single"/>
        </w:rPr>
        <w:t xml:space="preserve">S&amp;500 </w:t>
      </w:r>
    </w:p>
    <w:p w:rsidR="000961D5" w:rsidRDefault="000961D5" w:rsidP="000961D5">
      <w:pPr>
        <w:pStyle w:val="Bezodstpw"/>
        <w:jc w:val="both"/>
        <w:rPr>
          <w:b/>
          <w:sz w:val="26"/>
          <w:szCs w:val="26"/>
          <w:u w:val="single"/>
        </w:rPr>
      </w:pPr>
    </w:p>
    <w:p w:rsidR="000961D5" w:rsidRDefault="000961D5" w:rsidP="000961D5">
      <w:pPr>
        <w:pStyle w:val="Bezodstpw"/>
        <w:jc w:val="both"/>
        <w:rPr>
          <w:b/>
          <w:sz w:val="26"/>
          <w:szCs w:val="26"/>
          <w:u w:val="single"/>
        </w:rPr>
      </w:pPr>
      <w:r>
        <w:rPr>
          <w:b/>
          <w:noProof/>
          <w:sz w:val="26"/>
          <w:szCs w:val="26"/>
          <w:u w:val="single"/>
          <w:lang w:eastAsia="pl-PL"/>
        </w:rPr>
        <w:drawing>
          <wp:inline distT="0" distB="0" distL="0" distR="0" wp14:anchorId="00EEB1E8" wp14:editId="602BC97A">
            <wp:extent cx="3629025" cy="2181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2181225"/>
                    </a:xfrm>
                    <a:prstGeom prst="rect">
                      <a:avLst/>
                    </a:prstGeom>
                    <a:noFill/>
                  </pic:spPr>
                </pic:pic>
              </a:graphicData>
            </a:graphic>
          </wp:inline>
        </w:drawing>
      </w:r>
    </w:p>
    <w:p w:rsidR="000961D5" w:rsidRDefault="000961D5" w:rsidP="000961D5">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Pr>
          <w:sz w:val="26"/>
          <w:szCs w:val="26"/>
        </w:rPr>
        <w:lastRenderedPageBreak/>
        <w:t>Izolacja – pokaz relatywnej siły</w:t>
      </w:r>
    </w:p>
    <w:p w:rsidR="000961D5" w:rsidRDefault="000961D5" w:rsidP="000961D5">
      <w:pPr>
        <w:pStyle w:val="Bezodstpw"/>
        <w:jc w:val="center"/>
        <w:rPr>
          <w:sz w:val="26"/>
          <w:szCs w:val="26"/>
        </w:rPr>
      </w:pPr>
    </w:p>
    <w:p w:rsidR="000961D5" w:rsidRDefault="000961D5" w:rsidP="000961D5">
      <w:pPr>
        <w:pStyle w:val="Bezodstpw"/>
        <w:jc w:val="both"/>
        <w:rPr>
          <w:sz w:val="26"/>
          <w:szCs w:val="26"/>
        </w:rPr>
      </w:pPr>
      <w:r>
        <w:rPr>
          <w:sz w:val="26"/>
          <w:szCs w:val="26"/>
        </w:rPr>
        <w:t xml:space="preserve">Spośród spółek, które znalazły się dotychczas w rubryce </w:t>
      </w:r>
      <w:proofErr w:type="gramStart"/>
      <w:r>
        <w:rPr>
          <w:sz w:val="26"/>
          <w:szCs w:val="26"/>
        </w:rPr>
        <w:t>,,</w:t>
      </w:r>
      <w:proofErr w:type="gramEnd"/>
      <w:r>
        <w:rPr>
          <w:sz w:val="26"/>
          <w:szCs w:val="26"/>
        </w:rPr>
        <w:t xml:space="preserve">Wykres do przemyślenia” na przestrzeni ostatnich 3 miesięcy stosunkowo mocno zachował się kurs akcji spółki Izolacja Jarocin. Warto zauważyć, że na wykresie kursu akcji spółki Izolacja doszło do wybicia z formacji podwójnego dna. </w:t>
      </w:r>
    </w:p>
    <w:p w:rsidR="000961D5" w:rsidRDefault="000961D5" w:rsidP="000961D5">
      <w:pPr>
        <w:pStyle w:val="Bezodstpw"/>
        <w:jc w:val="both"/>
        <w:rPr>
          <w:sz w:val="26"/>
          <w:szCs w:val="26"/>
        </w:rPr>
      </w:pPr>
    </w:p>
    <w:p w:rsidR="000961D5" w:rsidRDefault="000961D5" w:rsidP="000961D5">
      <w:pPr>
        <w:pStyle w:val="Bezodstpw"/>
        <w:jc w:val="both"/>
        <w:rPr>
          <w:sz w:val="26"/>
          <w:szCs w:val="26"/>
        </w:rPr>
      </w:pPr>
      <w:r w:rsidRPr="00C355F9">
        <w:rPr>
          <w:b/>
          <w:sz w:val="26"/>
          <w:szCs w:val="26"/>
          <w:u w:val="single"/>
        </w:rPr>
        <w:t>IZOLACJA</w:t>
      </w:r>
    </w:p>
    <w:p w:rsidR="000961D5" w:rsidRDefault="000961D5" w:rsidP="000961D5">
      <w:pPr>
        <w:pStyle w:val="Bezodstpw"/>
        <w:jc w:val="both"/>
        <w:rPr>
          <w:sz w:val="26"/>
          <w:szCs w:val="26"/>
        </w:rPr>
      </w:pPr>
      <w:r>
        <w:rPr>
          <w:noProof/>
          <w:sz w:val="26"/>
          <w:szCs w:val="26"/>
          <w:lang w:eastAsia="pl-PL"/>
        </w:rPr>
        <w:drawing>
          <wp:inline distT="0" distB="0" distL="0" distR="0" wp14:anchorId="0ADD3001" wp14:editId="62875DC5">
            <wp:extent cx="4829175" cy="29051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0961D5" w:rsidRDefault="000961D5" w:rsidP="000961D5">
      <w:pPr>
        <w:pStyle w:val="Bezodstpw"/>
        <w:jc w:val="both"/>
        <w:rPr>
          <w:sz w:val="26"/>
          <w:szCs w:val="26"/>
        </w:rPr>
      </w:pPr>
    </w:p>
    <w:p w:rsidR="000961D5" w:rsidRDefault="000961D5" w:rsidP="000961D5">
      <w:pPr>
        <w:pStyle w:val="Bezodstpw"/>
        <w:jc w:val="both"/>
        <w:rPr>
          <w:b/>
          <w:sz w:val="26"/>
          <w:szCs w:val="26"/>
          <w:u w:val="single"/>
        </w:rPr>
      </w:pPr>
      <w:r w:rsidRPr="00C355F9">
        <w:rPr>
          <w:b/>
          <w:sz w:val="26"/>
          <w:szCs w:val="26"/>
          <w:u w:val="single"/>
        </w:rPr>
        <w:t>IZOLACJA/WIG20</w:t>
      </w:r>
    </w:p>
    <w:p w:rsidR="000961D5" w:rsidRDefault="000961D5" w:rsidP="000961D5">
      <w:pPr>
        <w:pStyle w:val="Bezodstpw"/>
        <w:jc w:val="both"/>
        <w:rPr>
          <w:sz w:val="26"/>
          <w:szCs w:val="26"/>
        </w:rPr>
      </w:pPr>
      <w:r>
        <w:rPr>
          <w:noProof/>
          <w:sz w:val="26"/>
          <w:szCs w:val="26"/>
          <w:lang w:eastAsia="pl-PL"/>
        </w:rPr>
        <w:drawing>
          <wp:inline distT="0" distB="0" distL="0" distR="0" wp14:anchorId="7E252C60" wp14:editId="73244899">
            <wp:extent cx="4829175" cy="29051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0961D5" w:rsidRDefault="000961D5" w:rsidP="000961D5">
      <w:pPr>
        <w:pStyle w:val="Bezodstpw"/>
        <w:rPr>
          <w:sz w:val="26"/>
          <w:szCs w:val="26"/>
        </w:rPr>
      </w:pPr>
    </w:p>
    <w:p w:rsidR="000961D5" w:rsidRDefault="000961D5" w:rsidP="000961D5">
      <w:pPr>
        <w:pStyle w:val="Bezodstpw"/>
        <w:jc w:val="both"/>
        <w:rPr>
          <w:sz w:val="26"/>
          <w:szCs w:val="26"/>
        </w:rPr>
      </w:pPr>
      <w:r>
        <w:rPr>
          <w:sz w:val="26"/>
          <w:szCs w:val="26"/>
        </w:rPr>
        <w:t xml:space="preserve">Do wybicia z formacji podwójnego dna doszło także na wykresie siły względnej Izolacja/WIG20. Z powyższego wykresu wynika, że na wykresie siły względnej doszło do zmiany trendu spadkowego na wzrostowy, co stwarza szansę na to, że zachowanie kursu akcji spółki Izolacja może być lepsze, niż zachowanie indeksu WIG20. </w:t>
      </w:r>
    </w:p>
    <w:p w:rsidR="000961D5" w:rsidRDefault="000961D5" w:rsidP="000961D5">
      <w:pPr>
        <w:shd w:val="clear" w:color="auto" w:fill="FFFF00"/>
        <w:spacing w:after="0" w:line="240" w:lineRule="auto"/>
        <w:jc w:val="center"/>
        <w:rPr>
          <w:rFonts w:eastAsia="Times New Roman" w:cs="Times New Roman"/>
          <w:b/>
          <w:sz w:val="100"/>
          <w:szCs w:val="100"/>
          <w:lang w:eastAsia="pl-PL"/>
        </w:rPr>
      </w:pPr>
      <w:r>
        <w:rPr>
          <w:rFonts w:eastAsia="Times New Roman" w:cs="Times New Roman"/>
          <w:b/>
          <w:sz w:val="100"/>
          <w:szCs w:val="100"/>
          <w:lang w:eastAsia="pl-PL"/>
        </w:rPr>
        <w:lastRenderedPageBreak/>
        <w:t xml:space="preserve">Ile wynosiła średnia procentowa zmiana kursu akcji spółki po wprowadzeniu jej do rubryki </w:t>
      </w:r>
      <w:proofErr w:type="gramStart"/>
      <w:r>
        <w:rPr>
          <w:rFonts w:eastAsia="Times New Roman" w:cs="Times New Roman"/>
          <w:b/>
          <w:sz w:val="100"/>
          <w:szCs w:val="100"/>
          <w:lang w:eastAsia="pl-PL"/>
        </w:rPr>
        <w:t>,,</w:t>
      </w:r>
      <w:proofErr w:type="gramEnd"/>
      <w:r>
        <w:rPr>
          <w:rFonts w:eastAsia="Times New Roman" w:cs="Times New Roman"/>
          <w:b/>
          <w:sz w:val="100"/>
          <w:szCs w:val="100"/>
          <w:lang w:eastAsia="pl-PL"/>
        </w:rPr>
        <w:t>Wykres do przemyślenia” w okresie 12 pierwszych miesięcy po jej wprowadzeniu do tej rubryki ?</w:t>
      </w:r>
    </w:p>
    <w:p w:rsidR="000961D5" w:rsidRDefault="000961D5" w:rsidP="000961D5">
      <w:pPr>
        <w:spacing w:after="0" w:line="240" w:lineRule="auto"/>
        <w:jc w:val="both"/>
        <w:rPr>
          <w:rFonts w:eastAsia="Times New Roman" w:cs="Times New Roman"/>
          <w:b/>
          <w:sz w:val="26"/>
          <w:szCs w:val="26"/>
          <w:lang w:eastAsia="pl-PL"/>
        </w:rPr>
      </w:pPr>
    </w:p>
    <w:p w:rsidR="000961D5" w:rsidRDefault="000961D5" w:rsidP="000961D5">
      <w:pPr>
        <w:spacing w:after="0" w:line="240" w:lineRule="auto"/>
        <w:jc w:val="both"/>
        <w:rPr>
          <w:rFonts w:eastAsia="Times New Roman" w:cs="Times New Roman"/>
          <w:b/>
          <w:sz w:val="26"/>
          <w:szCs w:val="26"/>
          <w:lang w:eastAsia="pl-PL"/>
        </w:rPr>
      </w:pPr>
    </w:p>
    <w:p w:rsidR="000961D5" w:rsidRDefault="000961D5" w:rsidP="000961D5">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3 czerwca 2016 roku</w:t>
      </w:r>
    </w:p>
    <w:p w:rsidR="000961D5" w:rsidRDefault="000961D5" w:rsidP="000961D5">
      <w:pPr>
        <w:spacing w:after="0" w:line="240" w:lineRule="auto"/>
        <w:jc w:val="center"/>
        <w:rPr>
          <w:rFonts w:eastAsia="Times New Roman" w:cs="Times New Roman"/>
          <w:b/>
          <w:sz w:val="32"/>
          <w:szCs w:val="32"/>
          <w:u w:val="single"/>
          <w:lang w:eastAsia="pl-PL"/>
        </w:rPr>
      </w:pPr>
    </w:p>
    <w:p w:rsidR="000961D5" w:rsidRDefault="000961D5" w:rsidP="000961D5">
      <w:pPr>
        <w:spacing w:after="0" w:line="240" w:lineRule="auto"/>
        <w:jc w:val="both"/>
        <w:rPr>
          <w:rFonts w:eastAsia="Times New Roman" w:cs="Times New Roman"/>
          <w:b/>
          <w:sz w:val="26"/>
          <w:szCs w:val="26"/>
          <w:lang w:eastAsia="pl-PL"/>
        </w:rPr>
      </w:pPr>
    </w:p>
    <w:p w:rsidR="000961D5" w:rsidRPr="005110E6" w:rsidRDefault="000961D5" w:rsidP="000961D5">
      <w:pPr>
        <w:spacing w:after="0" w:line="240" w:lineRule="auto"/>
        <w:jc w:val="both"/>
        <w:rPr>
          <w:rFonts w:eastAsia="Times New Roman" w:cs="Times New Roman"/>
          <w:b/>
          <w:sz w:val="32"/>
          <w:szCs w:val="32"/>
          <w:lang w:eastAsia="pl-PL"/>
        </w:rPr>
      </w:pPr>
      <w:r w:rsidRPr="005110E6">
        <w:rPr>
          <w:rFonts w:eastAsia="Times New Roman" w:cs="Times New Roman"/>
          <w:b/>
          <w:sz w:val="32"/>
          <w:szCs w:val="32"/>
          <w:lang w:eastAsia="pl-PL"/>
        </w:rPr>
        <w:lastRenderedPageBreak/>
        <w:t xml:space="preserve">Wprowadzenie </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Strona internetowa </w:t>
      </w:r>
      <w:hyperlink r:id="rId13" w:history="1">
        <w:r w:rsidRPr="005110E6">
          <w:rPr>
            <w:rStyle w:val="Hipercze"/>
            <w:rFonts w:eastAsia="Times New Roman" w:cs="Times New Roman"/>
            <w:sz w:val="32"/>
            <w:szCs w:val="32"/>
            <w:lang w:eastAsia="pl-PL"/>
          </w:rPr>
          <w:t>http://analizy-rynkowe.pl/</w:t>
        </w:r>
      </w:hyperlink>
      <w:r w:rsidRPr="005110E6">
        <w:rPr>
          <w:rFonts w:eastAsia="Times New Roman" w:cs="Times New Roman"/>
          <w:sz w:val="32"/>
          <w:szCs w:val="32"/>
          <w:lang w:eastAsia="pl-PL"/>
        </w:rPr>
        <w:t xml:space="preserve"> prowadzona jest od września 2014 roku. </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Co tydzień publikowany jest </w:t>
      </w:r>
      <w:proofErr w:type="gramStart"/>
      <w:r w:rsidRPr="005110E6">
        <w:rPr>
          <w:rFonts w:eastAsia="Times New Roman" w:cs="Times New Roman"/>
          <w:sz w:val="32"/>
          <w:szCs w:val="32"/>
          <w:lang w:eastAsia="pl-PL"/>
        </w:rPr>
        <w:t>,,</w:t>
      </w:r>
      <w:proofErr w:type="gramEnd"/>
      <w:r w:rsidRPr="005110E6">
        <w:rPr>
          <w:rFonts w:eastAsia="Times New Roman" w:cs="Times New Roman"/>
          <w:sz w:val="32"/>
          <w:szCs w:val="32"/>
          <w:lang w:eastAsia="pl-PL"/>
        </w:rPr>
        <w:t>Raport Tygodniowy”</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b/>
          <w:color w:val="FF0000"/>
          <w:sz w:val="32"/>
          <w:szCs w:val="32"/>
          <w:lang w:eastAsia="pl-PL"/>
        </w:rPr>
      </w:pPr>
      <w:r w:rsidRPr="005110E6">
        <w:rPr>
          <w:rFonts w:eastAsia="Times New Roman" w:cs="Times New Roman"/>
          <w:sz w:val="32"/>
          <w:szCs w:val="32"/>
          <w:lang w:eastAsia="pl-PL"/>
        </w:rPr>
        <w:t xml:space="preserve">Od czasu do czasu umieszczam wybrane spółki w rubryce </w:t>
      </w:r>
      <w:proofErr w:type="gramStart"/>
      <w:r w:rsidRPr="005110E6">
        <w:rPr>
          <w:rFonts w:eastAsia="Times New Roman" w:cs="Times New Roman"/>
          <w:b/>
          <w:color w:val="FF0000"/>
          <w:sz w:val="32"/>
          <w:szCs w:val="32"/>
          <w:lang w:eastAsia="pl-PL"/>
        </w:rPr>
        <w:t>,,</w:t>
      </w:r>
      <w:proofErr w:type="gramEnd"/>
      <w:r w:rsidRPr="005110E6">
        <w:rPr>
          <w:rFonts w:eastAsia="Times New Roman" w:cs="Times New Roman"/>
          <w:b/>
          <w:color w:val="FF0000"/>
          <w:sz w:val="32"/>
          <w:szCs w:val="32"/>
          <w:lang w:eastAsia="pl-PL"/>
        </w:rPr>
        <w:t xml:space="preserve">Wykres do przemyślenia”. </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b/>
          <w:color w:val="FF0000"/>
          <w:sz w:val="32"/>
          <w:szCs w:val="32"/>
          <w:lang w:eastAsia="pl-PL"/>
        </w:rPr>
      </w:pPr>
      <w:r w:rsidRPr="005110E6">
        <w:rPr>
          <w:rFonts w:eastAsia="Times New Roman" w:cs="Times New Roman"/>
          <w:sz w:val="32"/>
          <w:szCs w:val="32"/>
          <w:lang w:eastAsia="pl-PL"/>
        </w:rPr>
        <w:t xml:space="preserve">Umieszczane są tam te przykładowe spółki, których kurs </w:t>
      </w:r>
      <w:r w:rsidRPr="005110E6">
        <w:rPr>
          <w:rFonts w:eastAsia="Times New Roman" w:cs="Times New Roman"/>
          <w:b/>
          <w:color w:val="FF0000"/>
          <w:sz w:val="32"/>
          <w:szCs w:val="32"/>
          <w:lang w:eastAsia="pl-PL"/>
        </w:rPr>
        <w:t xml:space="preserve">wybił się z formacji podwójnego dna. </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b/>
          <w:sz w:val="32"/>
          <w:szCs w:val="32"/>
          <w:lang w:eastAsia="pl-PL"/>
        </w:rPr>
      </w:pPr>
      <w:r w:rsidRPr="005110E6">
        <w:rPr>
          <w:rFonts w:eastAsia="Times New Roman" w:cs="Times New Roman"/>
          <w:sz w:val="32"/>
          <w:szCs w:val="32"/>
          <w:lang w:eastAsia="pl-PL"/>
        </w:rPr>
        <w:t xml:space="preserve">Formacja podwójnego dna ma </w:t>
      </w:r>
      <w:r w:rsidRPr="005110E6">
        <w:rPr>
          <w:rFonts w:eastAsia="Times New Roman" w:cs="Times New Roman"/>
          <w:b/>
          <w:sz w:val="32"/>
          <w:szCs w:val="32"/>
          <w:lang w:eastAsia="pl-PL"/>
        </w:rPr>
        <w:t xml:space="preserve">2 </w:t>
      </w:r>
      <w:proofErr w:type="gramStart"/>
      <w:r w:rsidRPr="005110E6">
        <w:rPr>
          <w:rFonts w:eastAsia="Times New Roman" w:cs="Times New Roman"/>
          <w:b/>
          <w:sz w:val="32"/>
          <w:szCs w:val="32"/>
          <w:lang w:eastAsia="pl-PL"/>
        </w:rPr>
        <w:t>,,</w:t>
      </w:r>
      <w:proofErr w:type="gramEnd"/>
      <w:r w:rsidRPr="005110E6">
        <w:rPr>
          <w:rFonts w:eastAsia="Times New Roman" w:cs="Times New Roman"/>
          <w:b/>
          <w:sz w:val="32"/>
          <w:szCs w:val="32"/>
          <w:lang w:eastAsia="pl-PL"/>
        </w:rPr>
        <w:t xml:space="preserve">zadania”. </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Podstawowym, minimalnym </w:t>
      </w:r>
      <w:proofErr w:type="gramStart"/>
      <w:r w:rsidRPr="005110E6">
        <w:rPr>
          <w:rFonts w:eastAsia="Times New Roman" w:cs="Times New Roman"/>
          <w:sz w:val="32"/>
          <w:szCs w:val="32"/>
          <w:lang w:eastAsia="pl-PL"/>
        </w:rPr>
        <w:t>,,</w:t>
      </w:r>
      <w:proofErr w:type="gramEnd"/>
      <w:r w:rsidRPr="005110E6">
        <w:rPr>
          <w:rFonts w:eastAsia="Times New Roman" w:cs="Times New Roman"/>
          <w:sz w:val="32"/>
          <w:szCs w:val="32"/>
          <w:lang w:eastAsia="pl-PL"/>
        </w:rPr>
        <w:t xml:space="preserve">zadaniem” tej formacji jest jej wypełnienie </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Drugim </w:t>
      </w:r>
      <w:proofErr w:type="gramStart"/>
      <w:r w:rsidRPr="005110E6">
        <w:rPr>
          <w:rFonts w:eastAsia="Times New Roman" w:cs="Times New Roman"/>
          <w:sz w:val="32"/>
          <w:szCs w:val="32"/>
          <w:lang w:eastAsia="pl-PL"/>
        </w:rPr>
        <w:t>,,</w:t>
      </w:r>
      <w:proofErr w:type="gramEnd"/>
      <w:r w:rsidRPr="005110E6">
        <w:rPr>
          <w:rFonts w:eastAsia="Times New Roman" w:cs="Times New Roman"/>
          <w:sz w:val="32"/>
          <w:szCs w:val="32"/>
          <w:lang w:eastAsia="pl-PL"/>
        </w:rPr>
        <w:t xml:space="preserve">zadaniem” tej formacji jest doprowadzenie do zmiany trendu ze spadkowego na wzrostowy. </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Osobiście wyróżniam </w:t>
      </w:r>
      <w:r w:rsidRPr="005110E6">
        <w:rPr>
          <w:rFonts w:eastAsia="Times New Roman" w:cs="Times New Roman"/>
          <w:b/>
          <w:sz w:val="32"/>
          <w:szCs w:val="32"/>
          <w:lang w:eastAsia="pl-PL"/>
        </w:rPr>
        <w:t>typowe oraz nietypowe podwójne dno.</w:t>
      </w:r>
      <w:r w:rsidRPr="005110E6">
        <w:rPr>
          <w:rFonts w:eastAsia="Times New Roman" w:cs="Times New Roman"/>
          <w:sz w:val="32"/>
          <w:szCs w:val="32"/>
          <w:lang w:eastAsia="pl-PL"/>
        </w:rPr>
        <w:t xml:space="preserve"> </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Typowa formacja podwójnego dna charakteryzuje się tym, że dołki w formacji kształtują się na poziomie identycznym, bądź prawie identycznym. </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Natomiast w przypadku nietypowej formacji podwójnego dna kształtują się one na poziomie zupełnie odmiennym.</w:t>
      </w:r>
    </w:p>
    <w:p w:rsidR="000961D5" w:rsidRPr="005110E6" w:rsidRDefault="000961D5" w:rsidP="000961D5">
      <w:pPr>
        <w:spacing w:after="0" w:line="240" w:lineRule="auto"/>
        <w:jc w:val="both"/>
        <w:rPr>
          <w:rFonts w:eastAsia="Times New Roman" w:cs="Times New Roman"/>
          <w:sz w:val="32"/>
          <w:szCs w:val="32"/>
          <w:lang w:eastAsia="pl-PL"/>
        </w:rPr>
      </w:pPr>
    </w:p>
    <w:p w:rsidR="000961D5" w:rsidRPr="005110E6" w:rsidRDefault="000961D5" w:rsidP="000961D5">
      <w:pPr>
        <w:spacing w:after="0" w:line="240" w:lineRule="auto"/>
        <w:jc w:val="both"/>
        <w:rPr>
          <w:rFonts w:eastAsia="Times New Roman" w:cs="Times New Roman"/>
          <w:b/>
          <w:sz w:val="32"/>
          <w:szCs w:val="32"/>
          <w:lang w:eastAsia="pl-PL"/>
        </w:rPr>
      </w:pPr>
      <w:r w:rsidRPr="005110E6">
        <w:rPr>
          <w:rFonts w:eastAsia="Times New Roman" w:cs="Times New Roman"/>
          <w:sz w:val="32"/>
          <w:szCs w:val="32"/>
          <w:lang w:eastAsia="pl-PL"/>
        </w:rPr>
        <w:t xml:space="preserve">Od pierwszego numeru </w:t>
      </w:r>
      <w:proofErr w:type="gramStart"/>
      <w:r w:rsidRPr="005110E6">
        <w:rPr>
          <w:rFonts w:eastAsia="Times New Roman" w:cs="Times New Roman"/>
          <w:sz w:val="32"/>
          <w:szCs w:val="32"/>
          <w:lang w:eastAsia="pl-PL"/>
        </w:rPr>
        <w:t>,,</w:t>
      </w:r>
      <w:proofErr w:type="gramEnd"/>
      <w:r w:rsidRPr="005110E6">
        <w:rPr>
          <w:rFonts w:eastAsia="Times New Roman" w:cs="Times New Roman"/>
          <w:sz w:val="32"/>
          <w:szCs w:val="32"/>
          <w:lang w:eastAsia="pl-PL"/>
        </w:rPr>
        <w:t xml:space="preserve">Raportu Tygodniowego” postanowiłem, że będę </w:t>
      </w:r>
      <w:r w:rsidRPr="005110E6">
        <w:rPr>
          <w:rFonts w:eastAsia="Times New Roman" w:cs="Times New Roman"/>
          <w:b/>
          <w:sz w:val="32"/>
          <w:szCs w:val="32"/>
          <w:lang w:eastAsia="pl-PL"/>
        </w:rPr>
        <w:t>porównywał</w:t>
      </w:r>
      <w:r w:rsidRPr="005110E6">
        <w:rPr>
          <w:rFonts w:eastAsia="Times New Roman" w:cs="Times New Roman"/>
          <w:sz w:val="32"/>
          <w:szCs w:val="32"/>
          <w:lang w:eastAsia="pl-PL"/>
        </w:rPr>
        <w:t xml:space="preserve"> zachowanie kursu akcji spółki po wprowadzeniu jej do rubryki ,,Wykres do przemyślenia” </w:t>
      </w:r>
      <w:r w:rsidRPr="005110E6">
        <w:rPr>
          <w:rFonts w:eastAsia="Times New Roman" w:cs="Times New Roman"/>
          <w:b/>
          <w:sz w:val="32"/>
          <w:szCs w:val="32"/>
          <w:lang w:eastAsia="pl-PL"/>
        </w:rPr>
        <w:t xml:space="preserve">z zachowaniem indeksu WIG20. </w:t>
      </w:r>
    </w:p>
    <w:p w:rsidR="000961D5" w:rsidRPr="005110E6" w:rsidRDefault="000961D5" w:rsidP="000961D5">
      <w:pPr>
        <w:spacing w:after="0" w:line="240" w:lineRule="auto"/>
        <w:jc w:val="both"/>
        <w:rPr>
          <w:rFonts w:eastAsia="Times New Roman" w:cs="Times New Roman"/>
          <w:sz w:val="36"/>
          <w:szCs w:val="36"/>
          <w:lang w:eastAsia="pl-PL"/>
        </w:rPr>
      </w:pPr>
    </w:p>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 akcji czterech spółek, których akcje zostały wymienione w pierwszym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8 września 2014 roku w rubryce ,,Wykres do przemyślenia” w okresie od 5 września do 4 września 2015 roku oraz procentowa zmiana indeksu WIG 20 w tym okresie. </w:t>
      </w:r>
    </w:p>
    <w:p w:rsidR="000961D5" w:rsidRDefault="000961D5" w:rsidP="000961D5">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05.09.2014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04.09.2015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2,04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2,35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+15,2 %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4,44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+11,3 %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5,64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+55,4 %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6,72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+58,1 %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 xml:space="preserve">    +35,0 %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2 146,47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-15,5 %</w:t>
            </w:r>
          </w:p>
        </w:tc>
      </w:tr>
    </w:tbl>
    <w:p w:rsidR="000961D5" w:rsidRDefault="000961D5" w:rsidP="000961D5">
      <w:pPr>
        <w:spacing w:after="0" w:line="240" w:lineRule="auto"/>
        <w:jc w:val="both"/>
        <w:rPr>
          <w:rFonts w:ascii="Calibri" w:eastAsia="Times New Roman" w:hAnsi="Calibri" w:cs="Times New Roman"/>
          <w:sz w:val="36"/>
          <w:szCs w:val="36"/>
          <w:u w:val="single"/>
          <w:lang w:eastAsia="pl-PL"/>
        </w:rPr>
      </w:pPr>
    </w:p>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drugim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15 września 2014 roku w rubryce ,,Wykres do przemyślenia” w okresie od 12 września do 11 września 2015 roku oraz procentowa zmiana indeksu WIG 20 w tym okresie. </w:t>
      </w:r>
    </w:p>
    <w:p w:rsidR="000961D5" w:rsidRDefault="000961D5" w:rsidP="000961D5">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12.09.2014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11.09.2015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6,50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5,15 zł. </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-20,8 %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 xml:space="preserve">  -20,8 %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2 185,46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-12,5 %</w:t>
            </w:r>
          </w:p>
        </w:tc>
      </w:tr>
    </w:tbl>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16 września na stronie internetowej </w:t>
      </w:r>
      <w:hyperlink r:id="rId14"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15 września do 15 września 2015 roku oraz procentowa zmiana indeksu WIG 20 w tym okresie. </w:t>
      </w:r>
    </w:p>
    <w:p w:rsidR="000961D5" w:rsidRDefault="000961D5" w:rsidP="000961D5">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15.09.2014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15.09.2015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26,50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32,90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24,2 %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 xml:space="preserve">  24,2 %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2 185,88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-12,2 %</w:t>
            </w:r>
          </w:p>
        </w:tc>
      </w:tr>
    </w:tbl>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trzecim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22 września 2014 roku w rubryce ,,Wykres do przemyślenia” w okresie od 19 września 2014 roku do 18 września 2015 roku oraz procentowa zmiana indeksu WIG 20 w tym okresie. </w:t>
      </w:r>
    </w:p>
    <w:p w:rsidR="000961D5" w:rsidRDefault="000961D5" w:rsidP="000961D5">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19.09.2014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1,32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0,98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2,3 %</w:t>
            </w:r>
          </w:p>
        </w:tc>
      </w:tr>
      <w:tr w:rsidR="000961D5" w:rsidTr="0008493D">
        <w:trPr>
          <w:trHeight w:val="310"/>
        </w:trPr>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2,3 %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-13,2 %</w:t>
            </w:r>
          </w:p>
        </w:tc>
      </w:tr>
    </w:tbl>
    <w:p w:rsidR="000961D5" w:rsidRDefault="000961D5" w:rsidP="000961D5">
      <w:pPr>
        <w:spacing w:after="0" w:line="240" w:lineRule="auto"/>
        <w:jc w:val="both"/>
        <w:rPr>
          <w:rFonts w:eastAsiaTheme="minorEastAsia"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25 września na stronie internetowej </w:t>
      </w:r>
      <w:hyperlink r:id="rId15"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24 września 2014 roku do 24 września 2015 roku oraz procentowa zmiana indeksu WIG 20 w tym okresie. </w:t>
      </w:r>
    </w:p>
    <w:p w:rsidR="000961D5" w:rsidRDefault="000961D5" w:rsidP="000961D5">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24.09.2014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1,85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2,40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+29,7 %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+29,7 %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2 082,95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-15,8 %</w:t>
            </w:r>
          </w:p>
        </w:tc>
      </w:tr>
    </w:tbl>
    <w:p w:rsidR="000961D5" w:rsidRDefault="000961D5" w:rsidP="000961D5">
      <w:pPr>
        <w:spacing w:after="0" w:line="240" w:lineRule="auto"/>
        <w:jc w:val="both"/>
        <w:rPr>
          <w:rFonts w:eastAsiaTheme="minorEastAsia" w:cs="Times New Roman"/>
          <w:lang w:eastAsia="pl-PL"/>
        </w:rPr>
      </w:pPr>
    </w:p>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 akcji trzech spółek, których akcje zostały wymienione w czwartym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29 września 2014 roku w rubryce ,,Wykres do przemyślenia” w okresie od 30 września 2014 roku do 25 września 2015 roku oraz procentowa zmiana indeksu WIG 20 w tym okresie. </w:t>
      </w:r>
    </w:p>
    <w:p w:rsidR="000961D5" w:rsidRDefault="000961D5" w:rsidP="000961D5">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26.09.2014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25.09.2015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54,70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+19,9 %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CD</w:t>
            </w:r>
            <w:proofErr w:type="gramEnd"/>
            <w:r>
              <w:rPr>
                <w:rFonts w:eastAsiaTheme="minorEastAsia"/>
                <w:lang w:eastAsia="pl-PL"/>
              </w:rP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26,80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+61,5 %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Sygnity</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17,60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8,82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- 49,9 %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 xml:space="preserve"> +10,5%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- 15,8 %</w:t>
            </w:r>
          </w:p>
        </w:tc>
      </w:tr>
    </w:tbl>
    <w:p w:rsidR="000961D5" w:rsidRDefault="000961D5" w:rsidP="000961D5">
      <w:pPr>
        <w:spacing w:after="0" w:line="240" w:lineRule="auto"/>
        <w:rPr>
          <w:rFonts w:ascii="Calibri" w:eastAsia="Times New Roman" w:hAnsi="Calibri" w:cs="Times New Roman"/>
          <w:sz w:val="26"/>
          <w:szCs w:val="26"/>
          <w:u w:val="single"/>
          <w:lang w:eastAsia="pl-PL"/>
        </w:rPr>
      </w:pPr>
    </w:p>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piątym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6 października 2014 roku w rubryce ,,Wykres do przemyślenia” w okresie od 3 października do 2 października 2015 roku oraz procentowa zmiana indeksu WIG 20 w tym okresie. </w:t>
      </w:r>
    </w:p>
    <w:p w:rsidR="000961D5" w:rsidRDefault="000961D5" w:rsidP="000961D5">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03.10.2014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02.10.2015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244,10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278,15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+13,9 %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+13,9 %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2 036,32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-16,7 %</w:t>
            </w:r>
          </w:p>
        </w:tc>
      </w:tr>
    </w:tbl>
    <w:p w:rsidR="000961D5" w:rsidRDefault="000961D5" w:rsidP="000961D5">
      <w:pPr>
        <w:spacing w:after="0" w:line="240" w:lineRule="auto"/>
        <w:rPr>
          <w:rFonts w:ascii="Calibri" w:eastAsia="Times New Roman" w:hAnsi="Calibri" w:cs="Times New Roman"/>
          <w:sz w:val="26"/>
          <w:szCs w:val="26"/>
          <w:u w:val="single"/>
          <w:lang w:eastAsia="pl-PL"/>
        </w:rPr>
      </w:pPr>
    </w:p>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szóstym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20 października 2014 roku w rubryce ,,Wykres do przemyślenia” w okresie od 17 września do 16 października 2015 roku oraz procentowa zmiana indeksu WIG 20 w tym okresie. </w:t>
      </w:r>
    </w:p>
    <w:p w:rsidR="000961D5" w:rsidRDefault="000961D5" w:rsidP="000961D5">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17.10.2014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16.10.2015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Tauron</w:t>
            </w:r>
            <w:proofErr w:type="spellEnd"/>
            <w:r>
              <w:rPr>
                <w:rFonts w:eastAsiaTheme="minorEastAsia"/>
                <w:lang w:eastAsia="pl-PL"/>
              </w:rP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5,21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3,23 zł. </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-38,0 %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 xml:space="preserve">  -38,0 %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2 121,94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-11,6 %</w:t>
            </w:r>
          </w:p>
        </w:tc>
      </w:tr>
    </w:tbl>
    <w:p w:rsidR="000961D5" w:rsidRDefault="000961D5" w:rsidP="000961D5">
      <w:pPr>
        <w:spacing w:after="0" w:line="240" w:lineRule="auto"/>
        <w:rPr>
          <w:rFonts w:ascii="Calibri" w:eastAsia="Times New Roman" w:hAnsi="Calibri" w:cs="Times New Roman"/>
          <w:sz w:val="42"/>
          <w:szCs w:val="42"/>
          <w:u w:val="single"/>
          <w:lang w:eastAsia="pl-PL"/>
        </w:rPr>
      </w:pPr>
    </w:p>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22 października na stronie internetowej </w:t>
      </w:r>
      <w:hyperlink r:id="rId16"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21 października do 19 czerwca 2015 roku do 21 października 2015 roku oraz procentowa zmiana indeksu WIG 20 w tym okresie. </w:t>
      </w:r>
    </w:p>
    <w:p w:rsidR="000961D5" w:rsidRDefault="000961D5" w:rsidP="000961D5">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21.10.2014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21.10.2015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Elektrotim</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8,70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18,66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+ 114,5 %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color w:val="000000" w:themeColor="text1"/>
                <w:lang w:eastAsia="pl-PL"/>
              </w:rPr>
            </w:pPr>
            <w:r>
              <w:rPr>
                <w:rFonts w:eastAsiaTheme="minorEastAsia"/>
                <w:color w:val="000000" w:themeColor="text1"/>
                <w:lang w:eastAsia="pl-PL"/>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color w:val="000000" w:themeColor="text1"/>
                <w:lang w:eastAsia="pl-PL"/>
              </w:rPr>
            </w:pPr>
            <w:r>
              <w:rPr>
                <w:rFonts w:eastAsiaTheme="minorEastAsia"/>
                <w:color w:val="000000" w:themeColor="text1"/>
                <w:lang w:eastAsia="pl-PL"/>
              </w:rPr>
              <w:t xml:space="preserve">6,70 zł. </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color w:val="000000" w:themeColor="text1"/>
                <w:lang w:eastAsia="pl-PL"/>
              </w:rPr>
            </w:pPr>
            <w:r>
              <w:rPr>
                <w:rFonts w:eastAsiaTheme="minorEastAsia"/>
                <w:color w:val="000000" w:themeColor="text1"/>
                <w:lang w:eastAsia="pl-PL"/>
              </w:rPr>
              <w:t xml:space="preserve">  -3,3 %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0961D5" w:rsidRDefault="000961D5" w:rsidP="0008493D">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0961D5" w:rsidRDefault="000961D5" w:rsidP="0008493D">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 xml:space="preserve">   + 55,6 %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2 105,65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-13,1 %</w:t>
            </w:r>
          </w:p>
        </w:tc>
      </w:tr>
    </w:tbl>
    <w:p w:rsidR="000961D5" w:rsidRDefault="000961D5" w:rsidP="000961D5">
      <w:pPr>
        <w:spacing w:after="0" w:line="240" w:lineRule="auto"/>
        <w:jc w:val="both"/>
        <w:rPr>
          <w:rFonts w:eastAsiaTheme="minorEastAsia" w:cs="Times New Roman"/>
          <w:lang w:eastAsia="pl-PL"/>
        </w:rPr>
      </w:pPr>
    </w:p>
    <w:p w:rsidR="000961D5" w:rsidRDefault="000961D5" w:rsidP="000961D5">
      <w:pPr>
        <w:spacing w:after="0" w:line="240" w:lineRule="auto"/>
        <w:jc w:val="both"/>
        <w:rPr>
          <w:rFonts w:eastAsia="Times New Roman" w:cs="Times New Roman"/>
          <w:sz w:val="26"/>
          <w:szCs w:val="26"/>
          <w:lang w:eastAsia="pl-PL"/>
        </w:rPr>
      </w:pPr>
    </w:p>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siódmym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27 października 2014 roku w rubryce ,,Wykres do przemyślenia” w okresie od 24 października 2014 roku do 23 października 2015 roku oraz procentowa zmiana indeksu WIG 20 w tym okresie. </w:t>
      </w:r>
    </w:p>
    <w:p w:rsidR="000961D5" w:rsidRDefault="000961D5" w:rsidP="000961D5">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24.10.2014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23.10.2015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4,32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3,70 zł. </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-14,4 %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 xml:space="preserve">  -14,4 %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2 107,43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-13,1 %</w:t>
            </w:r>
          </w:p>
        </w:tc>
      </w:tr>
    </w:tbl>
    <w:p w:rsidR="000961D5" w:rsidRDefault="000961D5" w:rsidP="000961D5">
      <w:pPr>
        <w:spacing w:after="0" w:line="240" w:lineRule="auto"/>
        <w:jc w:val="both"/>
        <w:rPr>
          <w:rFonts w:ascii="Calibri" w:eastAsia="Times New Roman" w:hAnsi="Calibri" w:cs="Times New Roman"/>
          <w:sz w:val="30"/>
          <w:szCs w:val="30"/>
          <w:u w:val="single"/>
          <w:lang w:eastAsia="pl-PL"/>
        </w:rPr>
      </w:pPr>
    </w:p>
    <w:p w:rsidR="000961D5" w:rsidRDefault="000961D5" w:rsidP="000961D5">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3 listopada 2014 roku w rubryce ,,Wykres do przemyślenia” w okresie od 31 października 2014 roku do 30 października 2015 roku oraz procentowa zmiana indeksu WIG 20 w tym okresie. </w:t>
      </w:r>
    </w:p>
    <w:p w:rsidR="000961D5" w:rsidRDefault="000961D5" w:rsidP="000961D5">
      <w:pPr>
        <w:spacing w:after="0" w:line="240" w:lineRule="auto"/>
        <w:jc w:val="both"/>
        <w:rPr>
          <w:rFonts w:eastAsia="Times New Roman" w:cs="Times New Roman"/>
          <w:sz w:val="28"/>
          <w:szCs w:val="28"/>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31.10.2014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30.10.2015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16,00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12,83 zł. </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-19,8 %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 xml:space="preserve">  -19,8 %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2 060,03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-16,4 %</w:t>
            </w:r>
          </w:p>
        </w:tc>
      </w:tr>
    </w:tbl>
    <w:p w:rsidR="000961D5" w:rsidRDefault="000961D5" w:rsidP="000961D5">
      <w:pPr>
        <w:spacing w:after="0" w:line="240" w:lineRule="auto"/>
        <w:jc w:val="both"/>
        <w:rPr>
          <w:rFonts w:ascii="Calibri" w:eastAsia="Times New Roman" w:hAnsi="Calibri" w:cs="Times New Roman"/>
          <w:sz w:val="26"/>
          <w:szCs w:val="26"/>
          <w:u w:val="single"/>
          <w:lang w:eastAsia="pl-PL"/>
        </w:rPr>
      </w:pPr>
    </w:p>
    <w:p w:rsidR="000961D5" w:rsidRDefault="000961D5" w:rsidP="000961D5">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1 grudnia 2014 roku w rubryce ,,Wykres do przemyślenia” w okresie od 28 listopada 2014 roku do 27 listopada 2015 roku oraz procentowa zmiana indeksu WIG 20 w tym okresie. </w:t>
      </w:r>
    </w:p>
    <w:p w:rsidR="000961D5" w:rsidRDefault="000961D5" w:rsidP="000961D5">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28.11.2014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27.11.2015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1,06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1,84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+73,6 %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+73,6 %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1 936,05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-19,9 %</w:t>
            </w:r>
          </w:p>
        </w:tc>
      </w:tr>
    </w:tbl>
    <w:p w:rsidR="000961D5" w:rsidRDefault="000961D5" w:rsidP="000961D5">
      <w:pPr>
        <w:spacing w:after="0" w:line="240" w:lineRule="auto"/>
        <w:jc w:val="both"/>
        <w:rPr>
          <w:rFonts w:eastAsia="Times New Roman" w:cs="Times New Roman"/>
          <w:sz w:val="26"/>
          <w:szCs w:val="26"/>
          <w:lang w:eastAsia="pl-PL"/>
        </w:rPr>
      </w:pPr>
    </w:p>
    <w:p w:rsidR="000961D5" w:rsidRDefault="000961D5" w:rsidP="000961D5">
      <w:pPr>
        <w:spacing w:after="0" w:line="240" w:lineRule="auto"/>
        <w:jc w:val="both"/>
        <w:rPr>
          <w:rFonts w:eastAsia="Times New Roman" w:cs="Times New Roman"/>
          <w:sz w:val="26"/>
          <w:szCs w:val="26"/>
          <w:lang w:eastAsia="pl-PL"/>
        </w:rPr>
      </w:pPr>
    </w:p>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 grudnia na stronie internetowej </w:t>
      </w:r>
      <w:hyperlink r:id="rId17"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 grudnia 2014 roku do 1 grudnia 2015 roku procentowa zmiana indeksu WIG 20 w tym okresie. </w:t>
      </w: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01.12.2014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01.12.2015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37,65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27,20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-27,8 %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-27,8 %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1 923,94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-20,4 %</w:t>
            </w:r>
          </w:p>
        </w:tc>
      </w:tr>
    </w:tbl>
    <w:p w:rsidR="000961D5" w:rsidRDefault="000961D5" w:rsidP="000961D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wymienione w numerze </w:t>
      </w:r>
      <w:proofErr w:type="gramStart"/>
      <w:r>
        <w:rPr>
          <w:rFonts w:eastAsia="Times New Roman" w:cs="Times New Roman"/>
          <w:lang w:eastAsia="pl-PL"/>
        </w:rPr>
        <w:t>,,</w:t>
      </w:r>
      <w:proofErr w:type="gramEnd"/>
      <w:r>
        <w:rPr>
          <w:rFonts w:eastAsia="Times New Roman" w:cs="Times New Roman"/>
          <w:lang w:eastAsia="pl-PL"/>
        </w:rPr>
        <w:t xml:space="preserve">Raportu Tygodniowego” z 15 grudnia 2014 roku w rubryce ,,Wykres do przemyślenia” w okresie od 12 grudnia 2014 roku do 11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12.12.2014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11.12.2015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Mercor</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8,14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8,60 zł. </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+5,7 %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 xml:space="preserve">  +5,7 %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1 757,37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  25,5 %</w:t>
            </w:r>
          </w:p>
        </w:tc>
      </w:tr>
    </w:tbl>
    <w:p w:rsidR="000961D5" w:rsidRDefault="000961D5" w:rsidP="000961D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18"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30 grudnia 2014 roku do 23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30.12.2014</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115,50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114,05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-1,3 %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-1,3 %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2 315,94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-19,7  %</w:t>
            </w:r>
          </w:p>
        </w:tc>
      </w:tr>
    </w:tbl>
    <w:p w:rsidR="000961D5" w:rsidRDefault="000961D5" w:rsidP="000961D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19" w:history="1">
        <w:r>
          <w:rPr>
            <w:rStyle w:val="Hipercze"/>
            <w:rFonts w:eastAsia="Times New Roman" w:cs="Times New Roman"/>
            <w:lang w:eastAsia="pl-PL"/>
          </w:rPr>
          <w:t>www.analizy-rynkowe.</w:t>
        </w:r>
        <w:proofErr w:type="gramStart"/>
        <w:r>
          <w:rPr>
            <w:rStyle w:val="Hipercze"/>
            <w:rFonts w:eastAsia="Times New Roman" w:cs="Times New Roman"/>
            <w:lang w:eastAsia="pl-PL"/>
          </w:rPr>
          <w:t>pl</w:t>
        </w:r>
      </w:hyperlink>
      <w:r>
        <w:rPr>
          <w:rFonts w:eastAsia="Times New Roman" w:cs="Times New Roman"/>
          <w:lang w:eastAsia="pl-PL"/>
        </w:rPr>
        <w:t>na  stronie</w:t>
      </w:r>
      <w:proofErr w:type="gramEnd"/>
      <w:r>
        <w:rPr>
          <w:rFonts w:eastAsia="Times New Roman" w:cs="Times New Roman"/>
          <w:lang w:eastAsia="pl-PL"/>
        </w:rPr>
        <w:t xml:space="preserve"> internetowej </w:t>
      </w:r>
      <w:hyperlink r:id="rId20"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stycznia 2015 roku do 8 stycznia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09.01.2015</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08.012016</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3,34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2,84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 -15,0 %0</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-15,0 %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1 725,14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-28,6 %</w:t>
            </w:r>
          </w:p>
        </w:tc>
      </w:tr>
    </w:tbl>
    <w:p w:rsidR="000961D5" w:rsidRDefault="000961D5" w:rsidP="000961D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30 stycznia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21"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29 stycznia 2015 roku </w:t>
      </w:r>
      <w:r>
        <w:rPr>
          <w:rFonts w:eastAsia="Times New Roman" w:cs="Times New Roman"/>
          <w:lang w:eastAsia="pl-PL"/>
        </w:rPr>
        <w:t xml:space="preserve">do 29 stycznia 2016 roku  </w:t>
      </w:r>
      <w:r>
        <w:rPr>
          <w:rFonts w:eastAsia="Times New Roman" w:cs="Times New Roman"/>
          <w:sz w:val="26"/>
          <w:szCs w:val="26"/>
          <w:lang w:eastAsia="pl-PL"/>
        </w:rPr>
        <w:t xml:space="preserve">oraz procentowa zmiana indeksu WIG 20 w tym okresie. </w:t>
      </w:r>
    </w:p>
    <w:p w:rsidR="000961D5" w:rsidRDefault="000961D5" w:rsidP="000961D5">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29.01.2015</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29.01.2016</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1,11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0,78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-29,7 %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-29,7 %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lang w:eastAsia="pl-PL"/>
              </w:rPr>
            </w:pPr>
            <w:r>
              <w:rPr>
                <w:rFonts w:eastAsiaTheme="minorEastAsia"/>
                <w:lang w:eastAsia="pl-PL"/>
              </w:rPr>
              <w:t>1 780,25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-26,3 %</w:t>
            </w:r>
          </w:p>
        </w:tc>
      </w:tr>
    </w:tbl>
    <w:p w:rsidR="000961D5" w:rsidRDefault="000961D5" w:rsidP="000961D5">
      <w:pPr>
        <w:spacing w:after="0" w:line="240" w:lineRule="auto"/>
        <w:jc w:val="both"/>
        <w:rPr>
          <w:rFonts w:eastAsiaTheme="minorEastAsia" w:cs="Times New Roman"/>
          <w:lang w:eastAsia="pl-PL"/>
        </w:rPr>
      </w:pPr>
    </w:p>
    <w:p w:rsidR="000961D5" w:rsidRDefault="000961D5" w:rsidP="000961D5">
      <w:pPr>
        <w:spacing w:after="0" w:line="240" w:lineRule="auto"/>
        <w:jc w:val="both"/>
        <w:rPr>
          <w:rFonts w:eastAsiaTheme="minorEastAsia" w:cs="Times New Roman"/>
          <w:lang w:eastAsia="pl-PL"/>
        </w:rPr>
      </w:pPr>
    </w:p>
    <w:p w:rsidR="000961D5" w:rsidRDefault="000961D5" w:rsidP="000961D5">
      <w:pPr>
        <w:spacing w:after="0" w:line="240" w:lineRule="auto"/>
        <w:jc w:val="both"/>
        <w:rPr>
          <w:rFonts w:eastAsia="Times New Roman" w:cs="Times New Roman"/>
          <w:sz w:val="30"/>
          <w:szCs w:val="30"/>
          <w:lang w:eastAsia="pl-PL"/>
        </w:rPr>
      </w:pPr>
      <w:r>
        <w:rPr>
          <w:rFonts w:eastAsia="Times New Roman" w:cs="Times New Roman"/>
          <w:sz w:val="30"/>
          <w:szCs w:val="30"/>
          <w:lang w:eastAsia="pl-PL"/>
        </w:rPr>
        <w:t xml:space="preserve">Tabela: Procentowa zmiana ceny akcji spółki, której akcje zostały umieszczone 10 lutego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2"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9 lutego 2015 roku do 9 lutego 2016 roku  oraz procentowa zmiana indeksu WIG 20 w tym okresie. </w:t>
      </w:r>
    </w:p>
    <w:p w:rsidR="000961D5" w:rsidRDefault="000961D5" w:rsidP="000961D5">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09.02.2015</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09.02.2016</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4,50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4,00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-11,1 %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-11,1 %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1 790,87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-24,5%</w:t>
            </w:r>
          </w:p>
        </w:tc>
      </w:tr>
    </w:tbl>
    <w:p w:rsidR="000961D5" w:rsidRDefault="000961D5" w:rsidP="000961D5">
      <w:pPr>
        <w:spacing w:after="0" w:line="240" w:lineRule="auto"/>
        <w:jc w:val="both"/>
        <w:rPr>
          <w:rFonts w:eastAsiaTheme="minorEastAsia" w:cs="Times New Roman"/>
          <w:lang w:eastAsia="pl-PL"/>
        </w:rPr>
      </w:pPr>
    </w:p>
    <w:p w:rsidR="000961D5" w:rsidRDefault="000961D5" w:rsidP="000961D5">
      <w:pPr>
        <w:spacing w:after="0" w:line="240" w:lineRule="auto"/>
        <w:jc w:val="both"/>
        <w:rPr>
          <w:rFonts w:eastAsia="Times New Roman" w:cs="Times New Roman"/>
          <w:lang w:eastAsia="pl-PL"/>
        </w:rPr>
      </w:pPr>
      <w:r>
        <w:rPr>
          <w:rFonts w:eastAsia="Times New Roman" w:cs="Times New Roman"/>
          <w:sz w:val="30"/>
          <w:szCs w:val="30"/>
          <w:lang w:eastAsia="pl-PL"/>
        </w:rPr>
        <w:t xml:space="preserve">Tabela: Procentowa zmiana ceny akcji spółki, której akcje zostały umieszczone 3 marca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3"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2 marca 2015 roku do 2 marca 2016 </w:t>
      </w:r>
      <w:proofErr w:type="gramStart"/>
      <w:r>
        <w:rPr>
          <w:rFonts w:eastAsia="Times New Roman" w:cs="Times New Roman"/>
          <w:sz w:val="30"/>
          <w:szCs w:val="30"/>
          <w:lang w:eastAsia="pl-PL"/>
        </w:rPr>
        <w:t>roku  oraz</w:t>
      </w:r>
      <w:proofErr w:type="gramEnd"/>
      <w:r>
        <w:rPr>
          <w:rFonts w:eastAsia="Times New Roman" w:cs="Times New Roman"/>
          <w:sz w:val="30"/>
          <w:szCs w:val="30"/>
          <w:lang w:eastAsia="pl-PL"/>
        </w:rPr>
        <w:t xml:space="preserve"> procentowa zmiana indeksu WIG 20 w tym okresie. </w:t>
      </w: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02.03.2015</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02.03.2016</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7,57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14,38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+90,0 %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+90,0 %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2 358,25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1 844,57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-21,8 %</w:t>
            </w:r>
          </w:p>
        </w:tc>
      </w:tr>
    </w:tbl>
    <w:p w:rsidR="000961D5" w:rsidRDefault="000961D5" w:rsidP="000961D5">
      <w:pPr>
        <w:spacing w:after="0" w:line="240" w:lineRule="auto"/>
        <w:jc w:val="both"/>
        <w:rPr>
          <w:rFonts w:eastAsia="Times New Roman" w:cs="Times New Roman"/>
          <w:lang w:eastAsia="pl-PL"/>
        </w:rPr>
      </w:pPr>
      <w:r>
        <w:rPr>
          <w:rFonts w:eastAsia="Times New Roman" w:cs="Times New Roman"/>
          <w:sz w:val="30"/>
          <w:szCs w:val="30"/>
          <w:lang w:eastAsia="pl-PL"/>
        </w:rPr>
        <w:lastRenderedPageBreak/>
        <w:t xml:space="preserve">Tabela: Procentowa zmiana ceny akcji spółki, której akcje zostały umieszczone 9 kwietnia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4"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8 kwietnia 2015 roku do 8 kwietnia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08.04.2015</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lang w:eastAsia="pl-PL"/>
              </w:rPr>
            </w:pPr>
            <w:r>
              <w:rPr>
                <w:rFonts w:eastAsiaTheme="minorEastAsia"/>
                <w:lang w:eastAsia="pl-PL"/>
              </w:rPr>
              <w:t>Poziom – 08.04.2016</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1,25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1,44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+15,2 %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+15,2 %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1 919,42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-20,8 %</w:t>
            </w:r>
          </w:p>
        </w:tc>
      </w:tr>
    </w:tbl>
    <w:p w:rsidR="000961D5" w:rsidRDefault="000961D5" w:rsidP="000961D5">
      <w:pPr>
        <w:spacing w:after="0" w:line="240" w:lineRule="auto"/>
        <w:jc w:val="both"/>
        <w:rPr>
          <w:rFonts w:ascii="Calibri" w:eastAsia="Times New Roman" w:hAnsi="Calibri" w:cs="Times New Roman"/>
          <w:sz w:val="90"/>
          <w:szCs w:val="90"/>
          <w:u w:val="single"/>
          <w:lang w:eastAsia="pl-PL"/>
        </w:rPr>
      </w:pPr>
    </w:p>
    <w:p w:rsidR="000961D5" w:rsidRDefault="000961D5" w:rsidP="000961D5">
      <w:pPr>
        <w:spacing w:after="0" w:line="240" w:lineRule="auto"/>
        <w:jc w:val="both"/>
        <w:rPr>
          <w:rFonts w:eastAsia="Times New Roman" w:cs="Times New Roman"/>
          <w:lang w:eastAsia="pl-PL"/>
        </w:rPr>
      </w:pPr>
      <w:r>
        <w:rPr>
          <w:rFonts w:eastAsia="Times New Roman" w:cs="Times New Roman"/>
          <w:sz w:val="30"/>
          <w:szCs w:val="30"/>
          <w:lang w:eastAsia="pl-PL"/>
        </w:rPr>
        <w:t xml:space="preserve">Tabela: Procentowa zmiana ceny akcji spółki, której akcje zostały umieszczone 5 maja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5"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5 maja 2015 roku do 5 maja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Poziom – 04.05.2015</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lang w:eastAsia="pl-PL"/>
              </w:rPr>
            </w:pPr>
            <w:r>
              <w:rPr>
                <w:rFonts w:eastAsiaTheme="minorEastAsia"/>
                <w:lang w:eastAsia="pl-PL"/>
              </w:rPr>
              <w:t>Poziom – 04.05.2016</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Zmiana (w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Akcja spółki Polnord</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11,10 zł.</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12,96 zł.</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+16,8 %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0961D5" w:rsidRDefault="000961D5" w:rsidP="0008493D">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0961D5" w:rsidRDefault="000961D5" w:rsidP="0008493D">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b/>
                <w:color w:val="FF0000"/>
                <w:lang w:eastAsia="pl-PL"/>
              </w:rPr>
            </w:pPr>
            <w:r>
              <w:rPr>
                <w:rFonts w:eastAsiaTheme="minorEastAsia"/>
                <w:b/>
                <w:color w:val="FF0000"/>
                <w:lang w:eastAsia="pl-PL"/>
              </w:rPr>
              <w:t>+16,8 %</w:t>
            </w:r>
          </w:p>
        </w:tc>
      </w:tr>
      <w:tr w:rsidR="000961D5" w:rsidTr="0008493D">
        <w:tc>
          <w:tcPr>
            <w:tcW w:w="34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1 865,25 pkt.</w:t>
            </w:r>
          </w:p>
        </w:tc>
        <w:tc>
          <w:tcPr>
            <w:tcW w:w="1134" w:type="dxa"/>
            <w:tcBorders>
              <w:top w:val="single" w:sz="4" w:space="0" w:color="auto"/>
              <w:left w:val="single" w:sz="4" w:space="0" w:color="auto"/>
              <w:bottom w:val="single" w:sz="4" w:space="0" w:color="auto"/>
              <w:right w:val="single" w:sz="4" w:space="0" w:color="auto"/>
            </w:tcBorders>
            <w:hideMark/>
          </w:tcPr>
          <w:p w:rsidR="000961D5" w:rsidRDefault="000961D5" w:rsidP="0008493D">
            <w:pPr>
              <w:jc w:val="center"/>
              <w:rPr>
                <w:rFonts w:eastAsiaTheme="minorEastAsia"/>
                <w:lang w:eastAsia="pl-PL"/>
              </w:rPr>
            </w:pPr>
            <w:r>
              <w:rPr>
                <w:rFonts w:eastAsiaTheme="minorEastAsia"/>
                <w:lang w:eastAsia="pl-PL"/>
              </w:rPr>
              <w:t>-26,1 %</w:t>
            </w:r>
          </w:p>
        </w:tc>
      </w:tr>
    </w:tbl>
    <w:p w:rsidR="000961D5" w:rsidRPr="004D7555" w:rsidRDefault="000961D5" w:rsidP="000961D5">
      <w:pPr>
        <w:spacing w:after="0" w:line="240" w:lineRule="auto"/>
        <w:jc w:val="both"/>
        <w:rPr>
          <w:rFonts w:ascii="Calibri" w:eastAsia="Times New Roman" w:hAnsi="Calibri" w:cs="Times New Roman"/>
          <w:sz w:val="40"/>
          <w:szCs w:val="40"/>
          <w:u w:val="single"/>
          <w:lang w:eastAsia="pl-PL"/>
        </w:rPr>
      </w:pPr>
    </w:p>
    <w:p w:rsidR="000961D5" w:rsidRPr="004D7555" w:rsidRDefault="000961D5" w:rsidP="000961D5">
      <w:pPr>
        <w:spacing w:after="0" w:line="240" w:lineRule="auto"/>
        <w:jc w:val="both"/>
        <w:rPr>
          <w:rFonts w:ascii="Calibri" w:eastAsia="Times New Roman" w:hAnsi="Calibri" w:cs="Times New Roman"/>
          <w:sz w:val="36"/>
          <w:szCs w:val="36"/>
          <w:u w:val="single"/>
          <w:lang w:eastAsia="pl-PL"/>
        </w:rPr>
      </w:pPr>
      <w:r w:rsidRPr="004D7555">
        <w:rPr>
          <w:rFonts w:ascii="Calibri" w:eastAsia="Times New Roman" w:hAnsi="Calibri" w:cs="Times New Roman"/>
          <w:sz w:val="36"/>
          <w:szCs w:val="36"/>
          <w:u w:val="single"/>
          <w:lang w:eastAsia="pl-PL"/>
        </w:rPr>
        <w:t>Wniosek końcowy z powyższych rozważań brzmi następująco:</w:t>
      </w:r>
    </w:p>
    <w:p w:rsidR="000961D5" w:rsidRPr="004D7555" w:rsidRDefault="000961D5" w:rsidP="000961D5">
      <w:pPr>
        <w:spacing w:after="0" w:line="240" w:lineRule="auto"/>
        <w:jc w:val="both"/>
        <w:rPr>
          <w:rFonts w:ascii="Calibri" w:eastAsia="Times New Roman" w:hAnsi="Calibri" w:cs="Times New Roman"/>
          <w:color w:val="FF0000"/>
          <w:sz w:val="36"/>
          <w:szCs w:val="36"/>
          <w:u w:val="single"/>
          <w:lang w:eastAsia="pl-PL"/>
        </w:rPr>
      </w:pPr>
    </w:p>
    <w:p w:rsidR="000961D5" w:rsidRDefault="000961D5" w:rsidP="000961D5">
      <w:pPr>
        <w:spacing w:after="0" w:line="240" w:lineRule="auto"/>
        <w:jc w:val="both"/>
        <w:rPr>
          <w:rFonts w:ascii="Calibri" w:eastAsia="Times New Roman" w:hAnsi="Calibri" w:cs="Times New Roman"/>
          <w:b/>
          <w:color w:val="000000" w:themeColor="text1"/>
          <w:sz w:val="36"/>
          <w:szCs w:val="36"/>
          <w:u w:val="single"/>
          <w:lang w:eastAsia="pl-PL"/>
        </w:rPr>
      </w:pPr>
      <w:r w:rsidRPr="004D7555">
        <w:rPr>
          <w:rFonts w:ascii="Calibri" w:eastAsia="Times New Roman" w:hAnsi="Calibri" w:cs="Times New Roman"/>
          <w:color w:val="000000"/>
          <w:sz w:val="36"/>
          <w:szCs w:val="36"/>
          <w:lang w:eastAsia="pl-PL"/>
        </w:rPr>
        <w:t xml:space="preserve">Średnia procentowa zmiana kursu akcji spółki po wprowadzeniu jej do rubryki </w:t>
      </w:r>
      <w:proofErr w:type="gramStart"/>
      <w:r w:rsidRPr="004D7555">
        <w:rPr>
          <w:rFonts w:ascii="Calibri" w:eastAsia="Times New Roman" w:hAnsi="Calibri" w:cs="Times New Roman"/>
          <w:b/>
          <w:color w:val="FF0000"/>
          <w:sz w:val="36"/>
          <w:szCs w:val="36"/>
          <w:lang w:eastAsia="pl-PL"/>
        </w:rPr>
        <w:t>,,</w:t>
      </w:r>
      <w:proofErr w:type="gramEnd"/>
      <w:r w:rsidRPr="004D7555">
        <w:rPr>
          <w:rFonts w:ascii="Calibri" w:eastAsia="Times New Roman" w:hAnsi="Calibri" w:cs="Times New Roman"/>
          <w:b/>
          <w:color w:val="FF0000"/>
          <w:sz w:val="36"/>
          <w:szCs w:val="36"/>
          <w:lang w:eastAsia="pl-PL"/>
        </w:rPr>
        <w:t>Wykres do przemyślenia”</w:t>
      </w:r>
      <w:r w:rsidRPr="004D7555">
        <w:rPr>
          <w:rFonts w:ascii="Calibri" w:eastAsia="Times New Roman" w:hAnsi="Calibri" w:cs="Times New Roman"/>
          <w:color w:val="000000"/>
          <w:sz w:val="36"/>
          <w:szCs w:val="36"/>
          <w:lang w:eastAsia="pl-PL"/>
        </w:rPr>
        <w:t xml:space="preserve"> w okresie 12 pierwszych miesięcy po jej wprowadzeniu do tej rubryki wynosiła </w:t>
      </w:r>
      <w:r w:rsidRPr="004D7555">
        <w:rPr>
          <w:rFonts w:ascii="Calibri" w:eastAsia="Times New Roman" w:hAnsi="Calibri" w:cs="Times New Roman"/>
          <w:b/>
          <w:color w:val="FF0000"/>
          <w:sz w:val="36"/>
          <w:szCs w:val="36"/>
          <w:lang w:eastAsia="pl-PL"/>
        </w:rPr>
        <w:t>plus 14,</w:t>
      </w:r>
      <w:r>
        <w:rPr>
          <w:rFonts w:ascii="Calibri" w:eastAsia="Times New Roman" w:hAnsi="Calibri" w:cs="Times New Roman"/>
          <w:b/>
          <w:color w:val="FF0000"/>
          <w:sz w:val="36"/>
          <w:szCs w:val="36"/>
          <w:lang w:eastAsia="pl-PL"/>
        </w:rPr>
        <w:t>3</w:t>
      </w:r>
      <w:r w:rsidRPr="004D7555">
        <w:rPr>
          <w:rFonts w:ascii="Calibri" w:eastAsia="Times New Roman" w:hAnsi="Calibri" w:cs="Times New Roman"/>
          <w:b/>
          <w:color w:val="FF0000"/>
          <w:sz w:val="36"/>
          <w:szCs w:val="36"/>
          <w:lang w:eastAsia="pl-PL"/>
        </w:rPr>
        <w:t xml:space="preserve"> %.</w:t>
      </w:r>
      <w:r w:rsidRPr="004D7555">
        <w:rPr>
          <w:rFonts w:ascii="Calibri" w:eastAsia="Times New Roman" w:hAnsi="Calibri" w:cs="Times New Roman"/>
          <w:color w:val="FF0000"/>
          <w:sz w:val="36"/>
          <w:szCs w:val="36"/>
          <w:lang w:eastAsia="pl-PL"/>
        </w:rPr>
        <w:t xml:space="preserve"> </w:t>
      </w:r>
      <w:r w:rsidRPr="004D7555">
        <w:rPr>
          <w:rFonts w:ascii="Calibri" w:eastAsia="Times New Roman" w:hAnsi="Calibri" w:cs="Times New Roman"/>
          <w:color w:val="000000" w:themeColor="text1"/>
          <w:sz w:val="36"/>
          <w:szCs w:val="36"/>
          <w:lang w:eastAsia="pl-PL"/>
        </w:rPr>
        <w:t xml:space="preserve">Średnia procentowa zmiana indeksu </w:t>
      </w:r>
      <w:r w:rsidRPr="004D7555">
        <w:rPr>
          <w:rFonts w:ascii="Calibri" w:eastAsia="Times New Roman" w:hAnsi="Calibri" w:cs="Times New Roman"/>
          <w:color w:val="000000" w:themeColor="text1"/>
          <w:sz w:val="36"/>
          <w:szCs w:val="36"/>
          <w:u w:val="single"/>
          <w:lang w:eastAsia="pl-PL"/>
        </w:rPr>
        <w:t xml:space="preserve">WIG20 </w:t>
      </w:r>
      <w:r w:rsidRPr="004D7555">
        <w:rPr>
          <w:rFonts w:ascii="Calibri" w:eastAsia="Times New Roman" w:hAnsi="Calibri" w:cs="Times New Roman"/>
          <w:color w:val="000000" w:themeColor="text1"/>
          <w:sz w:val="36"/>
          <w:szCs w:val="36"/>
          <w:lang w:eastAsia="pl-PL"/>
        </w:rPr>
        <w:t xml:space="preserve">w tym okresie wynosiła </w:t>
      </w:r>
      <w:r w:rsidRPr="004D7555">
        <w:rPr>
          <w:rFonts w:ascii="Calibri" w:eastAsia="Times New Roman" w:hAnsi="Calibri" w:cs="Times New Roman"/>
          <w:b/>
          <w:color w:val="000000" w:themeColor="text1"/>
          <w:sz w:val="36"/>
          <w:szCs w:val="36"/>
          <w:u w:val="single"/>
          <w:lang w:eastAsia="pl-PL"/>
        </w:rPr>
        <w:t>minus 17,</w:t>
      </w:r>
      <w:r>
        <w:rPr>
          <w:rFonts w:ascii="Calibri" w:eastAsia="Times New Roman" w:hAnsi="Calibri" w:cs="Times New Roman"/>
          <w:b/>
          <w:color w:val="000000" w:themeColor="text1"/>
          <w:sz w:val="36"/>
          <w:szCs w:val="36"/>
          <w:u w:val="single"/>
          <w:lang w:eastAsia="pl-PL"/>
        </w:rPr>
        <w:t>8</w:t>
      </w:r>
      <w:r w:rsidRPr="004D7555">
        <w:rPr>
          <w:rFonts w:ascii="Calibri" w:eastAsia="Times New Roman" w:hAnsi="Calibri" w:cs="Times New Roman"/>
          <w:b/>
          <w:color w:val="000000" w:themeColor="text1"/>
          <w:sz w:val="36"/>
          <w:szCs w:val="36"/>
          <w:u w:val="single"/>
          <w:lang w:eastAsia="pl-PL"/>
        </w:rPr>
        <w:t xml:space="preserve"> %. </w:t>
      </w:r>
    </w:p>
    <w:p w:rsidR="000961D5" w:rsidRDefault="000961D5" w:rsidP="000961D5">
      <w:pPr>
        <w:spacing w:after="0" w:line="240" w:lineRule="auto"/>
        <w:jc w:val="both"/>
        <w:rPr>
          <w:rFonts w:ascii="Calibri" w:eastAsia="Times New Roman" w:hAnsi="Calibri" w:cs="Times New Roman"/>
          <w:b/>
          <w:color w:val="000000" w:themeColor="text1"/>
          <w:sz w:val="36"/>
          <w:szCs w:val="36"/>
          <w:u w:val="single"/>
          <w:lang w:eastAsia="pl-PL"/>
        </w:rPr>
      </w:pPr>
    </w:p>
    <w:p w:rsidR="000961D5" w:rsidRDefault="000961D5" w:rsidP="000961D5">
      <w:pPr>
        <w:spacing w:after="0" w:line="240" w:lineRule="auto"/>
        <w:jc w:val="both"/>
        <w:rPr>
          <w:rFonts w:ascii="Calibri" w:eastAsia="Times New Roman" w:hAnsi="Calibri" w:cs="Times New Roman"/>
          <w:b/>
          <w:color w:val="000000" w:themeColor="text1"/>
          <w:sz w:val="36"/>
          <w:szCs w:val="36"/>
          <w:u w:val="single"/>
          <w:lang w:eastAsia="pl-PL"/>
        </w:rPr>
      </w:pPr>
    </w:p>
    <w:p w:rsidR="000961D5" w:rsidRDefault="000961D5" w:rsidP="000961D5">
      <w:pPr>
        <w:spacing w:after="0" w:line="240" w:lineRule="auto"/>
        <w:jc w:val="both"/>
        <w:rPr>
          <w:rFonts w:eastAsia="Times New Roman" w:cs="Times New Roman"/>
          <w:b/>
          <w:lang w:eastAsia="pl-PL"/>
        </w:rPr>
      </w:pPr>
      <w:r>
        <w:rPr>
          <w:rFonts w:eastAsia="Times New Roman" w:cs="Times New Roman"/>
          <w:b/>
          <w:lang w:eastAsia="pl-PL"/>
        </w:rPr>
        <w:lastRenderedPageBreak/>
        <w:t>Wnioski końcowe</w:t>
      </w:r>
    </w:p>
    <w:p w:rsidR="000961D5" w:rsidRDefault="000961D5" w:rsidP="000961D5">
      <w:pPr>
        <w:spacing w:after="0" w:line="240" w:lineRule="auto"/>
        <w:jc w:val="both"/>
        <w:rPr>
          <w:rFonts w:eastAsia="Times New Roman" w:cs="Times New Roman"/>
          <w:lang w:eastAsia="pl-PL"/>
        </w:rPr>
      </w:pPr>
    </w:p>
    <w:p w:rsidR="000961D5" w:rsidRDefault="000961D5" w:rsidP="000961D5">
      <w:pPr>
        <w:numPr>
          <w:ilvl w:val="0"/>
          <w:numId w:val="1"/>
        </w:numPr>
        <w:spacing w:after="0" w:line="240" w:lineRule="auto"/>
        <w:contextualSpacing/>
        <w:jc w:val="both"/>
        <w:rPr>
          <w:rFonts w:eastAsia="Times New Roman" w:cs="Times New Roman"/>
          <w:b/>
          <w:color w:val="FF0000"/>
          <w:lang w:eastAsia="pl-PL"/>
        </w:rPr>
      </w:pPr>
      <w:r>
        <w:rPr>
          <w:rFonts w:eastAsia="Times New Roman" w:cs="Times New Roman"/>
          <w:color w:val="000000" w:themeColor="text1"/>
          <w:lang w:eastAsia="pl-PL"/>
        </w:rPr>
        <w:t xml:space="preserve">Kurs </w:t>
      </w:r>
      <w:r>
        <w:rPr>
          <w:rFonts w:eastAsia="Times New Roman" w:cs="Times New Roman"/>
          <w:lang w:eastAsia="pl-PL"/>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imes New Roman" w:cs="Times New Roman"/>
          <w:b/>
          <w:color w:val="FF0000"/>
          <w:lang w:eastAsia="pl-PL"/>
        </w:rPr>
        <w:t xml:space="preserve">do 4,4252 zł. </w:t>
      </w:r>
    </w:p>
    <w:p w:rsidR="000961D5" w:rsidRDefault="000961D5" w:rsidP="000961D5">
      <w:pPr>
        <w:spacing w:after="0" w:line="240" w:lineRule="auto"/>
        <w:contextualSpacing/>
        <w:jc w:val="both"/>
        <w:rPr>
          <w:rFonts w:eastAsia="Times New Roman" w:cs="Times New Roman"/>
          <w:b/>
          <w:color w:val="FF0000"/>
          <w:lang w:eastAsia="pl-PL"/>
        </w:rPr>
      </w:pPr>
    </w:p>
    <w:p w:rsidR="000961D5" w:rsidRDefault="000961D5" w:rsidP="000961D5">
      <w:pPr>
        <w:numPr>
          <w:ilvl w:val="0"/>
          <w:numId w:val="1"/>
        </w:numPr>
        <w:spacing w:after="0" w:line="240" w:lineRule="auto"/>
        <w:contextualSpacing/>
        <w:jc w:val="both"/>
        <w:rPr>
          <w:rFonts w:eastAsia="Times New Roman" w:cs="Times New Roman"/>
          <w:color w:val="000000" w:themeColor="text1"/>
          <w:lang w:eastAsia="pl-PL"/>
        </w:rPr>
      </w:pPr>
      <w:r>
        <w:rPr>
          <w:rFonts w:eastAsia="Times New Roman" w:cs="Times New Roman"/>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4,3607 zł. Dojście do oporu (szczyt z 26 grudnia 2014 roku) może osłabiło kursu euro (w złotych). W piątek 15 stycznia popyt zaatakował. Przebite zostało roczne maksimum. Można oczekiwać wzrostu w kierunku </w:t>
      </w:r>
      <w:r>
        <w:rPr>
          <w:rFonts w:eastAsia="Times New Roman" w:cs="Times New Roman"/>
          <w:b/>
          <w:color w:val="FF0000"/>
          <w:lang w:eastAsia="pl-PL"/>
        </w:rPr>
        <w:t>4,5644</w:t>
      </w:r>
      <w:r>
        <w:rPr>
          <w:rFonts w:eastAsia="Times New Roman" w:cs="Times New Roman"/>
          <w:color w:val="FF0000"/>
          <w:lang w:eastAsia="pl-PL"/>
        </w:rPr>
        <w:t xml:space="preserve"> </w:t>
      </w:r>
      <w:r>
        <w:rPr>
          <w:rFonts w:eastAsia="Times New Roman" w:cs="Times New Roman"/>
          <w:lang w:eastAsia="pl-PL"/>
        </w:rPr>
        <w:t>(szczyt z 13 grudnia 2011 roku).</w:t>
      </w:r>
    </w:p>
    <w:p w:rsidR="000961D5" w:rsidRDefault="000961D5" w:rsidP="000961D5">
      <w:pPr>
        <w:spacing w:after="0" w:line="240" w:lineRule="auto"/>
        <w:contextualSpacing/>
        <w:jc w:val="both"/>
        <w:rPr>
          <w:rFonts w:eastAsia="Times New Roman" w:cs="Times New Roman"/>
          <w:color w:val="000000" w:themeColor="text1"/>
          <w:lang w:eastAsia="pl-PL"/>
        </w:rPr>
      </w:pPr>
    </w:p>
    <w:p w:rsidR="000961D5" w:rsidRPr="00A567FF" w:rsidRDefault="000961D5" w:rsidP="000961D5">
      <w:pPr>
        <w:numPr>
          <w:ilvl w:val="0"/>
          <w:numId w:val="1"/>
        </w:numPr>
        <w:spacing w:after="0" w:line="240" w:lineRule="auto"/>
        <w:contextualSpacing/>
        <w:jc w:val="both"/>
        <w:rPr>
          <w:rFonts w:eastAsia="Times New Roman" w:cs="Times New Roman"/>
          <w:lang w:eastAsia="pl-PL"/>
        </w:rPr>
      </w:pPr>
      <w:r w:rsidRPr="00F763C3">
        <w:rPr>
          <w:rFonts w:eastAsia="Times New Roman" w:cs="Times New Roman"/>
          <w:color w:val="000000" w:themeColor="text1"/>
          <w:lang w:eastAsia="pl-PL"/>
        </w:rPr>
        <w:t>Zachowanie indeksów giełdowych można badań w rożnych okresach. Spoglądając choćby na okres ostatnich 3 miesięcy można zauważyć, że indeks WIG20 był niestety jednym z najsłabszych indeksów na świecie.</w:t>
      </w:r>
      <w:r>
        <w:rPr>
          <w:rFonts w:eastAsia="Times New Roman" w:cs="Times New Roman"/>
          <w:color w:val="000000" w:themeColor="text1"/>
          <w:lang w:eastAsia="pl-PL"/>
        </w:rPr>
        <w:t xml:space="preserve"> </w:t>
      </w:r>
      <w:r w:rsidRPr="00F763C3">
        <w:rPr>
          <w:rFonts w:eastAsia="Times New Roman" w:cs="Times New Roman"/>
          <w:color w:val="000000" w:themeColor="text1"/>
          <w:lang w:eastAsia="pl-PL"/>
        </w:rPr>
        <w:t xml:space="preserve">Skoro na przestrzeni ostatnich 3 miesięcy zachowanie indeksu WIG20 było stosunkowo słabe w sytuacji relatywnie niezłego zachowania indeksów zagranicznych to można założyć, że w gdyby sytuacja za granica się pogorszyła to wówczas tym bardziej indeks WIG20 mógłby spadać. Naturalnie pewności nie ma, ale ryzyko takiego scenariusza jest spore. Oczywiście wiele zależy właśnie od zachowania indeksów zagranicznym, w tym zwłaszcza indeksu SP 500. </w:t>
      </w:r>
      <w:r w:rsidRPr="00A567FF">
        <w:rPr>
          <w:rFonts w:eastAsia="Times New Roman" w:cs="Times New Roman"/>
          <w:color w:val="000000" w:themeColor="text1"/>
          <w:lang w:eastAsia="pl-PL"/>
        </w:rPr>
        <w:t xml:space="preserve">Mimo to jest dość prawdopodobne, że będzie grupa spółek, których kurs zachowywać się będzie lepiej od indeksu WIG20. Być może spółką tą będzie </w:t>
      </w:r>
      <w:r w:rsidRPr="00F763C3">
        <w:rPr>
          <w:rFonts w:eastAsia="Times New Roman" w:cs="Times New Roman"/>
          <w:b/>
          <w:color w:val="FF0000"/>
          <w:lang w:eastAsia="pl-PL"/>
        </w:rPr>
        <w:t>Izolacja Jarocin</w:t>
      </w:r>
      <w:r>
        <w:rPr>
          <w:rFonts w:eastAsia="Times New Roman" w:cs="Times New Roman"/>
          <w:color w:val="000000" w:themeColor="text1"/>
          <w:lang w:eastAsia="pl-PL"/>
        </w:rPr>
        <w:t xml:space="preserve">. </w:t>
      </w:r>
      <w:r w:rsidRPr="00F763C3">
        <w:rPr>
          <w:rFonts w:eastAsia="Times New Roman" w:cs="Times New Roman"/>
          <w:b/>
          <w:color w:val="000000" w:themeColor="text1"/>
          <w:lang w:eastAsia="pl-PL"/>
        </w:rPr>
        <w:t>Na wykresie siły względnej Izolacja/WIG20 doszło do wybicia z formacji podwójnego dna</w:t>
      </w:r>
      <w:r>
        <w:rPr>
          <w:rFonts w:eastAsia="Times New Roman" w:cs="Times New Roman"/>
          <w:color w:val="000000" w:themeColor="text1"/>
          <w:lang w:eastAsia="pl-PL"/>
        </w:rPr>
        <w:t xml:space="preserve">, co stwarza szasnę na lepsze w przyszłości zachowanie kursu akcji spółki Izolacja, niż indeksu WIG20. </w:t>
      </w:r>
    </w:p>
    <w:p w:rsidR="000961D5" w:rsidRDefault="000961D5" w:rsidP="000961D5">
      <w:pPr>
        <w:spacing w:after="0" w:line="240" w:lineRule="auto"/>
        <w:jc w:val="both"/>
        <w:rPr>
          <w:rFonts w:eastAsia="Times New Roman" w:cs="Times New Roman"/>
          <w:lang w:eastAsia="pl-PL"/>
        </w:rPr>
      </w:pPr>
    </w:p>
    <w:p w:rsidR="000961D5" w:rsidRDefault="000961D5" w:rsidP="000961D5">
      <w:pPr>
        <w:spacing w:after="0" w:line="240" w:lineRule="auto"/>
        <w:jc w:val="both"/>
        <w:rPr>
          <w:rFonts w:eastAsia="Times New Roman" w:cs="Times New Roman"/>
          <w:lang w:eastAsia="pl-PL"/>
        </w:rPr>
      </w:pPr>
      <w:r>
        <w:rPr>
          <w:rFonts w:eastAsia="Times New Roman" w:cs="Times New Roman"/>
          <w:lang w:eastAsia="pl-PL"/>
        </w:rPr>
        <w:t>Opracował: Sławomir Kłusek, 6 czerwca 2016 roku</w:t>
      </w:r>
    </w:p>
    <w:p w:rsidR="000961D5" w:rsidRDefault="000961D5" w:rsidP="000961D5">
      <w:pPr>
        <w:spacing w:after="0" w:line="240" w:lineRule="auto"/>
        <w:jc w:val="both"/>
        <w:rPr>
          <w:rFonts w:eastAsia="Times New Roman" w:cs="Times New Roman"/>
          <w:lang w:eastAsia="pl-PL"/>
        </w:rPr>
      </w:pPr>
    </w:p>
    <w:p w:rsidR="000961D5" w:rsidRDefault="000961D5" w:rsidP="000961D5">
      <w:pPr>
        <w:spacing w:after="0" w:line="240" w:lineRule="auto"/>
        <w:jc w:val="both"/>
        <w:rPr>
          <w:rFonts w:eastAsia="Times New Roman" w:cs="Times New Roman"/>
          <w:lang w:eastAsia="pl-PL"/>
        </w:rPr>
      </w:pPr>
      <w:r>
        <w:rPr>
          <w:rFonts w:eastAsia="Times New Roman" w:cs="Times New Roman"/>
          <w:lang w:eastAsia="pl-PL"/>
        </w:rPr>
        <w:t xml:space="preserve">Powyższy raport stanowi wyłącznie wyraz osobistych opinii autora. </w:t>
      </w:r>
    </w:p>
    <w:p w:rsidR="000961D5" w:rsidRDefault="000961D5" w:rsidP="000961D5">
      <w:pPr>
        <w:spacing w:after="0" w:line="240" w:lineRule="auto"/>
        <w:jc w:val="both"/>
        <w:rPr>
          <w:rFonts w:eastAsia="Times New Roman" w:cs="Times New Roman"/>
          <w:lang w:eastAsia="pl-PL"/>
        </w:rPr>
      </w:pPr>
    </w:p>
    <w:p w:rsidR="000961D5" w:rsidRDefault="000961D5" w:rsidP="000961D5">
      <w:pPr>
        <w:spacing w:after="0" w:line="240" w:lineRule="auto"/>
        <w:jc w:val="both"/>
        <w:rPr>
          <w:rFonts w:eastAsia="Times New Roman" w:cs="Times New Roman"/>
          <w:lang w:eastAsia="pl-PL"/>
        </w:rPr>
      </w:pPr>
      <w:r>
        <w:rPr>
          <w:rFonts w:eastAsia="Times New Roman" w:cs="Times New Roman"/>
          <w:lang w:eastAsia="pl-PL"/>
        </w:rPr>
        <w:t xml:space="preserve">Treści zawarte na stronie internetowej </w:t>
      </w:r>
      <w:hyperlink r:id="rId26" w:history="1">
        <w:r>
          <w:rPr>
            <w:rStyle w:val="Hipercze"/>
            <w:rFonts w:eastAsia="Times New Roman" w:cs="Times New Roman"/>
            <w:lang w:eastAsia="pl-PL"/>
          </w:rPr>
          <w:t>www.analizy-rynkowe.pl</w:t>
        </w:r>
      </w:hyperlink>
      <w:r>
        <w:rPr>
          <w:rFonts w:eastAsia="Times New Roman" w:cs="Times New Roman"/>
          <w:lang w:eastAsia="pl-PL"/>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Pr>
          <w:rFonts w:eastAsia="Times New Roman" w:cs="Times New Roman"/>
          <w:lang w:eastAsia="pl-PL"/>
        </w:rPr>
        <w:t>Dz.U</w:t>
      </w:r>
      <w:proofErr w:type="spellEnd"/>
      <w:r>
        <w:rPr>
          <w:rFonts w:eastAsia="Times New Roman" w:cs="Times New Roman"/>
          <w:lang w:eastAsia="pl-PL"/>
        </w:rPr>
        <w:t xml:space="preserve">. </w:t>
      </w:r>
      <w:proofErr w:type="gramStart"/>
      <w:r>
        <w:rPr>
          <w:rFonts w:eastAsia="Times New Roman" w:cs="Times New Roman"/>
          <w:lang w:eastAsia="pl-PL"/>
        </w:rPr>
        <w:t>z</w:t>
      </w:r>
      <w:proofErr w:type="gramEnd"/>
      <w:r>
        <w:rPr>
          <w:rFonts w:eastAsia="Times New Roman" w:cs="Times New Roman"/>
          <w:lang w:eastAsia="pl-PL"/>
        </w:rPr>
        <w:t xml:space="preserve"> 2005 r. Nr 206, poz. 1715).</w:t>
      </w:r>
    </w:p>
    <w:p w:rsidR="000961D5" w:rsidRDefault="000961D5" w:rsidP="000961D5">
      <w:pPr>
        <w:spacing w:after="0" w:line="240" w:lineRule="auto"/>
        <w:jc w:val="both"/>
        <w:rPr>
          <w:rFonts w:eastAsia="Times New Roman" w:cs="Times New Roman"/>
          <w:lang w:eastAsia="pl-PL"/>
        </w:rPr>
      </w:pPr>
    </w:p>
    <w:p w:rsidR="000961D5" w:rsidRDefault="000961D5" w:rsidP="000961D5">
      <w:pPr>
        <w:spacing w:after="0" w:line="240" w:lineRule="auto"/>
        <w:jc w:val="both"/>
        <w:rPr>
          <w:rFonts w:ascii="Calibri" w:eastAsia="Times New Roman" w:hAnsi="Calibri" w:cs="Times New Roman"/>
          <w:b/>
          <w:color w:val="000000" w:themeColor="text1"/>
          <w:sz w:val="58"/>
          <w:szCs w:val="58"/>
          <w:u w:val="single"/>
          <w:lang w:eastAsia="pl-PL"/>
        </w:rPr>
      </w:pPr>
      <w:r>
        <w:rPr>
          <w:rFonts w:eastAsia="Times New Roman" w:cs="Times New Roman"/>
          <w:lang w:eastAsia="pl-PL"/>
        </w:rPr>
        <w:t xml:space="preserve">Autor nie ponosi odpowiedzialności za jakiekolwiek decyzje inwestycyjne podjęte na podstawie treści zawartych na stronie internetowej </w:t>
      </w:r>
      <w:hyperlink r:id="rId27" w:history="1">
        <w:r>
          <w:rPr>
            <w:rStyle w:val="Hipercze"/>
            <w:rFonts w:eastAsia="Times New Roman" w:cs="Times New Roman"/>
            <w:lang w:eastAsia="pl-PL"/>
          </w:rPr>
          <w:t>www.analizy-rynkowe.pl</w:t>
        </w:r>
      </w:hyperlink>
    </w:p>
    <w:p w:rsidR="000961D5" w:rsidRDefault="000961D5" w:rsidP="000961D5">
      <w:pPr>
        <w:spacing w:after="0" w:line="240" w:lineRule="auto"/>
        <w:jc w:val="both"/>
        <w:rPr>
          <w:sz w:val="26"/>
          <w:szCs w:val="26"/>
        </w:rPr>
      </w:pPr>
    </w:p>
    <w:p w:rsidR="000961D5" w:rsidRDefault="000961D5" w:rsidP="000961D5">
      <w:pPr>
        <w:spacing w:after="0" w:line="240" w:lineRule="auto"/>
        <w:jc w:val="both"/>
        <w:rPr>
          <w:sz w:val="26"/>
          <w:szCs w:val="26"/>
        </w:rPr>
      </w:pPr>
    </w:p>
    <w:p w:rsidR="000961D5" w:rsidRDefault="000961D5" w:rsidP="000961D5">
      <w:pPr>
        <w:spacing w:after="0" w:line="240" w:lineRule="auto"/>
        <w:jc w:val="both"/>
        <w:rPr>
          <w:sz w:val="26"/>
          <w:szCs w:val="26"/>
        </w:rPr>
      </w:pPr>
    </w:p>
    <w:p w:rsidR="000961D5" w:rsidRDefault="000961D5" w:rsidP="000961D5">
      <w:pPr>
        <w:spacing w:after="0" w:line="240" w:lineRule="auto"/>
        <w:jc w:val="both"/>
        <w:rPr>
          <w:sz w:val="26"/>
          <w:szCs w:val="26"/>
        </w:rPr>
      </w:pPr>
    </w:p>
    <w:p w:rsidR="000961D5" w:rsidRDefault="000961D5" w:rsidP="000961D5">
      <w:pPr>
        <w:spacing w:after="0" w:line="240" w:lineRule="auto"/>
        <w:jc w:val="both"/>
        <w:rPr>
          <w:sz w:val="26"/>
          <w:szCs w:val="26"/>
        </w:rPr>
      </w:pPr>
    </w:p>
    <w:p w:rsidR="00F40BD5" w:rsidRDefault="00F40BD5">
      <w:bookmarkStart w:id="0" w:name="_GoBack"/>
      <w:bookmarkEnd w:id="0"/>
    </w:p>
    <w:sectPr w:rsidR="00F40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D5"/>
    <w:rsid w:val="000961D5"/>
    <w:rsid w:val="00F40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1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61D5"/>
    <w:pPr>
      <w:spacing w:after="0" w:line="240" w:lineRule="auto"/>
    </w:pPr>
  </w:style>
  <w:style w:type="table" w:styleId="Tabela-Siatka">
    <w:name w:val="Table Grid"/>
    <w:basedOn w:val="Standardowy"/>
    <w:uiPriority w:val="59"/>
    <w:rsid w:val="00096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961D5"/>
    <w:rPr>
      <w:color w:val="0000FF" w:themeColor="hyperlink"/>
      <w:u w:val="single"/>
    </w:rPr>
  </w:style>
  <w:style w:type="paragraph" w:styleId="Tekstdymka">
    <w:name w:val="Balloon Text"/>
    <w:basedOn w:val="Normalny"/>
    <w:link w:val="TekstdymkaZnak"/>
    <w:uiPriority w:val="99"/>
    <w:semiHidden/>
    <w:unhideWhenUsed/>
    <w:rsid w:val="00096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1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61D5"/>
    <w:pPr>
      <w:spacing w:after="0" w:line="240" w:lineRule="auto"/>
    </w:pPr>
  </w:style>
  <w:style w:type="table" w:styleId="Tabela-Siatka">
    <w:name w:val="Table Grid"/>
    <w:basedOn w:val="Standardowy"/>
    <w:uiPriority w:val="59"/>
    <w:rsid w:val="00096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961D5"/>
    <w:rPr>
      <w:color w:val="0000FF" w:themeColor="hyperlink"/>
      <w:u w:val="single"/>
    </w:rPr>
  </w:style>
  <w:style w:type="paragraph" w:styleId="Tekstdymka">
    <w:name w:val="Balloon Text"/>
    <w:basedOn w:val="Normalny"/>
    <w:link w:val="TekstdymkaZnak"/>
    <w:uiPriority w:val="99"/>
    <w:semiHidden/>
    <w:unhideWhenUsed/>
    <w:rsid w:val="00096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analizy-rynkowe.pl/" TargetMode="External"/><Relationship Id="rId18" Type="http://schemas.openxmlformats.org/officeDocument/2006/relationships/hyperlink" Target="http://www.analizy-rynkowe.pl" TargetMode="External"/><Relationship Id="rId26" Type="http://schemas.openxmlformats.org/officeDocument/2006/relationships/hyperlink" Target="http://www.analizy-rynkowe.pl" TargetMode="External"/><Relationship Id="rId3" Type="http://schemas.microsoft.com/office/2007/relationships/stylesWithEffects" Target="stylesWithEffects.xml"/><Relationship Id="rId21" Type="http://schemas.openxmlformats.org/officeDocument/2006/relationships/hyperlink" Target="http://www.analizy-rynkowe.pl"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hyperlink" Target="http://www.analizy-rynkowe.pl" TargetMode="External"/><Relationship Id="rId5" Type="http://schemas.openxmlformats.org/officeDocument/2006/relationships/webSettings" Target="webSettings.xml"/><Relationship Id="rId15" Type="http://schemas.openxmlformats.org/officeDocument/2006/relationships/hyperlink" Target="http://www.analizy-rynkowe.pl" TargetMode="External"/><Relationship Id="rId23" Type="http://schemas.openxmlformats.org/officeDocument/2006/relationships/hyperlink" Target="http://www.analizy-rynkowe.pl" TargetMode="External"/><Relationship Id="rId28"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http://www.analizy-rynkowe.pl"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analizy-rynkowe.pl" TargetMode="External"/><Relationship Id="rId22" Type="http://schemas.openxmlformats.org/officeDocument/2006/relationships/hyperlink" Target="http://www.analizy-rynkowe.pl" TargetMode="External"/><Relationship Id="rId27"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2708</Words>
  <Characters>16249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1</cp:revision>
  <dcterms:created xsi:type="dcterms:W3CDTF">2016-06-05T07:27:00Z</dcterms:created>
  <dcterms:modified xsi:type="dcterms:W3CDTF">2016-06-05T07:29:00Z</dcterms:modified>
</cp:coreProperties>
</file>