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EFF" w:rsidRDefault="00C02EFF" w:rsidP="00C02EFF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Raport</w:t>
      </w:r>
    </w:p>
    <w:p w:rsidR="00C02EFF" w:rsidRDefault="00C02EFF" w:rsidP="00C02EFF">
      <w:pPr>
        <w:spacing w:after="0" w:line="240" w:lineRule="auto"/>
        <w:jc w:val="center"/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color w:val="FF0000"/>
          <w:sz w:val="180"/>
          <w:szCs w:val="18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Tygodniowy</w:t>
      </w:r>
    </w:p>
    <w:p w:rsidR="00C02EFF" w:rsidRDefault="00C02EFF" w:rsidP="00C02EFF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sytuacji na</w:t>
      </w:r>
    </w:p>
    <w:p w:rsidR="00C02EFF" w:rsidRDefault="00C02EFF" w:rsidP="00C02EFF">
      <w:pPr>
        <w:spacing w:after="0" w:line="240" w:lineRule="auto"/>
        <w:jc w:val="center"/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gramStart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rynkach</w:t>
      </w:r>
      <w:proofErr w:type="gramEnd"/>
      <w:r>
        <w:rPr>
          <w:rFonts w:eastAsiaTheme="minorEastAsia"/>
          <w:color w:val="FF0000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finansowych</w:t>
      </w:r>
    </w:p>
    <w:p w:rsidR="00C02EFF" w:rsidRDefault="00C02EFF" w:rsidP="00C02EFF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C02EFF" w:rsidRDefault="00C02EFF" w:rsidP="00C02EFF">
      <w:pPr>
        <w:spacing w:after="0" w:line="240" w:lineRule="auto"/>
        <w:jc w:val="center"/>
        <w:rPr>
          <w:rFonts w:eastAsiaTheme="minorEastAsia"/>
          <w:sz w:val="48"/>
          <w:szCs w:val="48"/>
          <w:lang w:eastAsia="pl-PL"/>
        </w:rPr>
      </w:pPr>
    </w:p>
    <w:p w:rsidR="00C02EFF" w:rsidRDefault="00C02EFF" w:rsidP="00C02EFF">
      <w:pPr>
        <w:spacing w:after="0" w:line="240" w:lineRule="auto"/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walutowy</w:t>
      </w:r>
    </w:p>
    <w:p w:rsidR="00C02EFF" w:rsidRDefault="00C02EFF" w:rsidP="00C02EFF">
      <w:pPr>
        <w:spacing w:after="0" w:line="240" w:lineRule="auto"/>
        <w:jc w:val="center"/>
        <w:rPr>
          <w:rFonts w:eastAsiaTheme="minorEastAsia"/>
          <w:sz w:val="100"/>
          <w:szCs w:val="10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02EFF" w:rsidRDefault="00C02EFF" w:rsidP="00C02EFF">
      <w:pPr>
        <w:jc w:val="center"/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100"/>
          <w:szCs w:val="100"/>
          <w:u w:val="single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Rynek akcji</w:t>
      </w:r>
    </w:p>
    <w:p w:rsidR="00C02EFF" w:rsidRDefault="00C02EFF" w:rsidP="00C02EFF">
      <w:pPr>
        <w:spacing w:after="0" w:line="240" w:lineRule="auto"/>
        <w:jc w:val="both"/>
        <w:rPr>
          <w:sz w:val="26"/>
          <w:szCs w:val="26"/>
        </w:rPr>
      </w:pPr>
    </w:p>
    <w:p w:rsidR="00C02EFF" w:rsidRDefault="00C02EFF" w:rsidP="00C02EFF">
      <w:pPr>
        <w:spacing w:after="0" w:line="240" w:lineRule="auto"/>
        <w:jc w:val="both"/>
        <w:rPr>
          <w:sz w:val="26"/>
          <w:szCs w:val="26"/>
        </w:rPr>
      </w:pPr>
    </w:p>
    <w:p w:rsidR="00C02EFF" w:rsidRDefault="00C02EFF" w:rsidP="00C02EFF">
      <w:pPr>
        <w:spacing w:after="0" w:line="240" w:lineRule="auto"/>
        <w:jc w:val="both"/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Theme="minorEastAsia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Poniedziałek, 16 maja 2016 roku</w:t>
      </w:r>
    </w:p>
    <w:p w:rsidR="00C02EFF" w:rsidRDefault="00C02EFF" w:rsidP="00C02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USD/PLN – perspektywa długoterminowa, kurs z 13 maja 2016 roku = 3,9001</w:t>
      </w:r>
    </w:p>
    <w:p w:rsidR="00C02EFF" w:rsidRDefault="00C02EFF" w:rsidP="00C02EFF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59FB2557" wp14:editId="12D4538C">
            <wp:extent cx="4829175" cy="290512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EFF" w:rsidRDefault="00C02EFF" w:rsidP="00C02EFF">
      <w:pPr>
        <w:spacing w:after="0" w:line="240" w:lineRule="auto"/>
        <w:jc w:val="both"/>
        <w:rPr>
          <w:rFonts w:eastAsiaTheme="minorEastAsia"/>
          <w:b/>
          <w:color w:val="FF0000"/>
          <w:lang w:eastAsia="pl-PL"/>
        </w:rPr>
      </w:pPr>
      <w:r>
        <w:rPr>
          <w:rFonts w:eastAsiaTheme="minorEastAsia"/>
          <w:lang w:eastAsia="pl-PL"/>
        </w:rPr>
        <w:t xml:space="preserve">Kurs 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Theme="minorEastAsia"/>
          <w:b/>
          <w:color w:val="FF0000"/>
          <w:lang w:eastAsia="pl-PL"/>
        </w:rPr>
        <w:t xml:space="preserve">do 4,4252 zł. </w:t>
      </w:r>
    </w:p>
    <w:p w:rsidR="00C02EFF" w:rsidRDefault="00C02EFF" w:rsidP="00C02E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Theme="minorEastAsia"/>
          <w:lang w:eastAsia="pl-PL"/>
        </w:rPr>
      </w:pPr>
      <w:r>
        <w:rPr>
          <w:rFonts w:eastAsiaTheme="minorEastAsia"/>
          <w:lang w:eastAsia="pl-PL"/>
        </w:rPr>
        <w:t>Kurs EUR/PLN – perspektywa średniookresowa, kurs z 13 maja 2016 roku = 4,4117</w:t>
      </w:r>
    </w:p>
    <w:p w:rsidR="00C02EFF" w:rsidRDefault="00C02EFF" w:rsidP="00C02EFF">
      <w:pPr>
        <w:spacing w:after="0" w:line="240" w:lineRule="auto"/>
        <w:jc w:val="both"/>
        <w:rPr>
          <w:rFonts w:eastAsiaTheme="minorEastAsia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Theme="minorEastAsia"/>
          <w:lang w:eastAsia="pl-PL"/>
        </w:rPr>
      </w:pPr>
      <w:r>
        <w:rPr>
          <w:rFonts w:eastAsiaTheme="minorEastAsia"/>
          <w:noProof/>
          <w:lang w:eastAsia="pl-PL"/>
        </w:rPr>
        <w:drawing>
          <wp:inline distT="0" distB="0" distL="0" distR="0" wp14:anchorId="1AEC016E" wp14:editId="6AFF9F9E">
            <wp:extent cx="4829175" cy="290512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2905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EFF" w:rsidRDefault="00C02EFF" w:rsidP="00C02EFF">
      <w:pPr>
        <w:spacing w:after="0" w:line="240" w:lineRule="auto"/>
        <w:jc w:val="both"/>
        <w:rPr>
          <w:sz w:val="26"/>
          <w:szCs w:val="26"/>
        </w:rPr>
      </w:pPr>
      <w:r>
        <w:rPr>
          <w:rFonts w:eastAsiaTheme="minorEastAsia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</w:t>
      </w:r>
      <w:r>
        <w:rPr>
          <w:rFonts w:eastAsiaTheme="minorEastAsia"/>
          <w:color w:val="000000" w:themeColor="text1"/>
          <w:lang w:eastAsia="pl-PL"/>
        </w:rPr>
        <w:t xml:space="preserve">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Theme="minorEastAsia"/>
          <w:b/>
          <w:color w:val="FF0000"/>
          <w:lang w:eastAsia="pl-PL"/>
        </w:rPr>
        <w:t>4,5644</w:t>
      </w:r>
      <w:r>
        <w:rPr>
          <w:rFonts w:eastAsiaTheme="minorEastAsia"/>
          <w:color w:val="FF0000"/>
          <w:lang w:eastAsia="pl-PL"/>
        </w:rPr>
        <w:t xml:space="preserve"> </w:t>
      </w:r>
      <w:r>
        <w:rPr>
          <w:rFonts w:eastAsiaTheme="minorEastAsia"/>
          <w:color w:val="000000" w:themeColor="text1"/>
          <w:lang w:eastAsia="pl-PL"/>
        </w:rPr>
        <w:t xml:space="preserve">(szczyt z 13 grudnia 2011 roku). </w:t>
      </w:r>
    </w:p>
    <w:p w:rsidR="00C02EFF" w:rsidRDefault="00C02EFF" w:rsidP="00C02EF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6"/>
          <w:szCs w:val="26"/>
        </w:rPr>
      </w:pPr>
      <w:r w:rsidRPr="00F31CCF">
        <w:rPr>
          <w:sz w:val="26"/>
          <w:szCs w:val="26"/>
        </w:rPr>
        <w:lastRenderedPageBreak/>
        <w:t>Spadków indeksu WIG20 ciąg dalszy</w:t>
      </w:r>
    </w:p>
    <w:p w:rsidR="00C02EFF" w:rsidRDefault="00C02EFF" w:rsidP="00C02EFF">
      <w:pPr>
        <w:pStyle w:val="Bezodstpw"/>
        <w:jc w:val="center"/>
        <w:rPr>
          <w:sz w:val="26"/>
          <w:szCs w:val="26"/>
        </w:rPr>
      </w:pPr>
    </w:p>
    <w:p w:rsidR="00C02EFF" w:rsidRPr="001E18B8" w:rsidRDefault="00C02EFF" w:rsidP="00C02EFF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Indeks WIG20 w poprzednim tygodniu spadł o 2,0 %. Tymczasem amerykański indeks S&amp;P50 spadł o 0,5 %, francuski indeks CAC40 wzrósł o 0,4 %, japoński indeks NIKKEI225 urósł o 1,9 %. Zestawienie to wskazuje na </w:t>
      </w:r>
      <w:r w:rsidRPr="001E18B8">
        <w:rPr>
          <w:b/>
          <w:sz w:val="26"/>
          <w:szCs w:val="26"/>
        </w:rPr>
        <w:t xml:space="preserve">stosunkowo dużą słabość polskiego indeksu dużych spółek. 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Jest trudno przesądzać o </w:t>
      </w:r>
      <w:proofErr w:type="gramStart"/>
      <w:r>
        <w:rPr>
          <w:sz w:val="26"/>
          <w:szCs w:val="26"/>
        </w:rPr>
        <w:t>tym co</w:t>
      </w:r>
      <w:proofErr w:type="gramEnd"/>
      <w:r>
        <w:rPr>
          <w:sz w:val="26"/>
          <w:szCs w:val="26"/>
        </w:rPr>
        <w:t xml:space="preserve"> faktycznie zdecydowało o tej relatywnej słabości indeksu WIG20. Być może było to </w:t>
      </w:r>
      <w:r w:rsidRPr="001E18B8">
        <w:rPr>
          <w:b/>
          <w:sz w:val="26"/>
          <w:szCs w:val="26"/>
        </w:rPr>
        <w:t xml:space="preserve">oczekiwanie na decyzję agencji </w:t>
      </w:r>
      <w:proofErr w:type="spellStart"/>
      <w:r w:rsidRPr="001E18B8">
        <w:rPr>
          <w:b/>
          <w:sz w:val="26"/>
          <w:szCs w:val="26"/>
        </w:rPr>
        <w:t>rantingowej</w:t>
      </w:r>
      <w:proofErr w:type="spellEnd"/>
      <w:r w:rsidRPr="001E18B8">
        <w:rPr>
          <w:b/>
          <w:sz w:val="26"/>
          <w:szCs w:val="26"/>
        </w:rPr>
        <w:t xml:space="preserve"> </w:t>
      </w:r>
      <w:proofErr w:type="spellStart"/>
      <w:r w:rsidRPr="001E18B8">
        <w:rPr>
          <w:b/>
          <w:sz w:val="26"/>
          <w:szCs w:val="26"/>
        </w:rPr>
        <w:t>Moodys</w:t>
      </w:r>
      <w:proofErr w:type="spellEnd"/>
      <w:r w:rsidRPr="001E18B8">
        <w:rPr>
          <w:b/>
          <w:sz w:val="26"/>
          <w:szCs w:val="26"/>
        </w:rPr>
        <w:t>, być może spadek cen kontraktów terminowych na miedź</w:t>
      </w:r>
      <w:r>
        <w:rPr>
          <w:sz w:val="26"/>
          <w:szCs w:val="26"/>
        </w:rPr>
        <w:t>. Być może…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każdym razie niezależnie od przyczyn przyznam, że sytuacja techniczna samego indeksu WIG20 jak również na przykład kursu akcji KGHM wskazują na ryzyko dalszych spadków. 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W przypadku indeksu </w:t>
      </w:r>
      <w:r w:rsidRPr="001E18B8">
        <w:rPr>
          <w:b/>
          <w:sz w:val="26"/>
          <w:szCs w:val="26"/>
        </w:rPr>
        <w:t>WIG20</w:t>
      </w:r>
      <w:r>
        <w:rPr>
          <w:sz w:val="26"/>
          <w:szCs w:val="26"/>
        </w:rPr>
        <w:t xml:space="preserve"> na ryzyko spadków wskazuje choćby to, że </w:t>
      </w:r>
      <w:r w:rsidRPr="001E18B8">
        <w:rPr>
          <w:b/>
          <w:sz w:val="26"/>
          <w:szCs w:val="26"/>
        </w:rPr>
        <w:t>układ średnich ruchomych jest typowy dla bessy</w:t>
      </w:r>
      <w:r>
        <w:rPr>
          <w:sz w:val="26"/>
          <w:szCs w:val="26"/>
        </w:rPr>
        <w:t xml:space="preserve">. W przypadku kursu akcji spółki KGHM mamy do czynienia z wybiciem z formacji podwójnego szczytu. 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>Gdyby w przypadku wykresu kursu akcji spółki KGHM doszło do wybicia z formacji podwójnego szczytu kurs powinien spaść do 58 złotych i 77 groszy, czyli o 6,7 %.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Pr="001D7173" w:rsidRDefault="00C02EFF" w:rsidP="00C02EFF">
      <w:pPr>
        <w:pStyle w:val="Bezodstpw"/>
        <w:jc w:val="both"/>
        <w:rPr>
          <w:b/>
          <w:sz w:val="26"/>
          <w:szCs w:val="26"/>
          <w:u w:val="single"/>
        </w:rPr>
      </w:pPr>
      <w:r w:rsidRPr="001D7173">
        <w:rPr>
          <w:b/>
          <w:sz w:val="26"/>
          <w:szCs w:val="26"/>
          <w:u w:val="single"/>
        </w:rPr>
        <w:t>KGHM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64221FCA" wp14:editId="0C2A8119">
            <wp:extent cx="5429250" cy="32575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Biorąc pod uwagę powyższy wykres kursu akcji spółki KGHM można założyć, że czekają nas raczej spadki kursu akcji tej spółki. 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Czy w takim razie dość prawdopodo9bny jest spadek indeksu </w:t>
      </w:r>
      <w:proofErr w:type="gramStart"/>
      <w:r>
        <w:rPr>
          <w:sz w:val="26"/>
          <w:szCs w:val="26"/>
        </w:rPr>
        <w:t xml:space="preserve">WIG20 ?. </w:t>
      </w:r>
      <w:proofErr w:type="gramEnd"/>
      <w:r>
        <w:rPr>
          <w:sz w:val="26"/>
          <w:szCs w:val="26"/>
        </w:rPr>
        <w:t>Wydaje się, że tak.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Pr="00260162" w:rsidRDefault="00C02EFF" w:rsidP="00C02EFF">
      <w:pPr>
        <w:pStyle w:val="Bezodstpw"/>
        <w:jc w:val="both"/>
        <w:rPr>
          <w:b/>
          <w:sz w:val="26"/>
          <w:szCs w:val="26"/>
          <w:u w:val="single"/>
        </w:rPr>
      </w:pPr>
      <w:r w:rsidRPr="00260162">
        <w:rPr>
          <w:b/>
          <w:sz w:val="26"/>
          <w:szCs w:val="26"/>
          <w:u w:val="single"/>
        </w:rPr>
        <w:t>PKO BP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55A74118" wp14:editId="0C792B96">
            <wp:extent cx="5429250" cy="3257550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25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Pr="001E18B8" w:rsidRDefault="00C02EFF" w:rsidP="00C02EFF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Warto też zauważyć, że na wykresie kursu akcji spółki PKO </w:t>
      </w:r>
      <w:proofErr w:type="gramStart"/>
      <w:r>
        <w:rPr>
          <w:sz w:val="26"/>
          <w:szCs w:val="26"/>
        </w:rPr>
        <w:t>BP (która</w:t>
      </w:r>
      <w:proofErr w:type="gramEnd"/>
      <w:r>
        <w:rPr>
          <w:sz w:val="26"/>
          <w:szCs w:val="26"/>
        </w:rPr>
        <w:t xml:space="preserve"> to spółka tez wchodzi w skład indeksu WIG20) mamy do czynienie z niewypełnioną formacją podwójnego szczytu. W odróżnieniu od wykresu kursu akcji spółki KGHM</w:t>
      </w:r>
      <w:r w:rsidR="001E18B8">
        <w:rPr>
          <w:sz w:val="26"/>
          <w:szCs w:val="26"/>
        </w:rPr>
        <w:t xml:space="preserve"> mamy tu do czynienia z formacją</w:t>
      </w:r>
      <w:r>
        <w:rPr>
          <w:sz w:val="26"/>
          <w:szCs w:val="26"/>
        </w:rPr>
        <w:t xml:space="preserve"> bardzo dużą zapowiadającą spadek kursu akcji </w:t>
      </w:r>
      <w:r w:rsidRPr="001E18B8">
        <w:rPr>
          <w:b/>
          <w:sz w:val="26"/>
          <w:szCs w:val="26"/>
        </w:rPr>
        <w:t xml:space="preserve">spółki PKO BP do 19 złotych i 34 groszy, czyli o 69,2 %. 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Pr="001E18B8" w:rsidRDefault="00C02EFF" w:rsidP="00C02EFF">
      <w:pPr>
        <w:pStyle w:val="Bezodstpw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Warto zauważyć, że spadków można się także spodziewać na wykresach kursów cen kontraktów terminowych na surowce, w tym na </w:t>
      </w:r>
      <w:r w:rsidRPr="001E18B8">
        <w:rPr>
          <w:b/>
          <w:sz w:val="26"/>
          <w:szCs w:val="26"/>
        </w:rPr>
        <w:t xml:space="preserve">pallad. 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Pr="00DF00F8" w:rsidRDefault="00C02EFF" w:rsidP="00C02EFF">
      <w:pPr>
        <w:pStyle w:val="Bezodstpw"/>
        <w:jc w:val="both"/>
        <w:rPr>
          <w:b/>
          <w:sz w:val="26"/>
          <w:szCs w:val="26"/>
          <w:u w:val="single"/>
        </w:rPr>
      </w:pPr>
      <w:r w:rsidRPr="00DF00F8">
        <w:rPr>
          <w:b/>
          <w:sz w:val="26"/>
          <w:szCs w:val="26"/>
          <w:u w:val="single"/>
        </w:rPr>
        <w:t>PALLAD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1F89C241" wp14:editId="02EE0A43">
            <wp:extent cx="3629025" cy="21812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181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EFF" w:rsidRDefault="00C02EFF" w:rsidP="00C02EF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EMPERIA HOLDING – sytuacja kursu akcji spółki </w:t>
      </w:r>
    </w:p>
    <w:p w:rsidR="00C02EFF" w:rsidRDefault="00C02EFF" w:rsidP="00C02EFF">
      <w:pPr>
        <w:pStyle w:val="Bezodstpw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66FF99"/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w</w:t>
      </w:r>
      <w:proofErr w:type="gramEnd"/>
      <w:r>
        <w:rPr>
          <w:sz w:val="26"/>
          <w:szCs w:val="26"/>
        </w:rPr>
        <w:t xml:space="preserve"> kontekście ostatnio wydanej rekomendacji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 marca 2016 roku analitycy DM PKO BP podtrzymali rekomendację </w:t>
      </w:r>
      <w:proofErr w:type="gramStart"/>
      <w:r>
        <w:rPr>
          <w:sz w:val="26"/>
          <w:szCs w:val="26"/>
        </w:rPr>
        <w:t>,,</w:t>
      </w:r>
      <w:proofErr w:type="gramEnd"/>
      <w:r>
        <w:rPr>
          <w:sz w:val="26"/>
          <w:szCs w:val="26"/>
        </w:rPr>
        <w:t xml:space="preserve">kupuj” dla akcji spółki </w:t>
      </w:r>
      <w:proofErr w:type="spellStart"/>
      <w:r>
        <w:rPr>
          <w:sz w:val="26"/>
          <w:szCs w:val="26"/>
        </w:rPr>
        <w:t>Emperia</w:t>
      </w:r>
      <w:proofErr w:type="spellEnd"/>
      <w:r>
        <w:rPr>
          <w:sz w:val="26"/>
          <w:szCs w:val="26"/>
        </w:rPr>
        <w:t xml:space="preserve"> Holding. Wydana rekomendacja </w:t>
      </w:r>
      <w:proofErr w:type="gramStart"/>
      <w:r>
        <w:rPr>
          <w:sz w:val="26"/>
          <w:szCs w:val="26"/>
        </w:rPr>
        <w:t>ma więc</w:t>
      </w:r>
      <w:proofErr w:type="gramEnd"/>
      <w:r>
        <w:rPr>
          <w:sz w:val="26"/>
          <w:szCs w:val="26"/>
        </w:rPr>
        <w:t xml:space="preserve"> charakter pozytywny. Powstaje pytanie: czy rekomendacja ta stanowi zapowiedź stosunkowo pozytywnego zachowania kursu akcji tej spółki w </w:t>
      </w:r>
      <w:proofErr w:type="gramStart"/>
      <w:r>
        <w:rPr>
          <w:sz w:val="26"/>
          <w:szCs w:val="26"/>
        </w:rPr>
        <w:t xml:space="preserve">przyszłości ?. </w:t>
      </w:r>
      <w:proofErr w:type="gramEnd"/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Czas pokaże. W każdym razie szansę na to są. Po </w:t>
      </w:r>
      <w:proofErr w:type="gramStart"/>
      <w:r>
        <w:rPr>
          <w:sz w:val="26"/>
          <w:szCs w:val="26"/>
        </w:rPr>
        <w:t>pierwsze dlatego</w:t>
      </w:r>
      <w:proofErr w:type="gramEnd"/>
      <w:r>
        <w:rPr>
          <w:sz w:val="26"/>
          <w:szCs w:val="26"/>
        </w:rPr>
        <w:t xml:space="preserve">, że na wykresie siły względnej </w:t>
      </w:r>
      <w:proofErr w:type="spellStart"/>
      <w:r w:rsidRPr="00BA14E7">
        <w:rPr>
          <w:b/>
          <w:sz w:val="26"/>
          <w:szCs w:val="26"/>
        </w:rPr>
        <w:t>Emperia</w:t>
      </w:r>
      <w:proofErr w:type="spellEnd"/>
      <w:r w:rsidRPr="00BA14E7">
        <w:rPr>
          <w:b/>
          <w:sz w:val="26"/>
          <w:szCs w:val="26"/>
        </w:rPr>
        <w:t xml:space="preserve"> Holding</w:t>
      </w:r>
      <w:r>
        <w:rPr>
          <w:sz w:val="26"/>
          <w:szCs w:val="26"/>
        </w:rPr>
        <w:t xml:space="preserve"> / WIG20 doszło do </w:t>
      </w:r>
      <w:r w:rsidRPr="00BA14E7">
        <w:rPr>
          <w:b/>
          <w:sz w:val="26"/>
          <w:szCs w:val="26"/>
        </w:rPr>
        <w:t>wybicia z formacji podwójnego dna</w:t>
      </w:r>
      <w:r>
        <w:rPr>
          <w:sz w:val="26"/>
          <w:szCs w:val="26"/>
        </w:rPr>
        <w:t xml:space="preserve">, która się jeszcze nie wypełniła. 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Pr="00155AE5" w:rsidRDefault="00C02EFF" w:rsidP="00C02EFF">
      <w:pPr>
        <w:pStyle w:val="Bezodstpw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Na wykresie siły względnej </w:t>
      </w:r>
      <w:proofErr w:type="spellStart"/>
      <w:r w:rsidRPr="00BA14E7">
        <w:rPr>
          <w:b/>
          <w:sz w:val="26"/>
          <w:szCs w:val="26"/>
        </w:rPr>
        <w:t>Emperia</w:t>
      </w:r>
      <w:proofErr w:type="spellEnd"/>
      <w:r w:rsidRPr="00BA14E7">
        <w:rPr>
          <w:b/>
          <w:sz w:val="26"/>
          <w:szCs w:val="26"/>
        </w:rPr>
        <w:t xml:space="preserve"> Holding/WIG20</w:t>
      </w:r>
      <w:r>
        <w:rPr>
          <w:sz w:val="26"/>
          <w:szCs w:val="26"/>
        </w:rPr>
        <w:t xml:space="preserve"> spółki stworzonym w oparciu o dane miesięczne mamy do czynienia z bardzo ciekawym układem technicznym. Oto średnia ruchoma ze 100 tygodni znajduje się w trendzie wzrostowym a średnie z 15 oraz 45 tygodni znajdują się powyżej tej średniej ze 100 tygodni. Jeżeli w tej sytuacji oscylator stochastyczny doszedł do strefy wyprzedania to można tego układ </w:t>
      </w:r>
      <w:proofErr w:type="gramStart"/>
      <w:r>
        <w:rPr>
          <w:sz w:val="26"/>
          <w:szCs w:val="26"/>
        </w:rPr>
        <w:t>potraktować jako</w:t>
      </w:r>
      <w:proofErr w:type="gramEnd"/>
      <w:r>
        <w:rPr>
          <w:sz w:val="26"/>
          <w:szCs w:val="26"/>
        </w:rPr>
        <w:t xml:space="preserve"> sygnał kupna.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Pr="00306C59" w:rsidRDefault="00C02EFF" w:rsidP="00C02EFF">
      <w:pPr>
        <w:pStyle w:val="Bezodstpw"/>
        <w:jc w:val="both"/>
        <w:rPr>
          <w:b/>
          <w:sz w:val="26"/>
          <w:szCs w:val="26"/>
          <w:u w:val="single"/>
        </w:rPr>
      </w:pPr>
      <w:r w:rsidRPr="00306C59">
        <w:rPr>
          <w:b/>
          <w:sz w:val="26"/>
          <w:szCs w:val="26"/>
          <w:u w:val="single"/>
        </w:rPr>
        <w:t>EMPERIA HOLDING / WIG20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pl-PL"/>
        </w:rPr>
        <w:drawing>
          <wp:inline distT="0" distB="0" distL="0" distR="0" wp14:anchorId="010C6D3B" wp14:editId="54C72F73">
            <wp:extent cx="5448300" cy="326707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326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Oznacza to, że istnieje szansa na stosunkowo mocne zachowanie kursu akcji spółki </w:t>
      </w:r>
      <w:proofErr w:type="spellStart"/>
      <w:r>
        <w:rPr>
          <w:sz w:val="26"/>
          <w:szCs w:val="26"/>
        </w:rPr>
        <w:t>Emperia</w:t>
      </w:r>
      <w:proofErr w:type="spellEnd"/>
      <w:r>
        <w:rPr>
          <w:sz w:val="26"/>
          <w:szCs w:val="26"/>
        </w:rPr>
        <w:t xml:space="preserve"> Holding na tle indeksu WIG20. Po drugie na forum bankiera o spółce </w:t>
      </w:r>
      <w:proofErr w:type="spellStart"/>
      <w:r>
        <w:rPr>
          <w:sz w:val="26"/>
          <w:szCs w:val="26"/>
        </w:rPr>
        <w:t>Emperia</w:t>
      </w:r>
      <w:proofErr w:type="spellEnd"/>
      <w:r>
        <w:rPr>
          <w:sz w:val="26"/>
          <w:szCs w:val="26"/>
        </w:rPr>
        <w:t xml:space="preserve"> Holding w ostatnich 30 dniach </w:t>
      </w:r>
      <w:r w:rsidRPr="00BA14E7">
        <w:rPr>
          <w:b/>
          <w:sz w:val="26"/>
          <w:szCs w:val="26"/>
        </w:rPr>
        <w:t>mówiło się bardzo mało,</w:t>
      </w:r>
      <w:r>
        <w:rPr>
          <w:sz w:val="26"/>
          <w:szCs w:val="26"/>
        </w:rPr>
        <w:t xml:space="preserve"> co zgodnie z zasadą </w:t>
      </w:r>
      <w:proofErr w:type="gramStart"/>
      <w:r w:rsidRPr="00BA14E7">
        <w:rPr>
          <w:b/>
          <w:sz w:val="26"/>
          <w:szCs w:val="26"/>
        </w:rPr>
        <w:t>,,</w:t>
      </w:r>
      <w:proofErr w:type="gramEnd"/>
      <w:r w:rsidRPr="00BA14E7">
        <w:rPr>
          <w:b/>
          <w:sz w:val="26"/>
          <w:szCs w:val="26"/>
        </w:rPr>
        <w:t>kupuj ciszę, sprzedawaj rozgłos”</w:t>
      </w:r>
      <w:r>
        <w:rPr>
          <w:sz w:val="26"/>
          <w:szCs w:val="26"/>
        </w:rPr>
        <w:t xml:space="preserve"> może prowadzić do stosunkowo mocnego zachowania kursu akcji </w:t>
      </w:r>
      <w:proofErr w:type="spellStart"/>
      <w:r>
        <w:rPr>
          <w:sz w:val="26"/>
          <w:szCs w:val="26"/>
        </w:rPr>
        <w:t>Emperia</w:t>
      </w:r>
      <w:proofErr w:type="spellEnd"/>
      <w:r>
        <w:rPr>
          <w:sz w:val="26"/>
          <w:szCs w:val="26"/>
        </w:rPr>
        <w:t xml:space="preserve"> Holding. Z tego wynika, że zarówno argumenty techniczne jak i psychologiczne są dla kursu akcji spółki </w:t>
      </w:r>
      <w:proofErr w:type="spellStart"/>
      <w:r>
        <w:rPr>
          <w:sz w:val="26"/>
          <w:szCs w:val="26"/>
        </w:rPr>
        <w:t>Emperia</w:t>
      </w:r>
      <w:proofErr w:type="spellEnd"/>
      <w:r>
        <w:rPr>
          <w:sz w:val="26"/>
          <w:szCs w:val="26"/>
        </w:rPr>
        <w:t xml:space="preserve"> Holding korzystne. </w:t>
      </w:r>
    </w:p>
    <w:p w:rsidR="00C02EFF" w:rsidRDefault="00C02EFF" w:rsidP="00C02EFF">
      <w:pPr>
        <w:shd w:val="clear" w:color="auto" w:fill="FFFF00"/>
        <w:spacing w:after="0" w:line="240" w:lineRule="auto"/>
        <w:jc w:val="center"/>
        <w:rPr>
          <w:rFonts w:eastAsia="Times New Roman" w:cs="Times New Roman"/>
          <w:b/>
          <w:sz w:val="100"/>
          <w:szCs w:val="100"/>
          <w:lang w:eastAsia="pl-PL"/>
        </w:rPr>
      </w:pPr>
      <w:r>
        <w:rPr>
          <w:rFonts w:eastAsia="Times New Roman" w:cs="Times New Roman"/>
          <w:b/>
          <w:sz w:val="100"/>
          <w:szCs w:val="100"/>
          <w:lang w:eastAsia="pl-PL"/>
        </w:rPr>
        <w:lastRenderedPageBreak/>
        <w:t xml:space="preserve">Ile wynosiła średnia procentowa zmiana kursu akcji spółki po wprowadzeniu jej do rubryki </w:t>
      </w:r>
      <w:proofErr w:type="gramStart"/>
      <w:r>
        <w:rPr>
          <w:rFonts w:eastAsia="Times New Roman" w:cs="Times New Roman"/>
          <w:b/>
          <w:sz w:val="100"/>
          <w:szCs w:val="100"/>
          <w:lang w:eastAsia="pl-PL"/>
        </w:rPr>
        <w:t>,,</w:t>
      </w:r>
      <w:proofErr w:type="gramEnd"/>
      <w:r>
        <w:rPr>
          <w:rFonts w:eastAsia="Times New Roman" w:cs="Times New Roman"/>
          <w:b/>
          <w:sz w:val="100"/>
          <w:szCs w:val="100"/>
          <w:lang w:eastAsia="pl-PL"/>
        </w:rPr>
        <w:t>Wykres do przemyślenia” w okresie 12 pierwszych miesięcy po jej wprowadzeniu do tej rubryki ?</w:t>
      </w: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C02EFF" w:rsidRDefault="00C02EFF" w:rsidP="00C02EF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  <w:r>
        <w:rPr>
          <w:rFonts w:eastAsia="Times New Roman" w:cs="Times New Roman"/>
          <w:b/>
          <w:sz w:val="32"/>
          <w:szCs w:val="32"/>
          <w:u w:val="single"/>
          <w:lang w:eastAsia="pl-PL"/>
        </w:rPr>
        <w:t>Obliczenia według stanu na 13 maja 2016 roku</w:t>
      </w:r>
    </w:p>
    <w:p w:rsidR="00C02EFF" w:rsidRDefault="00C02EFF" w:rsidP="00C02EFF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u w:val="single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b/>
          <w:sz w:val="26"/>
          <w:szCs w:val="26"/>
          <w:lang w:eastAsia="pl-PL"/>
        </w:rPr>
      </w:pP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5110E6">
        <w:rPr>
          <w:rFonts w:eastAsia="Times New Roman" w:cs="Times New Roman"/>
          <w:b/>
          <w:sz w:val="32"/>
          <w:szCs w:val="32"/>
          <w:lang w:eastAsia="pl-PL"/>
        </w:rPr>
        <w:lastRenderedPageBreak/>
        <w:t xml:space="preserve">Wprowadzenie </w:t>
      </w: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Strona internetowa </w:t>
      </w:r>
      <w:hyperlink r:id="rId12" w:history="1">
        <w:r w:rsidRPr="005110E6">
          <w:rPr>
            <w:rStyle w:val="Hipercze"/>
            <w:rFonts w:eastAsia="Times New Roman" w:cs="Times New Roman"/>
            <w:sz w:val="32"/>
            <w:szCs w:val="32"/>
            <w:lang w:eastAsia="pl-PL"/>
          </w:rPr>
          <w:t>http://analizy-rynkowe.pl/</w:t>
        </w:r>
      </w:hyperlink>
      <w:r w:rsidRPr="005110E6">
        <w:rPr>
          <w:rFonts w:eastAsia="Times New Roman" w:cs="Times New Roman"/>
          <w:sz w:val="32"/>
          <w:szCs w:val="32"/>
          <w:lang w:eastAsia="pl-PL"/>
        </w:rPr>
        <w:t xml:space="preserve"> prowadzona jest od września 2014 roku. </w:t>
      </w: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Co tydzień publikowany jest </w:t>
      </w:r>
      <w:proofErr w:type="gramStart"/>
      <w:r w:rsidRPr="005110E6"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 w:rsidRPr="005110E6">
        <w:rPr>
          <w:rFonts w:eastAsia="Times New Roman" w:cs="Times New Roman"/>
          <w:sz w:val="32"/>
          <w:szCs w:val="32"/>
          <w:lang w:eastAsia="pl-PL"/>
        </w:rPr>
        <w:t>Raport Tygodniowy”</w:t>
      </w: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Od czasu do czasu umieszczam wybrane spółki w rubryce </w:t>
      </w:r>
      <w:proofErr w:type="gramStart"/>
      <w:r w:rsidRPr="005110E6">
        <w:rPr>
          <w:rFonts w:eastAsia="Times New Roman" w:cs="Times New Roman"/>
          <w:b/>
          <w:color w:val="FF0000"/>
          <w:sz w:val="32"/>
          <w:szCs w:val="32"/>
          <w:lang w:eastAsia="pl-PL"/>
        </w:rPr>
        <w:t>,,</w:t>
      </w:r>
      <w:proofErr w:type="gramEnd"/>
      <w:r w:rsidRPr="005110E6"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Wykres do przemyślenia”. </w:t>
      </w: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Umieszczane są tam te przykładowe spółki, których kurs </w:t>
      </w:r>
      <w:r w:rsidRPr="005110E6"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wybił się z formacji podwójnego dna. </w:t>
      </w: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Formacja podwójnego dna ma </w:t>
      </w:r>
      <w:r w:rsidRPr="005110E6">
        <w:rPr>
          <w:rFonts w:eastAsia="Times New Roman" w:cs="Times New Roman"/>
          <w:b/>
          <w:sz w:val="32"/>
          <w:szCs w:val="32"/>
          <w:lang w:eastAsia="pl-PL"/>
        </w:rPr>
        <w:t xml:space="preserve">2 </w:t>
      </w:r>
      <w:proofErr w:type="gramStart"/>
      <w:r w:rsidRPr="005110E6">
        <w:rPr>
          <w:rFonts w:eastAsia="Times New Roman" w:cs="Times New Roman"/>
          <w:b/>
          <w:sz w:val="32"/>
          <w:szCs w:val="32"/>
          <w:lang w:eastAsia="pl-PL"/>
        </w:rPr>
        <w:t>,,</w:t>
      </w:r>
      <w:proofErr w:type="gramEnd"/>
      <w:r w:rsidRPr="005110E6">
        <w:rPr>
          <w:rFonts w:eastAsia="Times New Roman" w:cs="Times New Roman"/>
          <w:b/>
          <w:sz w:val="32"/>
          <w:szCs w:val="32"/>
          <w:lang w:eastAsia="pl-PL"/>
        </w:rPr>
        <w:t xml:space="preserve">zadania”. </w:t>
      </w: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Podstawowym, minimalnym </w:t>
      </w:r>
      <w:proofErr w:type="gramStart"/>
      <w:r w:rsidRPr="005110E6"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 w:rsidRPr="005110E6">
        <w:rPr>
          <w:rFonts w:eastAsia="Times New Roman" w:cs="Times New Roman"/>
          <w:sz w:val="32"/>
          <w:szCs w:val="32"/>
          <w:lang w:eastAsia="pl-PL"/>
        </w:rPr>
        <w:t xml:space="preserve">zadaniem” tej formacji jest jej wypełnienie </w:t>
      </w: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Drugim </w:t>
      </w:r>
      <w:proofErr w:type="gramStart"/>
      <w:r w:rsidRPr="005110E6"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 w:rsidRPr="005110E6">
        <w:rPr>
          <w:rFonts w:eastAsia="Times New Roman" w:cs="Times New Roman"/>
          <w:sz w:val="32"/>
          <w:szCs w:val="32"/>
          <w:lang w:eastAsia="pl-PL"/>
        </w:rPr>
        <w:t xml:space="preserve">zadaniem” tej formacji jest doprowadzenie do zmiany trendu ze spadkowego na wzrostowy. </w:t>
      </w: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Osobiście wyróżniam </w:t>
      </w:r>
      <w:r w:rsidRPr="005110E6">
        <w:rPr>
          <w:rFonts w:eastAsia="Times New Roman" w:cs="Times New Roman"/>
          <w:b/>
          <w:sz w:val="32"/>
          <w:szCs w:val="32"/>
          <w:lang w:eastAsia="pl-PL"/>
        </w:rPr>
        <w:t>typowe oraz nietypowe podwójne dno.</w:t>
      </w:r>
      <w:r w:rsidRPr="005110E6">
        <w:rPr>
          <w:rFonts w:eastAsia="Times New Roman" w:cs="Times New Roman"/>
          <w:sz w:val="32"/>
          <w:szCs w:val="32"/>
          <w:lang w:eastAsia="pl-PL"/>
        </w:rPr>
        <w:t xml:space="preserve"> </w:t>
      </w: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Typowa formacja podwójnego dna charakteryzuje się tym, że dołki w formacji kształtują się na poziomie identycznym, bądź prawie identycznym. </w:t>
      </w: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>Natomiast w przypadku nietypowej formacji podwójnego dna kształtują się one na poziomie zupełnie odmiennym.</w:t>
      </w: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2"/>
          <w:szCs w:val="32"/>
          <w:lang w:eastAsia="pl-PL"/>
        </w:rPr>
      </w:pP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b/>
          <w:sz w:val="32"/>
          <w:szCs w:val="32"/>
          <w:lang w:eastAsia="pl-PL"/>
        </w:rPr>
      </w:pPr>
      <w:r w:rsidRPr="005110E6">
        <w:rPr>
          <w:rFonts w:eastAsia="Times New Roman" w:cs="Times New Roman"/>
          <w:sz w:val="32"/>
          <w:szCs w:val="32"/>
          <w:lang w:eastAsia="pl-PL"/>
        </w:rPr>
        <w:t xml:space="preserve">Od pierwszego numeru </w:t>
      </w:r>
      <w:proofErr w:type="gramStart"/>
      <w:r w:rsidRPr="005110E6">
        <w:rPr>
          <w:rFonts w:eastAsia="Times New Roman" w:cs="Times New Roman"/>
          <w:sz w:val="32"/>
          <w:szCs w:val="32"/>
          <w:lang w:eastAsia="pl-PL"/>
        </w:rPr>
        <w:t>,,</w:t>
      </w:r>
      <w:proofErr w:type="gramEnd"/>
      <w:r w:rsidRPr="005110E6">
        <w:rPr>
          <w:rFonts w:eastAsia="Times New Roman" w:cs="Times New Roman"/>
          <w:sz w:val="32"/>
          <w:szCs w:val="32"/>
          <w:lang w:eastAsia="pl-PL"/>
        </w:rPr>
        <w:t xml:space="preserve">Raportu Tygodniowego” postanowiłem, że będę </w:t>
      </w:r>
      <w:r w:rsidRPr="005110E6">
        <w:rPr>
          <w:rFonts w:eastAsia="Times New Roman" w:cs="Times New Roman"/>
          <w:b/>
          <w:sz w:val="32"/>
          <w:szCs w:val="32"/>
          <w:lang w:eastAsia="pl-PL"/>
        </w:rPr>
        <w:t>porównywał</w:t>
      </w:r>
      <w:r w:rsidRPr="005110E6">
        <w:rPr>
          <w:rFonts w:eastAsia="Times New Roman" w:cs="Times New Roman"/>
          <w:sz w:val="32"/>
          <w:szCs w:val="32"/>
          <w:lang w:eastAsia="pl-PL"/>
        </w:rPr>
        <w:t xml:space="preserve"> zachowanie kursu akcji spółki po wprowadzeniu jej do rubryki ,,Wykres do przemyślenia” </w:t>
      </w:r>
      <w:r w:rsidRPr="005110E6">
        <w:rPr>
          <w:rFonts w:eastAsia="Times New Roman" w:cs="Times New Roman"/>
          <w:b/>
          <w:sz w:val="32"/>
          <w:szCs w:val="32"/>
          <w:lang w:eastAsia="pl-PL"/>
        </w:rPr>
        <w:t xml:space="preserve">z zachowaniem indeksu WIG20. </w:t>
      </w:r>
    </w:p>
    <w:p w:rsidR="00C02EFF" w:rsidRPr="005110E6" w:rsidRDefault="00C02EFF" w:rsidP="00C02EFF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 akcji czterech spółek, których akcje zostały wymienione w pierwszym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8 września 2014 roku w rubryce ,,Wykres do przemyślenia” w okresie od 5 września do 4 września 2015 roku 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04.09.2015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Immobile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2,04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+15,2 %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Lena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3,99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+11,3 %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 xml:space="preserve">spółki  </w:t>
            </w:r>
            <w:proofErr w:type="spellStart"/>
            <w:r>
              <w:rPr>
                <w:rFonts w:eastAsiaTheme="minorEastAsia"/>
                <w:lang w:eastAsia="pl-PL"/>
              </w:rPr>
              <w:t>Netmedia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3,63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5,64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+55,4 %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Rafako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4,25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6,72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+58,1 %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 +35,0 %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2 541,42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2 146,47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 -15,5 %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ascii="Calibri" w:eastAsia="Times New Roman" w:hAnsi="Calibri" w:cs="Times New Roman"/>
          <w:sz w:val="36"/>
          <w:szCs w:val="36"/>
          <w:u w:val="single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drugim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15 września 2014 roku w rubryce ,,Wykres do przemyślenia” w okresie od 12 września do 11 września 2015 roku 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Boryszew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5,15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-20,8 %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-20,8 %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2 185,46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-12,5 %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16 września na stronie internetowej </w:t>
      </w:r>
      <w:hyperlink r:id="rId13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15 września do 15 września 2015 roku 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Erbud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32,90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24,2 %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24,2 %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2 185,88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-12,2 %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trzecim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22 września 2014 roku w rubryce ,,Wykres do przemyślenia” w okresie od 19 września 2014 roku do 18 września 2015 roku 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19.09.2014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IF Capital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0,98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2,3 %</w:t>
            </w:r>
          </w:p>
        </w:tc>
      </w:tr>
      <w:tr w:rsidR="00C02EFF" w:rsidTr="008143C1">
        <w:trPr>
          <w:trHeight w:val="31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2,3 %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2 497,38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-13,2 %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25 września na stronie internetowej </w:t>
      </w:r>
      <w:hyperlink r:id="rId14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24 września 2014 roku do 24 września 2015 roku 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18.09.2015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Capital Partners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2,40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+29,7 %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+29,7 %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2 489,77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2 082,95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-15,8 %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 akcji trzech spółek, których akcje zostały wymienione w czwartym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29 września 2014 roku w rubryce ,,Wykres do przemyślenia” w okresie od 30 września 2014 roku do 25 września 2015 roku 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26.09.2014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25.09.2015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Asseco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Poland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45,64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54,70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+19,9 %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</w:t>
            </w:r>
            <w:proofErr w:type="gramStart"/>
            <w:r>
              <w:rPr>
                <w:rFonts w:eastAsiaTheme="minorEastAsia"/>
                <w:lang w:eastAsia="pl-PL"/>
              </w:rPr>
              <w:t>spółki  CD</w:t>
            </w:r>
            <w:proofErr w:type="gramEnd"/>
            <w:r>
              <w:rPr>
                <w:rFonts w:eastAsiaTheme="minorEastAsia"/>
                <w:lang w:eastAsia="pl-PL"/>
              </w:rPr>
              <w:t xml:space="preserve"> Projekt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16,59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26,80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+61,5 %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Sygnity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17,60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8,82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- 49,9 %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+10,5% 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2484,02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2 168,19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- 15,8 %</w:t>
            </w:r>
          </w:p>
        </w:tc>
      </w:tr>
    </w:tbl>
    <w:p w:rsidR="00C02EFF" w:rsidRDefault="00C02EFF" w:rsidP="00C02EFF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piątym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6 października 2014 roku w rubryce ,,Wykres do przemyślenia” w okresie od 3 października do 2 października 2015 roku 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03.10.2014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Stalprodukt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244,10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278,15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+13,9 %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+13,9 %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2 444,06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2 036,32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-16,7 %</w:t>
            </w:r>
          </w:p>
        </w:tc>
      </w:tr>
    </w:tbl>
    <w:p w:rsidR="00C02EFF" w:rsidRDefault="00C02EFF" w:rsidP="00C02EFF">
      <w:pPr>
        <w:spacing w:after="0" w:line="240" w:lineRule="auto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wymienione w szóstym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20 października 2014 roku w rubryce ,,Wykres do przemyślenia” w okresie od 17 września do 16 października 2015 roku 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17.10.2014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16.10.2015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Tauron</w:t>
            </w:r>
            <w:proofErr w:type="spellEnd"/>
            <w:r>
              <w:rPr>
                <w:rFonts w:eastAsiaTheme="minorEastAsia"/>
                <w:lang w:eastAsia="pl-PL"/>
              </w:rPr>
              <w:t xml:space="preserve"> Polska Energia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5,21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3,23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-38,0 %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-38,0 %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2 121,94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  -11,6 %</w:t>
            </w:r>
          </w:p>
        </w:tc>
      </w:tr>
    </w:tbl>
    <w:p w:rsidR="00C02EFF" w:rsidRDefault="00C02EFF" w:rsidP="00C02EFF">
      <w:pPr>
        <w:spacing w:after="0" w:line="240" w:lineRule="auto"/>
        <w:rPr>
          <w:rFonts w:ascii="Calibri" w:eastAsia="Times New Roman" w:hAnsi="Calibri" w:cs="Times New Roman"/>
          <w:sz w:val="42"/>
          <w:szCs w:val="42"/>
          <w:u w:val="single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 xml:space="preserve">Tabela: Procentowa zmiana ceny akcji spółki, której akcje zostały umieszczone 22 października na stronie internetowej </w:t>
      </w:r>
      <w:hyperlink r:id="rId15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21 października do 19 czerwca 2015 roku do 21 października 2015 roku 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21.10.2015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Elektrotim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8,70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18,66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+ 114,5 %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Relpol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6,93 zł.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6,70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color w:val="000000" w:themeColor="text1"/>
                <w:lang w:eastAsia="pl-PL"/>
              </w:rPr>
            </w:pPr>
            <w:r>
              <w:rPr>
                <w:rFonts w:eastAsiaTheme="minorEastAsia"/>
                <w:color w:val="000000" w:themeColor="text1"/>
                <w:lang w:eastAsia="pl-PL"/>
              </w:rPr>
              <w:t xml:space="preserve">  -3,3 %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 + 55,6 %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2 423,77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2 105,65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wymienione w siódmym numerze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,,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Raportu Tygodniowego” z 27 października 2014 roku w rubryce ,,Wykres do przemyślenia” w okresie od 24 października 2014 roku do 23 października 2015 roku 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24.10.2014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23.10.2015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Tesgas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4,32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3,70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-14,4 %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-14,4 %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2 401,13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2 107,43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-13,1 %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ascii="Calibri" w:eastAsia="Times New Roman" w:hAnsi="Calibri" w:cs="Times New Roman"/>
          <w:sz w:val="30"/>
          <w:szCs w:val="30"/>
          <w:u w:val="single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3 listopada 2014 roku w rubryce ,,Wykres do przemyślenia” w okresie od 31 października 2014 roku do 30 października 2015 roku 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31.10.2014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30.10.2015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Enea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16,00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12,83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-19,8 %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-19,8 %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2 463,68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2 060,03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-16,4 %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ascii="Calibri" w:eastAsia="Times New Roman" w:hAnsi="Calibri" w:cs="Times New Roman"/>
          <w:sz w:val="26"/>
          <w:szCs w:val="26"/>
          <w:u w:val="single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pl-PL"/>
        </w:rPr>
      </w:pPr>
      <w:r>
        <w:rPr>
          <w:rFonts w:eastAsia="Times New Roman" w:cs="Times New Roman"/>
          <w:sz w:val="28"/>
          <w:szCs w:val="28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sz w:val="28"/>
          <w:szCs w:val="28"/>
          <w:lang w:eastAsia="pl-PL"/>
        </w:rPr>
        <w:t>,,</w:t>
      </w:r>
      <w:proofErr w:type="gramEnd"/>
      <w:r>
        <w:rPr>
          <w:rFonts w:eastAsia="Times New Roman" w:cs="Times New Roman"/>
          <w:sz w:val="28"/>
          <w:szCs w:val="28"/>
          <w:lang w:eastAsia="pl-PL"/>
        </w:rPr>
        <w:t xml:space="preserve">Raportu Tygodniowego” z 1 grudnia 2014 roku w rubryce ,,Wykres do przemyślenia” w okresie od 28 listopada 2014 roku do 27 listopada 2015 roku 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Theme="minorEastAsia" w:cs="Times New Roman"/>
          <w:sz w:val="26"/>
          <w:szCs w:val="26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28.11.2014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27.11.2015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Procad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1,06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+73,6 %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+73,6 %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2 416,93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1 936,05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-19,9 %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2 grudnia na stronie internetowej </w:t>
      </w:r>
      <w:hyperlink r:id="rId16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1 grudnia 2014 roku do 1 grudnia 2015 roku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PKO BP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37,65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27,20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-27,8 %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-27,8 %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1 923,94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-20,4 %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wymienione w numerze </w:t>
      </w:r>
      <w:proofErr w:type="gramStart"/>
      <w:r>
        <w:rPr>
          <w:rFonts w:eastAsia="Times New Roman" w:cs="Times New Roman"/>
          <w:lang w:eastAsia="pl-PL"/>
        </w:rPr>
        <w:t>,,</w:t>
      </w:r>
      <w:proofErr w:type="gramEnd"/>
      <w:r>
        <w:rPr>
          <w:rFonts w:eastAsia="Times New Roman" w:cs="Times New Roman"/>
          <w:lang w:eastAsia="pl-PL"/>
        </w:rPr>
        <w:t xml:space="preserve">Raportu Tygodniowego” z 15 grudnia 2014 roku w rubryce ,,Wykres do przemyślenia” w okresie od 12 grudnia 2014 roku do 11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12.12.2014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11.12.2015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Mercor</w:t>
            </w:r>
            <w:proofErr w:type="spellEnd"/>
            <w:r>
              <w:rPr>
                <w:rFonts w:eastAsiaTheme="minorEastAsia"/>
                <w:lang w:eastAsia="pl-PL"/>
              </w:rPr>
              <w:t xml:space="preserve"> 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8,14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8,60 zł.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+5,7 %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 xml:space="preserve">  +5,7 %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2 360,00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1 757,37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  25,5 %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7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30 grudnia 2014 roku do 23 grudnia 2015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30.12.2014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30.12.2015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Comarch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115,50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114,05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-1,3 %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-1,3 %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2 315,94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1 859,15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 -19,7  %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Tabela: Procentowa zmiana ceny akcji spółki, której akcje zostały umieszczone 12 stycznia 2015 roku </w:t>
      </w:r>
      <w:proofErr w:type="gramStart"/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8" w:history="1">
        <w:r>
          <w:rPr>
            <w:rStyle w:val="Hipercze"/>
            <w:rFonts w:eastAsia="Times New Roman" w:cs="Times New Roman"/>
            <w:lang w:eastAsia="pl-PL"/>
          </w:rPr>
          <w:t>www.analizy-rynkowe.</w:t>
        </w:r>
        <w:proofErr w:type="gramStart"/>
        <w:r>
          <w:rPr>
            <w:rStyle w:val="Hipercze"/>
            <w:rFonts w:eastAsia="Times New Roman" w:cs="Times New Roman"/>
            <w:lang w:eastAsia="pl-PL"/>
          </w:rPr>
          <w:t>pl</w:t>
        </w:r>
      </w:hyperlink>
      <w:r>
        <w:rPr>
          <w:rFonts w:eastAsia="Times New Roman" w:cs="Times New Roman"/>
          <w:lang w:eastAsia="pl-PL"/>
        </w:rPr>
        <w:t>na  stronie</w:t>
      </w:r>
      <w:proofErr w:type="gramEnd"/>
      <w:r>
        <w:rPr>
          <w:rFonts w:eastAsia="Times New Roman" w:cs="Times New Roman"/>
          <w:lang w:eastAsia="pl-PL"/>
        </w:rPr>
        <w:t xml:space="preserve"> internetowej </w:t>
      </w:r>
      <w:hyperlink r:id="rId19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w </w:t>
      </w:r>
      <w:proofErr w:type="gramStart"/>
      <w:r>
        <w:rPr>
          <w:rFonts w:eastAsia="Times New Roman" w:cs="Times New Roman"/>
          <w:lang w:eastAsia="pl-PL"/>
        </w:rPr>
        <w:t>rubryce  ,,Wykres</w:t>
      </w:r>
      <w:proofErr w:type="gramEnd"/>
      <w:r>
        <w:rPr>
          <w:rFonts w:eastAsia="Times New Roman" w:cs="Times New Roman"/>
          <w:lang w:eastAsia="pl-PL"/>
        </w:rPr>
        <w:t xml:space="preserve"> do przemyślenia” w okresie od 9 stycznia 2015 roku do 8 stycznia 2016 roku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08.012016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Muza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3,34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2,84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 -15,0 %0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-15,0 %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1 725,14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-28,6 %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lastRenderedPageBreak/>
        <w:t xml:space="preserve">Tabela: Procentowa zmiana ceny akcji spółki, której akcje zostały umieszczone 30 stycznia 2015 roku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na  stronie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internetowej </w:t>
      </w:r>
      <w:hyperlink r:id="rId20" w:history="1">
        <w:r>
          <w:rPr>
            <w:rStyle w:val="Hipercze"/>
            <w:rFonts w:eastAsia="Times New Roman" w:cs="Times New Roman"/>
            <w:sz w:val="26"/>
            <w:szCs w:val="26"/>
            <w:lang w:eastAsia="pl-PL"/>
          </w:rPr>
          <w:t>www.analizy-rynkowe.pl</w:t>
        </w:r>
      </w:hyperlink>
      <w:r>
        <w:rPr>
          <w:rFonts w:eastAsia="Times New Roman" w:cs="Times New Roman"/>
          <w:sz w:val="26"/>
          <w:szCs w:val="26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26"/>
          <w:szCs w:val="26"/>
          <w:lang w:eastAsia="pl-PL"/>
        </w:rPr>
        <w:t>rubryce  ,,Wykres</w:t>
      </w:r>
      <w:proofErr w:type="gramEnd"/>
      <w:r>
        <w:rPr>
          <w:rFonts w:eastAsia="Times New Roman" w:cs="Times New Roman"/>
          <w:sz w:val="26"/>
          <w:szCs w:val="26"/>
          <w:lang w:eastAsia="pl-PL"/>
        </w:rPr>
        <w:t xml:space="preserve"> do przemyślenia” w okresie od 29 stycznia 2015 roku </w:t>
      </w:r>
      <w:r>
        <w:rPr>
          <w:rFonts w:eastAsia="Times New Roman" w:cs="Times New Roman"/>
          <w:lang w:eastAsia="pl-PL"/>
        </w:rPr>
        <w:t xml:space="preserve">do 29 stycznia 2016 roku  </w:t>
      </w:r>
      <w:r>
        <w:rPr>
          <w:rFonts w:eastAsia="Times New Roman" w:cs="Times New Roman"/>
          <w:sz w:val="26"/>
          <w:szCs w:val="26"/>
          <w:lang w:eastAsia="pl-PL"/>
        </w:rPr>
        <w:t xml:space="preserve">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29.01.2016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Lubawa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1,11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0,78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-29,7 %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-29,7 %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1 780,25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-26,3 %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sz w:val="30"/>
          <w:szCs w:val="30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10 lutego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1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9 lutego 2015 roku do 9 lutego 2016 roku  oraz procentowa zmiana indeksu WIG 20 w tym okresie. </w:t>
      </w: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09.02.2016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Akcja spółki </w:t>
            </w:r>
            <w:proofErr w:type="spellStart"/>
            <w:r>
              <w:rPr>
                <w:rFonts w:eastAsiaTheme="minorEastAsia"/>
                <w:lang w:eastAsia="pl-PL"/>
              </w:rPr>
              <w:t>Atrem</w:t>
            </w:r>
            <w:proofErr w:type="spellEnd"/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4,50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4,00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-11,1 %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-11,1 %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2 417,11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1 790,87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-24,5%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eastAsiaTheme="minorEastAsia" w:cs="Times New Roman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t xml:space="preserve">Tabela: Procentowa zmiana ceny akcji spółki, której akcje zostały umieszczone 3 marca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2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2 marca 2015 roku do 2 marca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02.03.2016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Mostostal Warszawa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7,57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14,38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+90,0 %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+90,0 %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2 358,25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1 844,57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-21,8 %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sz w:val="30"/>
          <w:szCs w:val="30"/>
          <w:lang w:eastAsia="pl-PL"/>
        </w:rPr>
        <w:lastRenderedPageBreak/>
        <w:t xml:space="preserve">Tabela: Procentowa zmiana ceny akcji spółki, której akcje zostały umieszczone 9 kwietnia 2015 roku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na  stronie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internetowej </w:t>
      </w:r>
      <w:hyperlink r:id="rId23" w:history="1">
        <w:r>
          <w:rPr>
            <w:rStyle w:val="Hipercze"/>
            <w:rFonts w:eastAsia="Times New Roman" w:cs="Times New Roman"/>
            <w:sz w:val="30"/>
            <w:szCs w:val="30"/>
            <w:lang w:eastAsia="pl-PL"/>
          </w:rPr>
          <w:t>www.analizy-rynkowe.pl</w:t>
        </w:r>
      </w:hyperlink>
      <w:r>
        <w:rPr>
          <w:rFonts w:eastAsia="Times New Roman" w:cs="Times New Roman"/>
          <w:sz w:val="30"/>
          <w:szCs w:val="30"/>
          <w:lang w:eastAsia="pl-PL"/>
        </w:rPr>
        <w:t xml:space="preserve"> w </w:t>
      </w:r>
      <w:proofErr w:type="gramStart"/>
      <w:r>
        <w:rPr>
          <w:rFonts w:eastAsia="Times New Roman" w:cs="Times New Roman"/>
          <w:sz w:val="30"/>
          <w:szCs w:val="30"/>
          <w:lang w:eastAsia="pl-PL"/>
        </w:rPr>
        <w:t>rubryce  ,,Wykres</w:t>
      </w:r>
      <w:proofErr w:type="gramEnd"/>
      <w:r>
        <w:rPr>
          <w:rFonts w:eastAsia="Times New Roman" w:cs="Times New Roman"/>
          <w:sz w:val="30"/>
          <w:szCs w:val="30"/>
          <w:lang w:eastAsia="pl-PL"/>
        </w:rPr>
        <w:t xml:space="preserve"> do przemyślenia” w okresie od 8 kwietnia 2015 roku do 8 kwietnia 2016 roku  oraz procentowa zmiana indeksu WIG 20 w tym okresie.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2"/>
        <w:gridCol w:w="2302"/>
        <w:gridCol w:w="2303"/>
        <w:gridCol w:w="1134"/>
      </w:tblGrid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Instrument finansowy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08.04.2015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lang w:eastAsia="pl-PL"/>
              </w:rPr>
            </w:pPr>
            <w:r>
              <w:rPr>
                <w:rFonts w:eastAsiaTheme="minorEastAsia"/>
                <w:lang w:eastAsia="pl-PL"/>
              </w:rPr>
              <w:t>Poziom – 08.04.2016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Zmiana (w %)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Akcja spółki Ceramika Nowa Gala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1,25 zł.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1,44 zł.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+15,2 %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Średnio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b/>
                <w:color w:val="FF0000"/>
                <w:lang w:eastAsia="pl-PL"/>
              </w:rPr>
            </w:pPr>
            <w:r>
              <w:rPr>
                <w:rFonts w:eastAsiaTheme="minorEastAsia"/>
                <w:b/>
                <w:color w:val="FF0000"/>
                <w:lang w:eastAsia="pl-PL"/>
              </w:rPr>
              <w:t>+15,2 %</w:t>
            </w:r>
          </w:p>
        </w:tc>
      </w:tr>
      <w:tr w:rsidR="00C02EFF" w:rsidTr="008143C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WIG 20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 xml:space="preserve">2 424,82 pkt. 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1 919,42 pkt.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EFF" w:rsidRDefault="00C02EFF" w:rsidP="008143C1">
            <w:pPr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-20,8 %</w:t>
            </w:r>
          </w:p>
        </w:tc>
      </w:tr>
    </w:tbl>
    <w:p w:rsidR="00C02EFF" w:rsidRDefault="00C02EFF" w:rsidP="00C02EFF">
      <w:pPr>
        <w:spacing w:after="0" w:line="240" w:lineRule="auto"/>
        <w:jc w:val="both"/>
        <w:rPr>
          <w:rFonts w:ascii="Calibri" w:eastAsia="Times New Roman" w:hAnsi="Calibri" w:cs="Times New Roman"/>
          <w:sz w:val="90"/>
          <w:szCs w:val="90"/>
          <w:u w:val="single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ascii="Calibri" w:eastAsia="Times New Roman" w:hAnsi="Calibri" w:cs="Times New Roman"/>
          <w:sz w:val="60"/>
          <w:szCs w:val="60"/>
          <w:u w:val="single"/>
          <w:lang w:eastAsia="pl-PL"/>
        </w:rPr>
      </w:pPr>
      <w:r>
        <w:rPr>
          <w:rFonts w:ascii="Calibri" w:eastAsia="Times New Roman" w:hAnsi="Calibri" w:cs="Times New Roman"/>
          <w:sz w:val="60"/>
          <w:szCs w:val="60"/>
          <w:u w:val="single"/>
          <w:lang w:eastAsia="pl-PL"/>
        </w:rPr>
        <w:t>Wniosek końcowy z powyższych rozważań brzmi następująco:</w:t>
      </w:r>
    </w:p>
    <w:p w:rsidR="00C02EFF" w:rsidRDefault="00C02EFF" w:rsidP="00C02EFF">
      <w:pPr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90"/>
          <w:szCs w:val="90"/>
          <w:u w:val="single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58"/>
          <w:szCs w:val="58"/>
          <w:u w:val="single"/>
          <w:lang w:eastAsia="pl-PL"/>
        </w:rPr>
      </w:pPr>
      <w:r>
        <w:rPr>
          <w:rFonts w:ascii="Calibri" w:eastAsia="Times New Roman" w:hAnsi="Calibri" w:cs="Times New Roman"/>
          <w:color w:val="000000"/>
          <w:sz w:val="58"/>
          <w:szCs w:val="58"/>
          <w:lang w:eastAsia="pl-PL"/>
        </w:rPr>
        <w:t xml:space="preserve">Średnia procentowa zmiana kursu akcji spółki po wprowadzeniu jej do rubryki </w:t>
      </w:r>
      <w:proofErr w:type="gramStart"/>
      <w:r>
        <w:rPr>
          <w:rFonts w:ascii="Calibri" w:eastAsia="Times New Roman" w:hAnsi="Calibri" w:cs="Times New Roman"/>
          <w:b/>
          <w:color w:val="FF0000"/>
          <w:sz w:val="58"/>
          <w:szCs w:val="58"/>
          <w:lang w:eastAsia="pl-PL"/>
        </w:rPr>
        <w:t>,,</w:t>
      </w:r>
      <w:proofErr w:type="gramEnd"/>
      <w:r>
        <w:rPr>
          <w:rFonts w:ascii="Calibri" w:eastAsia="Times New Roman" w:hAnsi="Calibri" w:cs="Times New Roman"/>
          <w:b/>
          <w:color w:val="FF0000"/>
          <w:sz w:val="58"/>
          <w:szCs w:val="58"/>
          <w:lang w:eastAsia="pl-PL"/>
        </w:rPr>
        <w:t>Wykres do przemyślenia”</w:t>
      </w:r>
      <w:r>
        <w:rPr>
          <w:rFonts w:ascii="Calibri" w:eastAsia="Times New Roman" w:hAnsi="Calibri" w:cs="Times New Roman"/>
          <w:color w:val="000000"/>
          <w:sz w:val="58"/>
          <w:szCs w:val="58"/>
          <w:lang w:eastAsia="pl-PL"/>
        </w:rPr>
        <w:t xml:space="preserve"> w okresie 12 pierwszych miesięcy po jej wprowadzeniu do tej rubryki wynosiła </w:t>
      </w:r>
      <w:r>
        <w:rPr>
          <w:rFonts w:ascii="Calibri" w:eastAsia="Times New Roman" w:hAnsi="Calibri" w:cs="Times New Roman"/>
          <w:b/>
          <w:color w:val="FF0000"/>
          <w:sz w:val="58"/>
          <w:szCs w:val="58"/>
          <w:lang w:eastAsia="pl-PL"/>
        </w:rPr>
        <w:t>plus 14,2 %.</w:t>
      </w:r>
      <w:r>
        <w:rPr>
          <w:rFonts w:ascii="Calibri" w:eastAsia="Times New Roman" w:hAnsi="Calibri" w:cs="Times New Roman"/>
          <w:color w:val="FF0000"/>
          <w:sz w:val="58"/>
          <w:szCs w:val="58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 w:themeColor="text1"/>
          <w:sz w:val="58"/>
          <w:szCs w:val="58"/>
          <w:lang w:eastAsia="pl-PL"/>
        </w:rPr>
        <w:t xml:space="preserve">Średnia procentowa zmiana indeksu </w:t>
      </w:r>
      <w:r>
        <w:rPr>
          <w:rFonts w:ascii="Calibri" w:eastAsia="Times New Roman" w:hAnsi="Calibri" w:cs="Times New Roman"/>
          <w:color w:val="000000" w:themeColor="text1"/>
          <w:sz w:val="58"/>
          <w:szCs w:val="58"/>
          <w:u w:val="single"/>
          <w:lang w:eastAsia="pl-PL"/>
        </w:rPr>
        <w:t xml:space="preserve">WIG20 </w:t>
      </w:r>
      <w:r>
        <w:rPr>
          <w:rFonts w:ascii="Calibri" w:eastAsia="Times New Roman" w:hAnsi="Calibri" w:cs="Times New Roman"/>
          <w:color w:val="000000" w:themeColor="text1"/>
          <w:sz w:val="58"/>
          <w:szCs w:val="58"/>
          <w:lang w:eastAsia="pl-PL"/>
        </w:rPr>
        <w:t xml:space="preserve">w tym okresie wynosiła </w:t>
      </w:r>
      <w:r>
        <w:rPr>
          <w:rFonts w:ascii="Calibri" w:eastAsia="Times New Roman" w:hAnsi="Calibri" w:cs="Times New Roman"/>
          <w:b/>
          <w:color w:val="000000" w:themeColor="text1"/>
          <w:sz w:val="58"/>
          <w:szCs w:val="58"/>
          <w:u w:val="single"/>
          <w:lang w:eastAsia="pl-PL"/>
        </w:rPr>
        <w:t xml:space="preserve">minus 17,5 %. </w:t>
      </w:r>
    </w:p>
    <w:p w:rsidR="00C02EFF" w:rsidRDefault="00C02EFF" w:rsidP="00C02EFF">
      <w:pPr>
        <w:pStyle w:val="Bezodstpw"/>
        <w:jc w:val="both"/>
        <w:rPr>
          <w:sz w:val="26"/>
          <w:szCs w:val="26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lastRenderedPageBreak/>
        <w:t>Wnioski końcowe</w:t>
      </w: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02EFF" w:rsidRDefault="00C02EFF" w:rsidP="00C02EF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  <w:r>
        <w:rPr>
          <w:rFonts w:eastAsia="Times New Roman" w:cs="Times New Roman"/>
          <w:color w:val="000000" w:themeColor="text1"/>
          <w:lang w:eastAsia="pl-PL"/>
        </w:rPr>
        <w:t xml:space="preserve">Kurs </w:t>
      </w:r>
      <w:r>
        <w:rPr>
          <w:rFonts w:eastAsia="Times New Roman" w:cs="Times New Roman"/>
          <w:lang w:eastAsia="pl-PL"/>
        </w:rPr>
        <w:t xml:space="preserve">dolara amerykańskiego (w złotych) przebił 52-tygodniowe maksimum, co było spowodowane zaprezentowaniem bardzo dobrych danych o sytuacji na rynku pracy w USA w piątek 6 listopada. Dzięki temu nastąpiło wybicie z nietypowej formacji podwójnego dna, co powinno skutkować wzrostem kursu dolara amerykańskiego </w:t>
      </w:r>
      <w:r>
        <w:rPr>
          <w:rFonts w:eastAsia="Times New Roman" w:cs="Times New Roman"/>
          <w:b/>
          <w:color w:val="FF0000"/>
          <w:lang w:eastAsia="pl-PL"/>
        </w:rPr>
        <w:t xml:space="preserve">do 4,4252 zł. </w:t>
      </w:r>
    </w:p>
    <w:p w:rsidR="00C02EFF" w:rsidRDefault="00C02EFF" w:rsidP="00C02EFF">
      <w:pPr>
        <w:spacing w:after="0" w:line="240" w:lineRule="auto"/>
        <w:contextualSpacing/>
        <w:jc w:val="both"/>
        <w:rPr>
          <w:rFonts w:eastAsia="Times New Roman" w:cs="Times New Roman"/>
          <w:b/>
          <w:color w:val="FF0000"/>
          <w:lang w:eastAsia="pl-PL"/>
        </w:rPr>
      </w:pPr>
    </w:p>
    <w:p w:rsidR="00C02EFF" w:rsidRDefault="00C02EFF" w:rsidP="00C02EF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  <w:r>
        <w:rPr>
          <w:rFonts w:eastAsia="Times New Roman" w:cs="Times New Roman"/>
          <w:lang w:eastAsia="pl-PL"/>
        </w:rPr>
        <w:t xml:space="preserve">Kurs euro (w złotych) od końca kwietnia 2015 roku znajduje się w trendzie wzrostowym. Generalnie rzecz biorąc powyższy proces (będący mówiąc inaczej synonimem osłabienia złotego wobec euro) wynikał prawdopodobnie z odpływu kapitału zagranicznego z wschodzących rynków finansowych. Na wykresie kursu euro (w złotych) doszło do wybicia z formacji nietypowej formacji podwójnego dna, dzięki czemu doszło do wzrostu kursu euro (w złotych) do 4,3607 zł. Dojście do oporu (szczyt z 26 grudnia 2014 roku) może osłabiło kursu euro (w złotych). W piątek 15 stycznia popyt zaatakował. Przebite zostało roczne maksimum. Można oczekiwać wzrostu w kierunku </w:t>
      </w:r>
      <w:r>
        <w:rPr>
          <w:rFonts w:eastAsia="Times New Roman" w:cs="Times New Roman"/>
          <w:b/>
          <w:color w:val="FF0000"/>
          <w:lang w:eastAsia="pl-PL"/>
        </w:rPr>
        <w:t>4,5644</w:t>
      </w:r>
      <w:r>
        <w:rPr>
          <w:rFonts w:eastAsia="Times New Roman" w:cs="Times New Roman"/>
          <w:color w:val="FF0000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(szczyt z 13 grudnia 2011 roku).</w:t>
      </w:r>
    </w:p>
    <w:p w:rsidR="00C02EFF" w:rsidRDefault="00C02EFF" w:rsidP="00C02EFF">
      <w:pPr>
        <w:spacing w:after="0" w:line="240" w:lineRule="auto"/>
        <w:contextualSpacing/>
        <w:jc w:val="both"/>
        <w:rPr>
          <w:rFonts w:eastAsia="Times New Roman" w:cs="Times New Roman"/>
          <w:color w:val="000000" w:themeColor="text1"/>
          <w:lang w:eastAsia="pl-PL"/>
        </w:rPr>
      </w:pPr>
    </w:p>
    <w:p w:rsidR="00C02EFF" w:rsidRPr="00E0563A" w:rsidRDefault="00C02EFF" w:rsidP="00C02EFF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lang w:eastAsia="pl-PL"/>
        </w:rPr>
      </w:pPr>
      <w:r w:rsidRPr="00E0563A">
        <w:rPr>
          <w:rFonts w:eastAsia="Times New Roman" w:cs="Times New Roman"/>
          <w:color w:val="000000" w:themeColor="text1"/>
          <w:lang w:eastAsia="pl-PL"/>
        </w:rPr>
        <w:t xml:space="preserve">WIG20 w poprzednim tygodniu spadł o 2,0 %. Tymczasem amerykański indeks S&amp;P50 spadł o 0,5 %, francuski indeks CAC40 wzrósł o 0,4 %, japoński indeks NIKKEI225 urósł o 1,9 %. Zestawienie to wskazuje na stosunkowo dużą słabość polskiego indeksu dużych spółek. Jest trudno przesądzać o </w:t>
      </w:r>
      <w:proofErr w:type="gramStart"/>
      <w:r w:rsidRPr="00E0563A">
        <w:rPr>
          <w:rFonts w:eastAsia="Times New Roman" w:cs="Times New Roman"/>
          <w:color w:val="000000" w:themeColor="text1"/>
          <w:lang w:eastAsia="pl-PL"/>
        </w:rPr>
        <w:t>tym co</w:t>
      </w:r>
      <w:proofErr w:type="gramEnd"/>
      <w:r w:rsidRPr="00E0563A">
        <w:rPr>
          <w:rFonts w:eastAsia="Times New Roman" w:cs="Times New Roman"/>
          <w:color w:val="000000" w:themeColor="text1"/>
          <w:lang w:eastAsia="pl-PL"/>
        </w:rPr>
        <w:t xml:space="preserve"> faktycznie zdecydowało o tej relatywnej słabości indeksu WIG20. Być może było to oczekiwanie na decyzję agencji </w:t>
      </w:r>
      <w:proofErr w:type="spellStart"/>
      <w:r w:rsidRPr="00E0563A">
        <w:rPr>
          <w:rFonts w:eastAsia="Times New Roman" w:cs="Times New Roman"/>
          <w:color w:val="000000" w:themeColor="text1"/>
          <w:lang w:eastAsia="pl-PL"/>
        </w:rPr>
        <w:t>rantingowej</w:t>
      </w:r>
      <w:proofErr w:type="spellEnd"/>
      <w:r w:rsidRPr="00E0563A">
        <w:rPr>
          <w:rFonts w:eastAsia="Times New Roman" w:cs="Times New Roman"/>
          <w:color w:val="000000" w:themeColor="text1"/>
          <w:lang w:eastAsia="pl-PL"/>
        </w:rPr>
        <w:t xml:space="preserve"> </w:t>
      </w:r>
      <w:proofErr w:type="spellStart"/>
      <w:r w:rsidRPr="00E0563A">
        <w:rPr>
          <w:rFonts w:eastAsia="Times New Roman" w:cs="Times New Roman"/>
          <w:color w:val="000000" w:themeColor="text1"/>
          <w:lang w:eastAsia="pl-PL"/>
        </w:rPr>
        <w:t>Moodys</w:t>
      </w:r>
      <w:proofErr w:type="spellEnd"/>
      <w:r w:rsidRPr="00E0563A">
        <w:rPr>
          <w:rFonts w:eastAsia="Times New Roman" w:cs="Times New Roman"/>
          <w:color w:val="000000" w:themeColor="text1"/>
          <w:lang w:eastAsia="pl-PL"/>
        </w:rPr>
        <w:t>, być może spadek cen kontraktów terminowych na miedź. Być może…</w:t>
      </w:r>
      <w:r w:rsidRPr="00E0563A">
        <w:rPr>
          <w:rFonts w:eastAsia="Times New Roman" w:cs="Times New Roman"/>
          <w:b/>
          <w:color w:val="000000" w:themeColor="text1"/>
          <w:lang w:eastAsia="pl-PL"/>
        </w:rPr>
        <w:t>W każdym razie niezależnie od przyczyn przyznam, że sytuacja techniczna samego indeksu WIG20 jak również na przykład kursu akcji KGHM wskazują na ryzyko dalszych spadków.</w:t>
      </w:r>
      <w:r w:rsidRPr="00E0563A">
        <w:rPr>
          <w:rFonts w:eastAsia="Times New Roman" w:cs="Times New Roman"/>
          <w:color w:val="000000" w:themeColor="text1"/>
          <w:lang w:eastAsia="pl-PL"/>
        </w:rPr>
        <w:t xml:space="preserve"> W przypadku indeksu WIG20 na ryzyko spadków wskazuje choćby to, że układ średnich ruchomych jest typowy dla bessy. W przypadku kursu akcji spółki KGHM mamy do czynienia z wybiciem z formacji podwójnego szczytu. Gdyby w przypadku wykresu kursu akcji spółki KGHM doszło do wybicia z formacji podwójnego szczytu kurs powinien spaść do 58 złotych i 77 groszy, czyli o 6,7 %.</w:t>
      </w:r>
    </w:p>
    <w:p w:rsidR="00C02EFF" w:rsidRPr="00B04BA6" w:rsidRDefault="00C02EFF" w:rsidP="00C02EFF">
      <w:pPr>
        <w:spacing w:after="0" w:line="240" w:lineRule="auto"/>
        <w:ind w:left="720"/>
        <w:contextualSpacing/>
        <w:jc w:val="both"/>
        <w:rPr>
          <w:rFonts w:eastAsia="Times New Roman" w:cs="Times New Roman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Opracował: Sławomir Kłusek, 16 maja 2016 roku</w:t>
      </w: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Powyższy raport stanowi wyłącznie wyraz osobistych opinii autora. </w:t>
      </w: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Treści zawarte na stronie internetowej </w:t>
      </w:r>
      <w:hyperlink r:id="rId24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  <w:r>
        <w:rPr>
          <w:rFonts w:eastAsia="Times New Roman" w:cs="Times New Roman"/>
          <w:lang w:eastAsia="pl-PL"/>
        </w:rPr>
        <w:t xml:space="preserve"> nie stanowią "rekomendacji" w rozumieniu przepisów Rozporządzenia Ministra Finansów z dnia 19 października 2005 r. w sprawie informacji stanowiących rekomendacje dotyczące instrumentów finansowych, lub ich emitentów (</w:t>
      </w:r>
      <w:proofErr w:type="spellStart"/>
      <w:r>
        <w:rPr>
          <w:rFonts w:eastAsia="Times New Roman" w:cs="Times New Roman"/>
          <w:lang w:eastAsia="pl-PL"/>
        </w:rPr>
        <w:t>Dz.U</w:t>
      </w:r>
      <w:proofErr w:type="spellEnd"/>
      <w:r>
        <w:rPr>
          <w:rFonts w:eastAsia="Times New Roman" w:cs="Times New Roman"/>
          <w:lang w:eastAsia="pl-PL"/>
        </w:rPr>
        <w:t xml:space="preserve">. </w:t>
      </w:r>
      <w:proofErr w:type="gramStart"/>
      <w:r>
        <w:rPr>
          <w:rFonts w:eastAsia="Times New Roman" w:cs="Times New Roman"/>
          <w:lang w:eastAsia="pl-PL"/>
        </w:rPr>
        <w:t>z</w:t>
      </w:r>
      <w:proofErr w:type="gramEnd"/>
      <w:r>
        <w:rPr>
          <w:rFonts w:eastAsia="Times New Roman" w:cs="Times New Roman"/>
          <w:lang w:eastAsia="pl-PL"/>
        </w:rPr>
        <w:t xml:space="preserve"> 2005 r. Nr 206, poz. 1715).</w:t>
      </w:r>
    </w:p>
    <w:p w:rsidR="00C02EFF" w:rsidRDefault="00C02EFF" w:rsidP="00C02EFF">
      <w:pPr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C02EFF" w:rsidRDefault="00C02EFF" w:rsidP="00C02EFF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 w:themeColor="text1"/>
          <w:sz w:val="58"/>
          <w:szCs w:val="58"/>
          <w:u w:val="single"/>
          <w:lang w:eastAsia="pl-PL"/>
        </w:rPr>
      </w:pPr>
      <w:r>
        <w:rPr>
          <w:rFonts w:eastAsia="Times New Roman" w:cs="Times New Roman"/>
          <w:lang w:eastAsia="pl-PL"/>
        </w:rPr>
        <w:t xml:space="preserve">Autor nie ponosi odpowiedzialności za jakiekolwiek decyzje inwestycyjne podjęte na podstawie treści zawartych na stronie internetowej </w:t>
      </w:r>
      <w:hyperlink r:id="rId25" w:history="1">
        <w:r>
          <w:rPr>
            <w:rStyle w:val="Hipercze"/>
            <w:rFonts w:eastAsia="Times New Roman" w:cs="Times New Roman"/>
            <w:lang w:eastAsia="pl-PL"/>
          </w:rPr>
          <w:t>www.analizy-rynkowe.pl</w:t>
        </w:r>
      </w:hyperlink>
    </w:p>
    <w:p w:rsidR="00C02EFF" w:rsidRDefault="00C02EFF" w:rsidP="00C02EFF">
      <w:pPr>
        <w:spacing w:after="0" w:line="240" w:lineRule="auto"/>
        <w:jc w:val="both"/>
        <w:rPr>
          <w:sz w:val="26"/>
          <w:szCs w:val="26"/>
        </w:rPr>
      </w:pPr>
    </w:p>
    <w:p w:rsidR="00C02EFF" w:rsidRDefault="00C02EFF" w:rsidP="00C02EFF">
      <w:pPr>
        <w:spacing w:after="0" w:line="240" w:lineRule="auto"/>
        <w:jc w:val="both"/>
        <w:rPr>
          <w:sz w:val="26"/>
          <w:szCs w:val="26"/>
        </w:rPr>
      </w:pPr>
    </w:p>
    <w:p w:rsidR="00346CB9" w:rsidRDefault="00346CB9"/>
    <w:sectPr w:rsidR="00346C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94DEE"/>
    <w:multiLevelType w:val="hybridMultilevel"/>
    <w:tmpl w:val="CBFE8794"/>
    <w:lvl w:ilvl="0" w:tplc="BB8469FE">
      <w:numFmt w:val="bullet"/>
      <w:lvlText w:val=""/>
      <w:lvlJc w:val="left"/>
      <w:pPr>
        <w:ind w:left="720" w:hanging="360"/>
      </w:pPr>
      <w:rPr>
        <w:rFonts w:ascii="Wingdings" w:eastAsia="Times New Roman" w:hAnsi="Wingdings" w:hint="default"/>
        <w:b w:val="0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EFF"/>
    <w:rsid w:val="001E18B8"/>
    <w:rsid w:val="00346CB9"/>
    <w:rsid w:val="00C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2E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2E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E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02EF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C02EF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2E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2E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analizy-rynkowe.pl" TargetMode="External"/><Relationship Id="rId18" Type="http://schemas.openxmlformats.org/officeDocument/2006/relationships/hyperlink" Target="http://www.analizy-rynkowe.pl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analizy-rynkowe.pl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analizy-rynkowe.pl/" TargetMode="External"/><Relationship Id="rId17" Type="http://schemas.openxmlformats.org/officeDocument/2006/relationships/hyperlink" Target="http://www.analizy-rynkowe.pl" TargetMode="External"/><Relationship Id="rId25" Type="http://schemas.openxmlformats.org/officeDocument/2006/relationships/hyperlink" Target="http://www.analizy-rynkowe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nalizy-rynkowe.pl" TargetMode="External"/><Relationship Id="rId20" Type="http://schemas.openxmlformats.org/officeDocument/2006/relationships/hyperlink" Target="http://www.analizy-rynkowe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24" Type="http://schemas.openxmlformats.org/officeDocument/2006/relationships/hyperlink" Target="http://www.analizy-rynkow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nalizy-rynkowe.pl" TargetMode="External"/><Relationship Id="rId23" Type="http://schemas.openxmlformats.org/officeDocument/2006/relationships/hyperlink" Target="http://www.analizy-rynkowe.pl" TargetMode="External"/><Relationship Id="rId10" Type="http://schemas.openxmlformats.org/officeDocument/2006/relationships/image" Target="media/image5.gif"/><Relationship Id="rId19" Type="http://schemas.openxmlformats.org/officeDocument/2006/relationships/hyperlink" Target="http://www.analizy-rynkowe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http://www.analizy-rynkowe.pl" TargetMode="External"/><Relationship Id="rId22" Type="http://schemas.openxmlformats.org/officeDocument/2006/relationships/hyperlink" Target="http://www.analizy-rynkowe.p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2802</Words>
  <Characters>16815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wydma</dc:creator>
  <cp:keywords/>
  <dc:description/>
  <cp:lastModifiedBy>wydma</cp:lastModifiedBy>
  <cp:revision>2</cp:revision>
  <dcterms:created xsi:type="dcterms:W3CDTF">2016-05-15T17:05:00Z</dcterms:created>
  <dcterms:modified xsi:type="dcterms:W3CDTF">2016-05-15T17:05:00Z</dcterms:modified>
</cp:coreProperties>
</file>