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FF" w:rsidRDefault="009153FF" w:rsidP="009153FF">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9153FF" w:rsidRDefault="009153FF" w:rsidP="009153FF">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9153FF" w:rsidRDefault="009153FF" w:rsidP="009153FF">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9153FF" w:rsidRDefault="009153FF" w:rsidP="009153FF">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9153FF" w:rsidRDefault="009153FF" w:rsidP="009153FF">
      <w:pPr>
        <w:spacing w:after="0" w:line="240" w:lineRule="auto"/>
        <w:jc w:val="center"/>
        <w:rPr>
          <w:rFonts w:eastAsiaTheme="minorEastAsia"/>
          <w:sz w:val="48"/>
          <w:szCs w:val="48"/>
          <w:lang w:eastAsia="pl-PL"/>
        </w:rPr>
      </w:pPr>
    </w:p>
    <w:p w:rsidR="009153FF" w:rsidRDefault="009153FF" w:rsidP="009153FF">
      <w:pPr>
        <w:spacing w:after="0" w:line="240" w:lineRule="auto"/>
        <w:jc w:val="center"/>
        <w:rPr>
          <w:rFonts w:eastAsiaTheme="minorEastAsia"/>
          <w:sz w:val="48"/>
          <w:szCs w:val="48"/>
          <w:lang w:eastAsia="pl-PL"/>
        </w:rPr>
      </w:pPr>
    </w:p>
    <w:p w:rsidR="009153FF" w:rsidRDefault="009153FF" w:rsidP="009153FF">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9153FF" w:rsidRDefault="009153FF" w:rsidP="009153FF">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9153FF" w:rsidRDefault="009153FF" w:rsidP="009153FF">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9153FF" w:rsidRDefault="009153FF" w:rsidP="009153FF">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9153FF" w:rsidRDefault="009153FF" w:rsidP="009153FF">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9153FF" w:rsidRDefault="009153FF" w:rsidP="009153FF">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Poniedziałek, 2 maja 2016 roku</w:t>
      </w:r>
    </w:p>
    <w:p w:rsidR="009153FF" w:rsidRDefault="009153FF" w:rsidP="009153FF">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USD/PLN – perspektywa długoterminowa, kurs z 29 kwietnia 2016 roku = 3,8206</w:t>
      </w:r>
    </w:p>
    <w:p w:rsidR="009153FF" w:rsidRDefault="009153FF" w:rsidP="009153FF">
      <w:pPr>
        <w:spacing w:after="0" w:line="240" w:lineRule="auto"/>
        <w:jc w:val="both"/>
        <w:rPr>
          <w:rFonts w:eastAsiaTheme="minorEastAsia"/>
          <w:lang w:eastAsia="pl-PL"/>
        </w:rPr>
      </w:pPr>
    </w:p>
    <w:p w:rsidR="009153FF" w:rsidRDefault="009153FF" w:rsidP="009153FF">
      <w:pPr>
        <w:spacing w:after="0" w:line="240" w:lineRule="auto"/>
        <w:jc w:val="both"/>
        <w:rPr>
          <w:rFonts w:eastAsiaTheme="minorEastAsia"/>
          <w:lang w:eastAsia="pl-PL"/>
        </w:rPr>
      </w:pPr>
      <w:r>
        <w:rPr>
          <w:rFonts w:eastAsiaTheme="minorEastAsia"/>
          <w:noProof/>
          <w:lang w:eastAsia="pl-PL"/>
        </w:rPr>
        <w:drawing>
          <wp:inline distT="0" distB="0" distL="0" distR="0" wp14:anchorId="3FE3843F" wp14:editId="1655324A">
            <wp:extent cx="4829175" cy="28956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9153FF" w:rsidRDefault="009153FF" w:rsidP="009153FF">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9153FF" w:rsidRDefault="009153FF" w:rsidP="009153FF">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kurs z 29 kwietnia 2016 roku = 4,3732</w:t>
      </w:r>
    </w:p>
    <w:p w:rsidR="009153FF" w:rsidRDefault="009153FF" w:rsidP="009153FF">
      <w:pPr>
        <w:spacing w:after="0" w:line="240" w:lineRule="auto"/>
        <w:jc w:val="both"/>
        <w:rPr>
          <w:rFonts w:eastAsiaTheme="minorEastAsia"/>
          <w:lang w:eastAsia="pl-PL"/>
        </w:rPr>
      </w:pPr>
    </w:p>
    <w:p w:rsidR="009153FF" w:rsidRDefault="009153FF" w:rsidP="009153FF">
      <w:pPr>
        <w:spacing w:after="0" w:line="240" w:lineRule="auto"/>
        <w:jc w:val="both"/>
        <w:rPr>
          <w:rFonts w:eastAsiaTheme="minorEastAsia"/>
          <w:lang w:eastAsia="pl-PL"/>
        </w:rPr>
      </w:pPr>
      <w:r>
        <w:rPr>
          <w:rFonts w:eastAsiaTheme="minorEastAsia"/>
          <w:noProof/>
          <w:lang w:eastAsia="pl-PL"/>
        </w:rPr>
        <w:drawing>
          <wp:inline distT="0" distB="0" distL="0" distR="0" wp14:anchorId="0E743CBC" wp14:editId="1C4AAEC6">
            <wp:extent cx="4829175" cy="28956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9153FF" w:rsidRDefault="009153FF" w:rsidP="009153FF">
      <w:pPr>
        <w:spacing w:after="0" w:line="240" w:lineRule="auto"/>
        <w:jc w:val="both"/>
        <w:rPr>
          <w:rFonts w:eastAsiaTheme="minorEastAsia"/>
          <w:color w:val="000000" w:themeColor="text1"/>
          <w:lang w:eastAsia="pl-PL"/>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heme="minorEastAsia"/>
          <w:color w:val="000000" w:themeColor="text1"/>
          <w:lang w:eastAsia="pl-PL"/>
        </w:rPr>
        <w:t xml:space="preserve">4,3607 zł. Dojście do oporu (szczyt z 26 grudnia 2014 roku) może osłabiło kursu euro (w złotych). W piątek 15 stycznia popyt zaatakował. Przebite zostało roczne maksimum. Można oczekiwać wzrostu w kierunku </w:t>
      </w:r>
      <w:r>
        <w:rPr>
          <w:rFonts w:eastAsiaTheme="minorEastAsia"/>
          <w:b/>
          <w:color w:val="FF0000"/>
          <w:lang w:eastAsia="pl-PL"/>
        </w:rPr>
        <w:t>4,5644</w:t>
      </w:r>
      <w:r>
        <w:rPr>
          <w:rFonts w:eastAsiaTheme="minorEastAsia"/>
          <w:color w:val="FF0000"/>
          <w:lang w:eastAsia="pl-PL"/>
        </w:rPr>
        <w:t xml:space="preserve"> </w:t>
      </w:r>
      <w:r>
        <w:rPr>
          <w:rFonts w:eastAsiaTheme="minorEastAsia"/>
          <w:color w:val="000000" w:themeColor="text1"/>
          <w:lang w:eastAsia="pl-PL"/>
        </w:rPr>
        <w:t xml:space="preserve">(szczyt z 13 grudnia 2011 roku). </w:t>
      </w:r>
    </w:p>
    <w:p w:rsidR="009153FF" w:rsidRDefault="009153FF" w:rsidP="009153FF">
      <w:pPr>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B04A77">
        <w:rPr>
          <w:sz w:val="26"/>
          <w:szCs w:val="26"/>
        </w:rPr>
        <w:lastRenderedPageBreak/>
        <w:t>Ryzyko spadku indeksu WIG20 o 16,9 %</w:t>
      </w:r>
    </w:p>
    <w:p w:rsidR="009153FF" w:rsidRDefault="009153FF" w:rsidP="009153FF">
      <w:pPr>
        <w:pStyle w:val="Bezodstpw"/>
        <w:jc w:val="both"/>
        <w:rPr>
          <w:sz w:val="26"/>
          <w:szCs w:val="26"/>
        </w:rPr>
      </w:pPr>
      <w:r w:rsidRPr="00D55B5D">
        <w:rPr>
          <w:sz w:val="26"/>
          <w:szCs w:val="26"/>
        </w:rPr>
        <w:t xml:space="preserve">W poprzednim tygodniu doszło do spadku indeksu WIG20 o 2,4 %. Spadek ten był w dużym stopniu </w:t>
      </w:r>
      <w:r>
        <w:rPr>
          <w:sz w:val="26"/>
          <w:szCs w:val="26"/>
        </w:rPr>
        <w:t xml:space="preserve">prawdopodobnie </w:t>
      </w:r>
      <w:r w:rsidRPr="00D55B5D">
        <w:rPr>
          <w:sz w:val="26"/>
          <w:szCs w:val="26"/>
        </w:rPr>
        <w:t xml:space="preserve">związany z </w:t>
      </w:r>
      <w:r>
        <w:rPr>
          <w:sz w:val="26"/>
          <w:szCs w:val="26"/>
        </w:rPr>
        <w:t xml:space="preserve">napływem niepokojących informacji z zagranicy. Amerykański indeks S&amp;P500 </w:t>
      </w:r>
      <w:proofErr w:type="gramStart"/>
      <w:r>
        <w:rPr>
          <w:sz w:val="26"/>
          <w:szCs w:val="26"/>
        </w:rPr>
        <w:t>zniżkował bowiem</w:t>
      </w:r>
      <w:proofErr w:type="gramEnd"/>
      <w:r>
        <w:rPr>
          <w:sz w:val="26"/>
          <w:szCs w:val="26"/>
        </w:rPr>
        <w:t xml:space="preserve"> o 1,3 %, niemiecki indeks DAX40 o 3,2 % a japoński indeks NIKKEI225 o 4,0 %. </w:t>
      </w:r>
    </w:p>
    <w:p w:rsidR="009153FF" w:rsidRDefault="009153FF" w:rsidP="009153FF">
      <w:pPr>
        <w:pStyle w:val="Bezodstpw"/>
        <w:jc w:val="both"/>
        <w:rPr>
          <w:sz w:val="26"/>
          <w:szCs w:val="26"/>
        </w:rPr>
      </w:pPr>
    </w:p>
    <w:p w:rsidR="009153FF" w:rsidRDefault="009153FF" w:rsidP="009153FF">
      <w:pPr>
        <w:pStyle w:val="Bezodstpw"/>
        <w:jc w:val="both"/>
        <w:rPr>
          <w:sz w:val="26"/>
          <w:szCs w:val="26"/>
        </w:rPr>
      </w:pPr>
      <w:r>
        <w:rPr>
          <w:sz w:val="26"/>
          <w:szCs w:val="26"/>
        </w:rPr>
        <w:t xml:space="preserve">Spoglądając na wykres indeksu WIG20 </w:t>
      </w:r>
      <w:r w:rsidRPr="009153FF">
        <w:rPr>
          <w:b/>
          <w:sz w:val="26"/>
          <w:szCs w:val="26"/>
        </w:rPr>
        <w:t xml:space="preserve">w kontekście </w:t>
      </w:r>
      <w:r>
        <w:rPr>
          <w:b/>
          <w:sz w:val="26"/>
          <w:szCs w:val="26"/>
        </w:rPr>
        <w:t xml:space="preserve">uwarunkowań </w:t>
      </w:r>
      <w:r w:rsidRPr="009153FF">
        <w:rPr>
          <w:b/>
          <w:sz w:val="26"/>
          <w:szCs w:val="26"/>
        </w:rPr>
        <w:t>sezonowych i psychologicznych</w:t>
      </w:r>
      <w:r>
        <w:rPr>
          <w:sz w:val="26"/>
          <w:szCs w:val="26"/>
        </w:rPr>
        <w:t xml:space="preserve"> coraz bardziej niestety dochodzę do wniosku, że w najbliższych kilku miesiącach </w:t>
      </w:r>
      <w:r w:rsidRPr="009153FF">
        <w:rPr>
          <w:b/>
          <w:sz w:val="26"/>
          <w:szCs w:val="26"/>
        </w:rPr>
        <w:t>możemy być świadkami spadku indeksu WIG20</w:t>
      </w:r>
      <w:r>
        <w:rPr>
          <w:sz w:val="26"/>
          <w:szCs w:val="26"/>
        </w:rPr>
        <w:t xml:space="preserve">. Przyznam, że wolałbym pisać o szansie na wzrosty, ale niestety wydaje mi się, że ryzyko spadków indeksu WIG20 jest spore. </w:t>
      </w:r>
    </w:p>
    <w:p w:rsidR="009153FF" w:rsidRDefault="009153FF" w:rsidP="009153FF">
      <w:pPr>
        <w:pStyle w:val="Bezodstpw"/>
        <w:jc w:val="both"/>
        <w:rPr>
          <w:sz w:val="26"/>
          <w:szCs w:val="26"/>
        </w:rPr>
      </w:pPr>
    </w:p>
    <w:p w:rsidR="009153FF" w:rsidRDefault="009153FF" w:rsidP="009153FF">
      <w:pPr>
        <w:pStyle w:val="Bezodstpw"/>
        <w:jc w:val="both"/>
        <w:rPr>
          <w:sz w:val="26"/>
          <w:szCs w:val="26"/>
        </w:rPr>
      </w:pPr>
      <w:r>
        <w:rPr>
          <w:sz w:val="26"/>
          <w:szCs w:val="26"/>
        </w:rPr>
        <w:t xml:space="preserve">Przede wszystkim warto zauważyć, że na wykresie indeksu WIG20 </w:t>
      </w:r>
      <w:r w:rsidRPr="009153FF">
        <w:rPr>
          <w:b/>
          <w:sz w:val="26"/>
          <w:szCs w:val="26"/>
        </w:rPr>
        <w:t xml:space="preserve">doszło do wybicia z formacji nietypowego podwójnego </w:t>
      </w:r>
      <w:r w:rsidRPr="009153FF">
        <w:rPr>
          <w:b/>
          <w:sz w:val="26"/>
          <w:szCs w:val="26"/>
        </w:rPr>
        <w:t>szczytu</w:t>
      </w:r>
      <w:r>
        <w:rPr>
          <w:sz w:val="26"/>
          <w:szCs w:val="26"/>
        </w:rPr>
        <w:t xml:space="preserve">. </w:t>
      </w:r>
      <w:r>
        <w:rPr>
          <w:sz w:val="26"/>
          <w:szCs w:val="26"/>
        </w:rPr>
        <w:t>Gdyby formacja ta miała się wypełnić indeks WIG20 musiałby niestety jeszcze spaść do poziomu 1</w:t>
      </w:r>
      <w:r>
        <w:rPr>
          <w:sz w:val="26"/>
          <w:szCs w:val="26"/>
        </w:rPr>
        <w:t xml:space="preserve"> </w:t>
      </w:r>
      <w:r>
        <w:rPr>
          <w:sz w:val="26"/>
          <w:szCs w:val="26"/>
        </w:rPr>
        <w:t xml:space="preserve">576,6 pkt, czyli o 16,9 %. </w:t>
      </w:r>
    </w:p>
    <w:p w:rsidR="009153FF" w:rsidRDefault="009153FF" w:rsidP="009153FF">
      <w:pPr>
        <w:pStyle w:val="Bezodstpw"/>
        <w:jc w:val="both"/>
        <w:rPr>
          <w:sz w:val="26"/>
          <w:szCs w:val="26"/>
        </w:rPr>
      </w:pPr>
    </w:p>
    <w:p w:rsidR="009153FF" w:rsidRDefault="009153FF" w:rsidP="009153FF">
      <w:pPr>
        <w:pStyle w:val="Bezodstpw"/>
        <w:jc w:val="both"/>
        <w:rPr>
          <w:b/>
          <w:sz w:val="26"/>
          <w:szCs w:val="26"/>
          <w:u w:val="single"/>
        </w:rPr>
      </w:pPr>
      <w:r w:rsidRPr="00D55B5D">
        <w:rPr>
          <w:b/>
          <w:sz w:val="26"/>
          <w:szCs w:val="26"/>
          <w:u w:val="single"/>
        </w:rPr>
        <w:t>WIG20</w:t>
      </w:r>
    </w:p>
    <w:p w:rsidR="009153FF" w:rsidRDefault="009153FF" w:rsidP="009153FF">
      <w:pPr>
        <w:pStyle w:val="Bezodstpw"/>
        <w:jc w:val="both"/>
        <w:rPr>
          <w:b/>
          <w:sz w:val="26"/>
          <w:szCs w:val="26"/>
          <w:u w:val="single"/>
        </w:rPr>
      </w:pPr>
    </w:p>
    <w:p w:rsidR="009153FF" w:rsidRDefault="009153FF" w:rsidP="009153FF">
      <w:pPr>
        <w:pStyle w:val="Bezodstpw"/>
        <w:jc w:val="both"/>
        <w:rPr>
          <w:b/>
          <w:sz w:val="26"/>
          <w:szCs w:val="26"/>
          <w:u w:val="single"/>
        </w:rPr>
      </w:pPr>
      <w:r>
        <w:rPr>
          <w:b/>
          <w:noProof/>
          <w:sz w:val="26"/>
          <w:szCs w:val="26"/>
          <w:u w:val="single"/>
          <w:lang w:eastAsia="pl-PL"/>
        </w:rPr>
        <w:drawing>
          <wp:inline distT="0" distB="0" distL="0" distR="0" wp14:anchorId="2678711C" wp14:editId="759814AA">
            <wp:extent cx="5429250" cy="3257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9153FF" w:rsidRDefault="009153FF" w:rsidP="009153FF">
      <w:pPr>
        <w:pStyle w:val="Bezodstpw"/>
        <w:jc w:val="both"/>
        <w:rPr>
          <w:b/>
          <w:noProof/>
          <w:sz w:val="26"/>
          <w:szCs w:val="26"/>
          <w:u w:val="single"/>
          <w:lang w:eastAsia="pl-PL"/>
        </w:rPr>
      </w:pPr>
    </w:p>
    <w:p w:rsidR="009153FF" w:rsidRPr="009153FF" w:rsidRDefault="009153FF" w:rsidP="009153FF">
      <w:pPr>
        <w:pStyle w:val="Bezodstpw"/>
        <w:jc w:val="both"/>
        <w:rPr>
          <w:b/>
          <w:noProof/>
          <w:sz w:val="26"/>
          <w:szCs w:val="26"/>
          <w:lang w:eastAsia="pl-PL"/>
        </w:rPr>
      </w:pPr>
      <w:r w:rsidRPr="00324F60">
        <w:rPr>
          <w:noProof/>
          <w:sz w:val="26"/>
          <w:szCs w:val="26"/>
          <w:lang w:eastAsia="pl-PL"/>
        </w:rPr>
        <w:t xml:space="preserve">Teraz </w:t>
      </w:r>
      <w:r>
        <w:rPr>
          <w:noProof/>
          <w:sz w:val="26"/>
          <w:szCs w:val="26"/>
          <w:lang w:eastAsia="pl-PL"/>
        </w:rPr>
        <w:t xml:space="preserve">chciałbym przejść do zagadnienia ,,pęku średnich”, o którym już na stronie </w:t>
      </w:r>
      <w:hyperlink r:id="rId9" w:history="1">
        <w:r w:rsidRPr="006716E6">
          <w:rPr>
            <w:rStyle w:val="Hipercze"/>
            <w:noProof/>
            <w:sz w:val="26"/>
            <w:szCs w:val="26"/>
            <w:lang w:eastAsia="pl-PL"/>
          </w:rPr>
          <w:t>http://analizy-rynkowe.pl/</w:t>
        </w:r>
      </w:hyperlink>
      <w:r>
        <w:rPr>
          <w:noProof/>
          <w:sz w:val="26"/>
          <w:szCs w:val="26"/>
          <w:lang w:eastAsia="pl-PL"/>
        </w:rPr>
        <w:t xml:space="preserve"> wspominałem. </w:t>
      </w:r>
      <w:r w:rsidRPr="009153FF">
        <w:rPr>
          <w:b/>
          <w:noProof/>
          <w:sz w:val="26"/>
          <w:szCs w:val="26"/>
          <w:lang w:eastAsia="pl-PL"/>
        </w:rPr>
        <w:t xml:space="preserve">Przypomnę czym jest (wedle mojej opnii) zjawisko owego ,,pęku średnich”. </w:t>
      </w:r>
    </w:p>
    <w:p w:rsidR="009153FF" w:rsidRDefault="009153FF" w:rsidP="009153FF">
      <w:pPr>
        <w:pStyle w:val="Bezodstpw"/>
        <w:jc w:val="both"/>
        <w:rPr>
          <w:noProof/>
          <w:sz w:val="26"/>
          <w:szCs w:val="26"/>
          <w:lang w:eastAsia="pl-PL"/>
        </w:rPr>
      </w:pPr>
    </w:p>
    <w:p w:rsidR="009153FF" w:rsidRPr="00324F60" w:rsidRDefault="009153FF" w:rsidP="009153FF">
      <w:pPr>
        <w:pStyle w:val="Bezodstpw"/>
        <w:jc w:val="both"/>
        <w:rPr>
          <w:noProof/>
          <w:sz w:val="26"/>
          <w:szCs w:val="26"/>
          <w:lang w:eastAsia="pl-PL"/>
        </w:rPr>
      </w:pPr>
      <w:r w:rsidRPr="00324F60">
        <w:rPr>
          <w:noProof/>
          <w:sz w:val="26"/>
          <w:szCs w:val="26"/>
          <w:lang w:eastAsia="pl-PL"/>
        </w:rPr>
        <w:t xml:space="preserve">Jedną metod wyszukiwania momentów zwrotnych na rynku, czyli określania momentów, w których może zostać zapoczątkowany bardzo silny ruch (w górę albo w </w:t>
      </w:r>
      <w:r w:rsidRPr="00324F60">
        <w:rPr>
          <w:noProof/>
          <w:sz w:val="26"/>
          <w:szCs w:val="26"/>
          <w:lang w:eastAsia="pl-PL"/>
        </w:rPr>
        <w:lastRenderedPageBreak/>
        <w:t>dół) jest metoda tak zwanego pęku średnich ruchomych – w skrócie: po prostu pęku średnich.</w:t>
      </w:r>
    </w:p>
    <w:p w:rsidR="009153FF" w:rsidRPr="00324F60" w:rsidRDefault="009153FF" w:rsidP="009153FF">
      <w:pPr>
        <w:pStyle w:val="Bezodstpw"/>
        <w:jc w:val="both"/>
        <w:rPr>
          <w:noProof/>
          <w:sz w:val="26"/>
          <w:szCs w:val="26"/>
          <w:lang w:eastAsia="pl-PL"/>
        </w:rPr>
      </w:pPr>
    </w:p>
    <w:p w:rsidR="009153FF" w:rsidRPr="00324F60" w:rsidRDefault="009153FF" w:rsidP="009153FF">
      <w:pPr>
        <w:pStyle w:val="Bezodstpw"/>
        <w:jc w:val="both"/>
        <w:rPr>
          <w:noProof/>
          <w:sz w:val="26"/>
          <w:szCs w:val="26"/>
          <w:lang w:eastAsia="pl-PL"/>
        </w:rPr>
      </w:pPr>
      <w:r w:rsidRPr="00324F60">
        <w:rPr>
          <w:noProof/>
          <w:sz w:val="26"/>
          <w:szCs w:val="26"/>
          <w:lang w:eastAsia="pl-PL"/>
        </w:rPr>
        <w:t>Kiedy na przykład średnie ruchome: z 500 sesji (czerwona przerywana), z 200 sesji (niebieska) oraz ze 100 sesji (żółta) znajdują się bardzo blisko siebie (a dodatkowo jeszcze kurs akcji, czy też indeks znajduje się blisko owych średnich ruchomych) wówczas można oczekiwać rozpoczęcia się bardzo silnego ruchu.</w:t>
      </w:r>
    </w:p>
    <w:p w:rsidR="009153FF" w:rsidRPr="00324F60" w:rsidRDefault="009153FF" w:rsidP="009153FF">
      <w:pPr>
        <w:pStyle w:val="Bezodstpw"/>
        <w:jc w:val="both"/>
        <w:rPr>
          <w:noProof/>
          <w:sz w:val="26"/>
          <w:szCs w:val="26"/>
          <w:lang w:eastAsia="pl-PL"/>
        </w:rPr>
      </w:pPr>
    </w:p>
    <w:p w:rsidR="009153FF" w:rsidRDefault="009153FF" w:rsidP="009153FF">
      <w:pPr>
        <w:pStyle w:val="Bezodstpw"/>
        <w:jc w:val="both"/>
        <w:rPr>
          <w:noProof/>
          <w:sz w:val="26"/>
          <w:szCs w:val="26"/>
          <w:lang w:eastAsia="pl-PL"/>
        </w:rPr>
      </w:pPr>
      <w:r w:rsidRPr="00324F60">
        <w:rPr>
          <w:noProof/>
          <w:sz w:val="26"/>
          <w:szCs w:val="26"/>
          <w:lang w:eastAsia="pl-PL"/>
        </w:rPr>
        <w:t>Często na wykresach kursów akcji, indeksów giełdowych, par walutowych, czy też surowców szukam ,,pęków średnich”.</w:t>
      </w:r>
    </w:p>
    <w:p w:rsidR="009153FF" w:rsidRDefault="009153FF" w:rsidP="009153FF">
      <w:pPr>
        <w:pStyle w:val="Bezodstpw"/>
        <w:jc w:val="both"/>
        <w:rPr>
          <w:noProof/>
          <w:sz w:val="26"/>
          <w:szCs w:val="26"/>
          <w:lang w:eastAsia="pl-PL"/>
        </w:rPr>
      </w:pPr>
    </w:p>
    <w:p w:rsidR="009153FF" w:rsidRDefault="009153FF" w:rsidP="009153FF">
      <w:pPr>
        <w:pStyle w:val="Bezodstpw"/>
        <w:jc w:val="both"/>
        <w:rPr>
          <w:noProof/>
          <w:sz w:val="26"/>
          <w:szCs w:val="26"/>
          <w:lang w:eastAsia="pl-PL"/>
        </w:rPr>
      </w:pPr>
      <w:r>
        <w:rPr>
          <w:noProof/>
          <w:sz w:val="26"/>
          <w:szCs w:val="26"/>
          <w:lang w:eastAsia="pl-PL"/>
        </w:rPr>
        <w:t xml:space="preserve">Uwaga ! – czasem na wykresach spotykam nawet ,,pęk średnich” typu 100-200-500-1000. Wówczas </w:t>
      </w:r>
      <w:r w:rsidRPr="00324F60">
        <w:rPr>
          <w:noProof/>
          <w:sz w:val="26"/>
          <w:szCs w:val="26"/>
          <w:lang w:eastAsia="pl-PL"/>
        </w:rPr>
        <w:t xml:space="preserve">średnie ruchome: </w:t>
      </w:r>
      <w:r>
        <w:rPr>
          <w:noProof/>
          <w:sz w:val="26"/>
          <w:szCs w:val="26"/>
          <w:lang w:eastAsia="pl-PL"/>
        </w:rPr>
        <w:t xml:space="preserve">z 1000 sesji (czarna), </w:t>
      </w:r>
      <w:r w:rsidRPr="00324F60">
        <w:rPr>
          <w:noProof/>
          <w:sz w:val="26"/>
          <w:szCs w:val="26"/>
          <w:lang w:eastAsia="pl-PL"/>
        </w:rPr>
        <w:t xml:space="preserve">z 500 sesji (czerwona przerywana), z 200 sesji (niebieska) oraz ze 100 sesji (żółta) znajdują się bardzo blisko siebie a dodatkowo jeszcze kurs akcji, czy też indeks znajduje się </w:t>
      </w:r>
      <w:r>
        <w:rPr>
          <w:noProof/>
          <w:sz w:val="26"/>
          <w:szCs w:val="26"/>
          <w:lang w:eastAsia="pl-PL"/>
        </w:rPr>
        <w:t>blisko owych średnich ruchomych.</w:t>
      </w:r>
    </w:p>
    <w:p w:rsidR="009153FF" w:rsidRDefault="009153FF" w:rsidP="009153FF">
      <w:pPr>
        <w:pStyle w:val="Bezodstpw"/>
        <w:jc w:val="both"/>
        <w:rPr>
          <w:noProof/>
          <w:sz w:val="26"/>
          <w:szCs w:val="26"/>
          <w:lang w:eastAsia="pl-PL"/>
        </w:rPr>
      </w:pPr>
    </w:p>
    <w:p w:rsidR="009153FF" w:rsidRPr="009153FF" w:rsidRDefault="009153FF" w:rsidP="009153FF">
      <w:pPr>
        <w:pStyle w:val="Bezodstpw"/>
        <w:jc w:val="both"/>
        <w:rPr>
          <w:b/>
          <w:noProof/>
          <w:sz w:val="26"/>
          <w:szCs w:val="26"/>
          <w:lang w:eastAsia="pl-PL"/>
        </w:rPr>
      </w:pPr>
      <w:r w:rsidRPr="009153FF">
        <w:rPr>
          <w:b/>
          <w:noProof/>
          <w:sz w:val="26"/>
          <w:szCs w:val="26"/>
          <w:lang w:eastAsia="pl-PL"/>
        </w:rPr>
        <w:t xml:space="preserve">Z takim ,,pękiem średnich” typu 100-200-500-1000 mieliśmy do czynienia w przypadku indeksu WIG20 na początku grudnia 2014 roku. </w:t>
      </w:r>
    </w:p>
    <w:p w:rsidR="009153FF" w:rsidRDefault="009153FF" w:rsidP="009153FF">
      <w:pPr>
        <w:pStyle w:val="Bezodstpw"/>
        <w:jc w:val="both"/>
        <w:rPr>
          <w:noProof/>
          <w:sz w:val="26"/>
          <w:szCs w:val="26"/>
          <w:lang w:eastAsia="pl-PL"/>
        </w:rPr>
      </w:pPr>
    </w:p>
    <w:p w:rsidR="009153FF" w:rsidRPr="006F5F44" w:rsidRDefault="009153FF" w:rsidP="009153FF">
      <w:pPr>
        <w:pStyle w:val="Bezodstpw"/>
        <w:jc w:val="both"/>
        <w:rPr>
          <w:b/>
          <w:noProof/>
          <w:sz w:val="26"/>
          <w:szCs w:val="26"/>
          <w:u w:val="single"/>
          <w:lang w:eastAsia="pl-PL"/>
        </w:rPr>
      </w:pPr>
      <w:r w:rsidRPr="006F5F44">
        <w:rPr>
          <w:b/>
          <w:noProof/>
          <w:sz w:val="26"/>
          <w:szCs w:val="26"/>
          <w:u w:val="single"/>
          <w:lang w:eastAsia="pl-PL"/>
        </w:rPr>
        <w:t>WIG20</w:t>
      </w:r>
    </w:p>
    <w:p w:rsidR="009153FF" w:rsidRDefault="009153FF" w:rsidP="009153FF">
      <w:pPr>
        <w:pStyle w:val="Bezodstpw"/>
        <w:jc w:val="both"/>
        <w:rPr>
          <w:b/>
          <w:noProof/>
          <w:sz w:val="26"/>
          <w:szCs w:val="26"/>
          <w:u w:val="single"/>
          <w:lang w:eastAsia="pl-PL"/>
        </w:rPr>
      </w:pPr>
    </w:p>
    <w:p w:rsidR="009153FF" w:rsidRDefault="009153FF" w:rsidP="009153FF">
      <w:pPr>
        <w:pStyle w:val="Bezodstpw"/>
        <w:jc w:val="both"/>
        <w:rPr>
          <w:b/>
          <w:noProof/>
          <w:sz w:val="26"/>
          <w:szCs w:val="26"/>
          <w:u w:val="single"/>
          <w:lang w:eastAsia="pl-PL"/>
        </w:rPr>
      </w:pPr>
      <w:r>
        <w:rPr>
          <w:b/>
          <w:noProof/>
          <w:sz w:val="26"/>
          <w:szCs w:val="26"/>
          <w:u w:val="single"/>
          <w:lang w:eastAsia="pl-PL"/>
        </w:rPr>
        <w:drawing>
          <wp:inline distT="0" distB="0" distL="0" distR="0" wp14:anchorId="665DA143" wp14:editId="31006992">
            <wp:extent cx="5429250" cy="32575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9153FF" w:rsidRDefault="009153FF" w:rsidP="009153FF">
      <w:pPr>
        <w:pStyle w:val="Bezodstpw"/>
        <w:jc w:val="both"/>
        <w:rPr>
          <w:b/>
          <w:noProof/>
          <w:sz w:val="26"/>
          <w:szCs w:val="26"/>
          <w:u w:val="single"/>
          <w:lang w:eastAsia="pl-PL"/>
        </w:rPr>
      </w:pPr>
    </w:p>
    <w:p w:rsidR="009153FF" w:rsidRDefault="009153FF" w:rsidP="009153FF">
      <w:pPr>
        <w:pStyle w:val="Bezodstpw"/>
        <w:jc w:val="both"/>
        <w:rPr>
          <w:noProof/>
          <w:sz w:val="26"/>
          <w:szCs w:val="26"/>
          <w:lang w:eastAsia="pl-PL"/>
        </w:rPr>
      </w:pPr>
      <w:r>
        <w:rPr>
          <w:noProof/>
          <w:sz w:val="26"/>
          <w:szCs w:val="26"/>
          <w:lang w:eastAsia="pl-PL"/>
        </w:rPr>
        <w:t xml:space="preserve">Strzałką zaznaczyłem moment, w którym z tego typu ,,pękiem średnich” mieliśmy do czynienia. Po pojawiniu się takiego ,,pęku średnich” można oczekiwać (jak już wcześniej napisałem) bardzo silnego ruchu (w górę lub w dól). Przyznam, że wówczas, </w:t>
      </w:r>
      <w:r>
        <w:rPr>
          <w:noProof/>
          <w:sz w:val="26"/>
          <w:szCs w:val="26"/>
          <w:lang w:eastAsia="pl-PL"/>
        </w:rPr>
        <w:lastRenderedPageBreak/>
        <w:t xml:space="preserve">gdy ten ,,pęk średncich” się utworzył zakładałem, że czeka nas bardzo silny ruch w…górę licząc na wzrost indeksu WIG20 do historycznego maksimum. </w:t>
      </w:r>
    </w:p>
    <w:p w:rsidR="009153FF" w:rsidRDefault="009153FF" w:rsidP="009153FF">
      <w:pPr>
        <w:pStyle w:val="Bezodstpw"/>
        <w:jc w:val="both"/>
        <w:rPr>
          <w:noProof/>
          <w:sz w:val="26"/>
          <w:szCs w:val="26"/>
          <w:lang w:eastAsia="pl-PL"/>
        </w:rPr>
      </w:pPr>
    </w:p>
    <w:p w:rsidR="009153FF" w:rsidRDefault="009153FF" w:rsidP="009153FF">
      <w:pPr>
        <w:pStyle w:val="Bezodstpw"/>
        <w:jc w:val="both"/>
        <w:rPr>
          <w:noProof/>
          <w:sz w:val="26"/>
          <w:szCs w:val="26"/>
          <w:lang w:eastAsia="pl-PL"/>
        </w:rPr>
      </w:pPr>
      <w:r>
        <w:rPr>
          <w:noProof/>
          <w:sz w:val="26"/>
          <w:szCs w:val="26"/>
          <w:lang w:eastAsia="pl-PL"/>
        </w:rPr>
        <w:t xml:space="preserve">Okazało się jednak, że był inaczej. Indeks WIG20 od tego czasu spadł i to sporu. Co więcej biorąc pod uwagę wspomniane wyżej wybicie z formcji nietypowego podwójnego szczytu można po okresie wzrostowej korekty (trwajacej od połowy lutego) oczekiwać dalszych zniżek indeksu WIG20. </w:t>
      </w:r>
    </w:p>
    <w:p w:rsidR="009153FF" w:rsidRDefault="009153FF" w:rsidP="009153FF">
      <w:pPr>
        <w:pStyle w:val="Bezodstpw"/>
        <w:jc w:val="both"/>
        <w:rPr>
          <w:noProof/>
          <w:sz w:val="26"/>
          <w:szCs w:val="26"/>
          <w:lang w:eastAsia="pl-PL"/>
        </w:rPr>
      </w:pPr>
    </w:p>
    <w:p w:rsidR="009153FF" w:rsidRDefault="009153FF" w:rsidP="009153FF">
      <w:pPr>
        <w:pStyle w:val="Bezodstpw"/>
        <w:jc w:val="both"/>
        <w:rPr>
          <w:noProof/>
          <w:sz w:val="26"/>
          <w:szCs w:val="26"/>
          <w:lang w:eastAsia="pl-PL"/>
        </w:rPr>
      </w:pPr>
      <w:r>
        <w:rPr>
          <w:noProof/>
          <w:sz w:val="26"/>
          <w:szCs w:val="26"/>
          <w:lang w:eastAsia="pl-PL"/>
        </w:rPr>
        <w:t xml:space="preserve">Popatrzmy jeszcze raz na wykres indeksu WIG20 od początku notowań. </w:t>
      </w:r>
    </w:p>
    <w:p w:rsidR="009153FF" w:rsidRDefault="009153FF" w:rsidP="009153FF">
      <w:pPr>
        <w:pStyle w:val="Bezodstpw"/>
        <w:jc w:val="both"/>
        <w:rPr>
          <w:noProof/>
          <w:sz w:val="26"/>
          <w:szCs w:val="26"/>
          <w:lang w:eastAsia="pl-PL"/>
        </w:rPr>
      </w:pPr>
    </w:p>
    <w:p w:rsidR="009153FF" w:rsidRPr="004E211C" w:rsidRDefault="009153FF" w:rsidP="009153FF">
      <w:pPr>
        <w:pStyle w:val="Bezodstpw"/>
        <w:jc w:val="both"/>
        <w:rPr>
          <w:b/>
          <w:noProof/>
          <w:sz w:val="26"/>
          <w:szCs w:val="26"/>
          <w:u w:val="single"/>
          <w:lang w:eastAsia="pl-PL"/>
        </w:rPr>
      </w:pPr>
      <w:r w:rsidRPr="004E211C">
        <w:rPr>
          <w:b/>
          <w:noProof/>
          <w:sz w:val="26"/>
          <w:szCs w:val="26"/>
          <w:u w:val="single"/>
          <w:lang w:eastAsia="pl-PL"/>
        </w:rPr>
        <w:t xml:space="preserve">WIG20 </w:t>
      </w:r>
    </w:p>
    <w:p w:rsidR="009153FF" w:rsidRDefault="009153FF" w:rsidP="009153FF">
      <w:pPr>
        <w:pStyle w:val="Bezodstpw"/>
        <w:jc w:val="both"/>
        <w:rPr>
          <w:noProof/>
          <w:sz w:val="26"/>
          <w:szCs w:val="26"/>
          <w:lang w:eastAsia="pl-PL"/>
        </w:rPr>
      </w:pPr>
    </w:p>
    <w:p w:rsidR="009153FF" w:rsidRPr="006F5F44" w:rsidRDefault="009153FF" w:rsidP="009153FF">
      <w:pPr>
        <w:pStyle w:val="Bezodstpw"/>
        <w:jc w:val="both"/>
        <w:rPr>
          <w:noProof/>
          <w:sz w:val="26"/>
          <w:szCs w:val="26"/>
          <w:lang w:eastAsia="pl-PL"/>
        </w:rPr>
      </w:pPr>
      <w:r>
        <w:rPr>
          <w:noProof/>
          <w:sz w:val="26"/>
          <w:szCs w:val="26"/>
          <w:lang w:eastAsia="pl-PL"/>
        </w:rPr>
        <w:drawing>
          <wp:inline distT="0" distB="0" distL="0" distR="0" wp14:anchorId="77DEE4E5" wp14:editId="3D0023BF">
            <wp:extent cx="5429250" cy="3257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9153FF" w:rsidRDefault="009153FF" w:rsidP="009153FF">
      <w:pPr>
        <w:pStyle w:val="Bezodstpw"/>
        <w:jc w:val="both"/>
        <w:rPr>
          <w:b/>
          <w:noProof/>
          <w:sz w:val="26"/>
          <w:szCs w:val="26"/>
          <w:u w:val="single"/>
          <w:lang w:eastAsia="pl-PL"/>
        </w:rPr>
      </w:pPr>
    </w:p>
    <w:p w:rsidR="009153FF" w:rsidRPr="004E211C" w:rsidRDefault="009153FF" w:rsidP="009153FF">
      <w:pPr>
        <w:pStyle w:val="Bezodstpw"/>
        <w:jc w:val="both"/>
        <w:rPr>
          <w:noProof/>
          <w:sz w:val="26"/>
          <w:szCs w:val="26"/>
          <w:lang w:eastAsia="pl-PL"/>
        </w:rPr>
      </w:pPr>
      <w:r>
        <w:rPr>
          <w:noProof/>
          <w:sz w:val="26"/>
          <w:szCs w:val="26"/>
          <w:lang w:eastAsia="pl-PL"/>
        </w:rPr>
        <w:t xml:space="preserve">Oczywiście ktoś mógłby powiedzieć, że po ukształtowaniu się ,,pęku sredncih” typu 100-200-500-1000 już doszsło do silnego ruchu w dół i może już wystarczy… Oczywiście nie wykluczam i takiej interpretacji, ale biorąc pod uwagę fakt niewypełnionej formcji nietypowego podwójengo szczytu sądzę, że dalsze spadki są jeszcze dość prawdopodobne. </w:t>
      </w:r>
    </w:p>
    <w:p w:rsidR="009153FF" w:rsidRDefault="009153FF" w:rsidP="009153FF">
      <w:pPr>
        <w:pStyle w:val="Bezodstpw"/>
        <w:jc w:val="both"/>
        <w:rPr>
          <w:b/>
          <w:noProof/>
          <w:sz w:val="26"/>
          <w:szCs w:val="26"/>
          <w:u w:val="single"/>
          <w:lang w:eastAsia="pl-PL"/>
        </w:rPr>
      </w:pPr>
    </w:p>
    <w:p w:rsidR="009153FF" w:rsidRDefault="009153FF" w:rsidP="009153FF">
      <w:pPr>
        <w:pStyle w:val="Bezodstpw"/>
        <w:jc w:val="both"/>
        <w:rPr>
          <w:noProof/>
          <w:sz w:val="26"/>
          <w:szCs w:val="26"/>
          <w:lang w:eastAsia="pl-PL"/>
        </w:rPr>
      </w:pPr>
      <w:r>
        <w:rPr>
          <w:noProof/>
          <w:sz w:val="26"/>
          <w:szCs w:val="26"/>
          <w:lang w:eastAsia="pl-PL"/>
        </w:rPr>
        <w:t xml:space="preserve">Oczywiście, aby tego typu interpretację przyjąć niezbędę jest w ogóle przyjęcie założenia, że obok typowej formacji podwóejngo </w:t>
      </w:r>
      <w:r>
        <w:rPr>
          <w:noProof/>
          <w:sz w:val="26"/>
          <w:szCs w:val="26"/>
          <w:lang w:eastAsia="pl-PL"/>
        </w:rPr>
        <w:t>szczytu</w:t>
      </w:r>
      <w:r>
        <w:rPr>
          <w:noProof/>
          <w:sz w:val="26"/>
          <w:szCs w:val="26"/>
          <w:lang w:eastAsia="pl-PL"/>
        </w:rPr>
        <w:t xml:space="preserve"> wyrożnić możemy także formację podwóejngo </w:t>
      </w:r>
      <w:r>
        <w:rPr>
          <w:noProof/>
          <w:sz w:val="26"/>
          <w:szCs w:val="26"/>
          <w:lang w:eastAsia="pl-PL"/>
        </w:rPr>
        <w:t>szczytu</w:t>
      </w:r>
      <w:r>
        <w:rPr>
          <w:noProof/>
          <w:sz w:val="26"/>
          <w:szCs w:val="26"/>
          <w:lang w:eastAsia="pl-PL"/>
        </w:rPr>
        <w:t xml:space="preserve"> o nietypowym charakterze. </w:t>
      </w:r>
    </w:p>
    <w:p w:rsidR="009153FF" w:rsidRDefault="009153FF" w:rsidP="009153FF">
      <w:pPr>
        <w:pStyle w:val="Bezodstpw"/>
        <w:jc w:val="both"/>
        <w:rPr>
          <w:noProof/>
          <w:sz w:val="26"/>
          <w:szCs w:val="26"/>
          <w:lang w:eastAsia="pl-PL"/>
        </w:rPr>
      </w:pPr>
    </w:p>
    <w:p w:rsidR="009153FF" w:rsidRDefault="009153FF" w:rsidP="009153FF">
      <w:pPr>
        <w:pStyle w:val="Bezodstpw"/>
        <w:jc w:val="both"/>
        <w:rPr>
          <w:noProof/>
          <w:sz w:val="26"/>
          <w:szCs w:val="26"/>
          <w:lang w:eastAsia="pl-PL"/>
        </w:rPr>
      </w:pPr>
      <w:r w:rsidRPr="004E211C">
        <w:rPr>
          <w:noProof/>
          <w:sz w:val="26"/>
          <w:szCs w:val="26"/>
          <w:lang w:eastAsia="pl-PL"/>
        </w:rPr>
        <w:t xml:space="preserve">Typowa formacja podwójnego </w:t>
      </w:r>
      <w:r>
        <w:rPr>
          <w:noProof/>
          <w:sz w:val="26"/>
          <w:szCs w:val="26"/>
          <w:lang w:eastAsia="pl-PL"/>
        </w:rPr>
        <w:t xml:space="preserve">szczytu </w:t>
      </w:r>
      <w:r w:rsidRPr="004E211C">
        <w:rPr>
          <w:noProof/>
          <w:sz w:val="26"/>
          <w:szCs w:val="26"/>
          <w:lang w:eastAsia="pl-PL"/>
        </w:rPr>
        <w:t xml:space="preserve">charakteryzuje się tym, że </w:t>
      </w:r>
      <w:r>
        <w:rPr>
          <w:noProof/>
          <w:sz w:val="26"/>
          <w:szCs w:val="26"/>
          <w:lang w:eastAsia="pl-PL"/>
        </w:rPr>
        <w:t>szczyty</w:t>
      </w:r>
      <w:r w:rsidRPr="004E211C">
        <w:rPr>
          <w:noProof/>
          <w:sz w:val="26"/>
          <w:szCs w:val="26"/>
          <w:lang w:eastAsia="pl-PL"/>
        </w:rPr>
        <w:t xml:space="preserve"> w formacji kształtują się na poziomie identycznym, bądź prawie identycznym.</w:t>
      </w:r>
      <w:r>
        <w:rPr>
          <w:noProof/>
          <w:sz w:val="26"/>
          <w:szCs w:val="26"/>
          <w:lang w:eastAsia="pl-PL"/>
        </w:rPr>
        <w:t xml:space="preserve"> </w:t>
      </w:r>
      <w:r w:rsidRPr="004E211C">
        <w:rPr>
          <w:noProof/>
          <w:sz w:val="26"/>
          <w:szCs w:val="26"/>
          <w:lang w:eastAsia="pl-PL"/>
        </w:rPr>
        <w:t xml:space="preserve">Natomiast w przypadku nietypowej formacji podwójnego </w:t>
      </w:r>
      <w:r>
        <w:rPr>
          <w:noProof/>
          <w:sz w:val="26"/>
          <w:szCs w:val="26"/>
          <w:lang w:eastAsia="pl-PL"/>
        </w:rPr>
        <w:t xml:space="preserve">szczytu </w:t>
      </w:r>
      <w:r w:rsidRPr="004E211C">
        <w:rPr>
          <w:noProof/>
          <w:sz w:val="26"/>
          <w:szCs w:val="26"/>
          <w:lang w:eastAsia="pl-PL"/>
        </w:rPr>
        <w:t>kształtują się one na poziomie zupełnie odmiennym.</w:t>
      </w:r>
    </w:p>
    <w:p w:rsidR="009153FF" w:rsidRDefault="009153FF" w:rsidP="009153FF">
      <w:pPr>
        <w:pStyle w:val="Bezodstpw"/>
        <w:jc w:val="both"/>
        <w:rPr>
          <w:noProof/>
          <w:sz w:val="26"/>
          <w:szCs w:val="26"/>
          <w:lang w:eastAsia="pl-PL"/>
        </w:rPr>
      </w:pPr>
      <w:r w:rsidRPr="009153FF">
        <w:rPr>
          <w:b/>
          <w:noProof/>
          <w:sz w:val="26"/>
          <w:szCs w:val="26"/>
          <w:lang w:eastAsia="pl-PL"/>
        </w:rPr>
        <w:lastRenderedPageBreak/>
        <w:t>Argument psychologiczny za spadkami</w:t>
      </w:r>
      <w:r>
        <w:rPr>
          <w:noProof/>
          <w:sz w:val="26"/>
          <w:szCs w:val="26"/>
          <w:lang w:eastAsia="pl-PL"/>
        </w:rPr>
        <w:t xml:space="preserve">. Na wykresie WIG20 zaznaczyłem momenty, w których w badaniu przeprowadzonym przez Stowarzyszenie Inwestorów Indywidaulnych odsetek ,,byków” był wyższy od odsetka ,,niedźwiedzi” o co najmnie 20 punktów procentowych. </w:t>
      </w:r>
    </w:p>
    <w:p w:rsidR="009153FF" w:rsidRDefault="009153FF" w:rsidP="009153FF">
      <w:pPr>
        <w:pStyle w:val="Bezodstpw"/>
        <w:jc w:val="both"/>
        <w:rPr>
          <w:noProof/>
          <w:sz w:val="26"/>
          <w:szCs w:val="26"/>
          <w:lang w:eastAsia="pl-PL"/>
        </w:rPr>
      </w:pPr>
    </w:p>
    <w:p w:rsidR="009153FF" w:rsidRPr="002E5D70" w:rsidRDefault="009153FF" w:rsidP="009153FF">
      <w:pPr>
        <w:pStyle w:val="Bezodstpw"/>
        <w:jc w:val="both"/>
        <w:rPr>
          <w:b/>
          <w:noProof/>
          <w:sz w:val="26"/>
          <w:szCs w:val="26"/>
          <w:u w:val="single"/>
          <w:lang w:eastAsia="pl-PL"/>
        </w:rPr>
      </w:pPr>
      <w:r w:rsidRPr="002E5D70">
        <w:rPr>
          <w:b/>
          <w:noProof/>
          <w:sz w:val="26"/>
          <w:szCs w:val="26"/>
          <w:u w:val="single"/>
          <w:lang w:eastAsia="pl-PL"/>
        </w:rPr>
        <w:t>WIG20</w:t>
      </w:r>
    </w:p>
    <w:p w:rsidR="009153FF" w:rsidRDefault="009153FF" w:rsidP="009153FF">
      <w:pPr>
        <w:pStyle w:val="Bezodstpw"/>
        <w:jc w:val="both"/>
        <w:rPr>
          <w:noProof/>
          <w:sz w:val="26"/>
          <w:szCs w:val="26"/>
          <w:lang w:eastAsia="pl-PL"/>
        </w:rPr>
      </w:pPr>
    </w:p>
    <w:p w:rsidR="009153FF" w:rsidRPr="004E211C" w:rsidRDefault="009153FF" w:rsidP="009153FF">
      <w:pPr>
        <w:pStyle w:val="Bezodstpw"/>
        <w:jc w:val="both"/>
        <w:rPr>
          <w:noProof/>
          <w:sz w:val="26"/>
          <w:szCs w:val="26"/>
          <w:lang w:eastAsia="pl-PL"/>
        </w:rPr>
      </w:pPr>
      <w:r>
        <w:rPr>
          <w:noProof/>
          <w:sz w:val="26"/>
          <w:szCs w:val="26"/>
          <w:lang w:eastAsia="pl-PL"/>
        </w:rPr>
        <w:drawing>
          <wp:inline distT="0" distB="0" distL="0" distR="0" wp14:anchorId="49682848" wp14:editId="3BDE4074">
            <wp:extent cx="5429250" cy="32575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9153FF" w:rsidRDefault="009153FF" w:rsidP="009153FF">
      <w:pPr>
        <w:pStyle w:val="Bezodstpw"/>
        <w:jc w:val="both"/>
        <w:rPr>
          <w:b/>
          <w:noProof/>
          <w:sz w:val="26"/>
          <w:szCs w:val="26"/>
          <w:u w:val="single"/>
          <w:lang w:eastAsia="pl-PL"/>
        </w:rPr>
      </w:pPr>
    </w:p>
    <w:p w:rsidR="009153FF" w:rsidRPr="002E5D70" w:rsidRDefault="009153FF" w:rsidP="009153FF">
      <w:pPr>
        <w:pStyle w:val="Bezodstpw"/>
        <w:jc w:val="both"/>
        <w:rPr>
          <w:b/>
          <w:noProof/>
          <w:sz w:val="26"/>
          <w:szCs w:val="26"/>
          <w:u w:val="single"/>
          <w:lang w:eastAsia="pl-PL"/>
        </w:rPr>
      </w:pPr>
      <w:r w:rsidRPr="002E5D70">
        <w:rPr>
          <w:b/>
          <w:noProof/>
          <w:sz w:val="26"/>
          <w:szCs w:val="26"/>
          <w:u w:val="single"/>
          <w:lang w:eastAsia="pl-PL"/>
        </w:rPr>
        <w:t>WIG20</w:t>
      </w:r>
    </w:p>
    <w:p w:rsidR="009153FF" w:rsidRDefault="009153FF" w:rsidP="009153FF">
      <w:pPr>
        <w:pStyle w:val="Bezodstpw"/>
        <w:jc w:val="both"/>
        <w:rPr>
          <w:b/>
          <w:noProof/>
          <w:sz w:val="26"/>
          <w:szCs w:val="26"/>
          <w:u w:val="single"/>
          <w:lang w:eastAsia="pl-PL"/>
        </w:rPr>
      </w:pPr>
    </w:p>
    <w:p w:rsidR="009153FF" w:rsidRDefault="009153FF" w:rsidP="009153FF">
      <w:pPr>
        <w:pStyle w:val="Bezodstpw"/>
        <w:jc w:val="both"/>
        <w:rPr>
          <w:noProof/>
          <w:sz w:val="26"/>
          <w:szCs w:val="26"/>
          <w:lang w:eastAsia="pl-PL"/>
        </w:rPr>
      </w:pPr>
      <w:r w:rsidRPr="009153FF">
        <w:rPr>
          <w:b/>
          <w:noProof/>
          <w:sz w:val="26"/>
          <w:szCs w:val="26"/>
          <w:lang w:eastAsia="pl-PL"/>
        </w:rPr>
        <w:t>Argument sezonowy za spadkami</w:t>
      </w:r>
      <w:r>
        <w:rPr>
          <w:noProof/>
          <w:sz w:val="26"/>
          <w:szCs w:val="26"/>
          <w:lang w:eastAsia="pl-PL"/>
        </w:rPr>
        <w:t xml:space="preserve">; Okres od końca kwietnia do końca października danego roku jest o wiele lepszy dla posaidaczy akcji, niż okres pomiędzy końcem października danego roku a końcem kwietnia roku następmego. Popatrzmy chociażby na okres pomiędzy końcem kwietnia a końcem października 2015 oku. </w:t>
      </w:r>
    </w:p>
    <w:p w:rsidR="009153FF" w:rsidRDefault="009153FF" w:rsidP="009153FF">
      <w:pPr>
        <w:pStyle w:val="Bezodstpw"/>
        <w:jc w:val="both"/>
        <w:rPr>
          <w:noProof/>
          <w:sz w:val="26"/>
          <w:szCs w:val="26"/>
          <w:lang w:eastAsia="pl-PL"/>
        </w:rPr>
      </w:pPr>
    </w:p>
    <w:p w:rsidR="009153FF" w:rsidRDefault="009153FF" w:rsidP="009153FF">
      <w:pPr>
        <w:pStyle w:val="Bezodstpw"/>
        <w:jc w:val="both"/>
        <w:rPr>
          <w:b/>
          <w:sz w:val="26"/>
          <w:szCs w:val="26"/>
          <w:u w:val="single"/>
        </w:rPr>
      </w:pPr>
      <w:r>
        <w:rPr>
          <w:noProof/>
          <w:sz w:val="26"/>
          <w:szCs w:val="26"/>
          <w:lang w:eastAsia="pl-PL"/>
        </w:rPr>
        <w:drawing>
          <wp:inline distT="0" distB="0" distL="0" distR="0" wp14:anchorId="585B6400" wp14:editId="4518473D">
            <wp:extent cx="4229100" cy="25336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2533650"/>
                    </a:xfrm>
                    <a:prstGeom prst="rect">
                      <a:avLst/>
                    </a:prstGeom>
                    <a:noFill/>
                  </pic:spPr>
                </pic:pic>
              </a:graphicData>
            </a:graphic>
          </wp:inline>
        </w:drawing>
      </w:r>
    </w:p>
    <w:p w:rsidR="009153FF" w:rsidRPr="009F092A" w:rsidRDefault="009153FF" w:rsidP="009153FF">
      <w:pPr>
        <w:pStyle w:val="Bezodstpw"/>
        <w:pBdr>
          <w:top w:val="single" w:sz="4" w:space="1" w:color="auto"/>
          <w:left w:val="single" w:sz="4" w:space="4" w:color="auto"/>
          <w:bottom w:val="single" w:sz="4" w:space="1" w:color="auto"/>
          <w:right w:val="single" w:sz="4" w:space="4" w:color="auto"/>
        </w:pBdr>
        <w:shd w:val="clear" w:color="auto" w:fill="92D050"/>
        <w:jc w:val="center"/>
        <w:rPr>
          <w:b/>
          <w:sz w:val="60"/>
          <w:szCs w:val="60"/>
        </w:rPr>
      </w:pPr>
      <w:r w:rsidRPr="009F092A">
        <w:rPr>
          <w:b/>
          <w:sz w:val="60"/>
          <w:szCs w:val="60"/>
        </w:rPr>
        <w:lastRenderedPageBreak/>
        <w:t xml:space="preserve">Obecny </w:t>
      </w:r>
      <w:proofErr w:type="gramStart"/>
      <w:r w:rsidRPr="009F092A">
        <w:rPr>
          <w:b/>
          <w:sz w:val="60"/>
          <w:szCs w:val="60"/>
        </w:rPr>
        <w:t>,,</w:t>
      </w:r>
      <w:proofErr w:type="gramEnd"/>
      <w:r w:rsidRPr="009F092A">
        <w:rPr>
          <w:b/>
          <w:sz w:val="60"/>
          <w:szCs w:val="60"/>
        </w:rPr>
        <w:t>Portfel fundamentalny”</w:t>
      </w:r>
    </w:p>
    <w:p w:rsidR="009153FF" w:rsidRDefault="009153FF" w:rsidP="009153FF">
      <w:pPr>
        <w:pStyle w:val="Bezodstpw"/>
        <w:jc w:val="center"/>
        <w:rPr>
          <w:sz w:val="26"/>
          <w:szCs w:val="26"/>
        </w:rPr>
      </w:pPr>
    </w:p>
    <w:p w:rsidR="009153FF" w:rsidRDefault="009153FF" w:rsidP="009153FF">
      <w:pPr>
        <w:pStyle w:val="Bezodstpw"/>
        <w:jc w:val="both"/>
        <w:rPr>
          <w:sz w:val="26"/>
          <w:szCs w:val="26"/>
        </w:rPr>
      </w:pPr>
      <w:r>
        <w:rPr>
          <w:sz w:val="26"/>
          <w:szCs w:val="26"/>
        </w:rPr>
        <w:t xml:space="preserve">22 lutego 2016 roku opublikowałem listę spółek </w:t>
      </w:r>
      <w:proofErr w:type="gramStart"/>
      <w:r>
        <w:rPr>
          <w:sz w:val="26"/>
          <w:szCs w:val="26"/>
        </w:rPr>
        <w:t>,,</w:t>
      </w:r>
      <w:proofErr w:type="gramEnd"/>
      <w:r>
        <w:rPr>
          <w:sz w:val="26"/>
          <w:szCs w:val="26"/>
        </w:rPr>
        <w:t>atrakcyjnych fundamentalnie”.</w:t>
      </w:r>
    </w:p>
    <w:p w:rsidR="009153FF" w:rsidRDefault="009153FF" w:rsidP="009153FF">
      <w:pPr>
        <w:pStyle w:val="Bezodstpw"/>
        <w:jc w:val="both"/>
        <w:rPr>
          <w:sz w:val="26"/>
          <w:szCs w:val="26"/>
        </w:rPr>
      </w:pPr>
    </w:p>
    <w:p w:rsidR="009153FF" w:rsidRDefault="009153FF" w:rsidP="009153FF">
      <w:pPr>
        <w:pStyle w:val="Bezodstpw"/>
        <w:jc w:val="both"/>
        <w:rPr>
          <w:b/>
          <w:color w:val="FF0000"/>
          <w:sz w:val="26"/>
          <w:szCs w:val="26"/>
        </w:rPr>
      </w:pPr>
      <w:r>
        <w:rPr>
          <w:sz w:val="26"/>
          <w:szCs w:val="26"/>
        </w:rPr>
        <w:t xml:space="preserve">Do spółek </w:t>
      </w:r>
      <w:proofErr w:type="gramStart"/>
      <w:r>
        <w:rPr>
          <w:sz w:val="26"/>
          <w:szCs w:val="26"/>
        </w:rPr>
        <w:t>,,</w:t>
      </w:r>
      <w:proofErr w:type="gramEnd"/>
      <w:r>
        <w:rPr>
          <w:sz w:val="26"/>
          <w:szCs w:val="26"/>
        </w:rPr>
        <w:t xml:space="preserve">atrakcyjnych fundamentalnie” zaliczone zostały: </w:t>
      </w:r>
      <w:r>
        <w:rPr>
          <w:b/>
          <w:color w:val="FF0000"/>
          <w:sz w:val="26"/>
          <w:szCs w:val="26"/>
        </w:rPr>
        <w:t xml:space="preserve">Agora, Ceramika Nowa Gala, </w:t>
      </w:r>
      <w:proofErr w:type="spellStart"/>
      <w:r>
        <w:rPr>
          <w:b/>
          <w:color w:val="FF0000"/>
          <w:sz w:val="26"/>
          <w:szCs w:val="26"/>
        </w:rPr>
        <w:t>Netmeduia</w:t>
      </w:r>
      <w:proofErr w:type="spellEnd"/>
      <w:r>
        <w:rPr>
          <w:b/>
          <w:color w:val="FF0000"/>
          <w:sz w:val="26"/>
          <w:szCs w:val="26"/>
        </w:rPr>
        <w:t xml:space="preserve">, Stalprodukt, </w:t>
      </w:r>
      <w:proofErr w:type="spellStart"/>
      <w:r>
        <w:rPr>
          <w:b/>
          <w:color w:val="FF0000"/>
          <w:sz w:val="26"/>
          <w:szCs w:val="26"/>
        </w:rPr>
        <w:t>Tesgas</w:t>
      </w:r>
      <w:proofErr w:type="spellEnd"/>
      <w:r>
        <w:rPr>
          <w:b/>
          <w:color w:val="FF0000"/>
          <w:sz w:val="26"/>
          <w:szCs w:val="26"/>
        </w:rPr>
        <w:t xml:space="preserve"> oraz </w:t>
      </w:r>
      <w:proofErr w:type="spellStart"/>
      <w:r>
        <w:rPr>
          <w:b/>
          <w:color w:val="FF0000"/>
          <w:sz w:val="26"/>
          <w:szCs w:val="26"/>
        </w:rPr>
        <w:t>Unima</w:t>
      </w:r>
      <w:proofErr w:type="spellEnd"/>
      <w:r>
        <w:rPr>
          <w:b/>
          <w:color w:val="FF0000"/>
          <w:sz w:val="26"/>
          <w:szCs w:val="26"/>
        </w:rPr>
        <w:t xml:space="preserve"> 2000. </w:t>
      </w:r>
    </w:p>
    <w:p w:rsidR="009153FF" w:rsidRDefault="009153FF" w:rsidP="009153FF">
      <w:pPr>
        <w:pStyle w:val="Bezodstpw"/>
        <w:jc w:val="both"/>
        <w:rPr>
          <w:sz w:val="26"/>
          <w:szCs w:val="26"/>
        </w:rPr>
      </w:pPr>
    </w:p>
    <w:p w:rsidR="009153FF" w:rsidRDefault="009153FF" w:rsidP="009153FF">
      <w:pPr>
        <w:pStyle w:val="Bezodstpw"/>
        <w:jc w:val="both"/>
        <w:rPr>
          <w:sz w:val="26"/>
          <w:szCs w:val="26"/>
        </w:rPr>
      </w:pPr>
      <w:r>
        <w:rPr>
          <w:sz w:val="26"/>
          <w:szCs w:val="26"/>
        </w:rPr>
        <w:t xml:space="preserve">Postanowiłem sprawdzić, jaka była średnia procentowa zmiana kursu akcji tych 6 spółek w okresie od 19 lutego do 29 kwietnia 2016 </w:t>
      </w:r>
      <w:proofErr w:type="gramStart"/>
      <w:r>
        <w:rPr>
          <w:sz w:val="26"/>
          <w:szCs w:val="26"/>
        </w:rPr>
        <w:t>roku  a</w:t>
      </w:r>
      <w:proofErr w:type="gramEnd"/>
      <w:r>
        <w:rPr>
          <w:sz w:val="26"/>
          <w:szCs w:val="26"/>
        </w:rPr>
        <w:t xml:space="preserve"> jakie było zachowanie indeksu WIG20 w tym okresie ?</w:t>
      </w:r>
    </w:p>
    <w:p w:rsidR="009153FF" w:rsidRDefault="009153FF" w:rsidP="009153FF">
      <w:pPr>
        <w:pStyle w:val="Bezodstpw"/>
        <w:jc w:val="both"/>
        <w:rPr>
          <w:sz w:val="26"/>
          <w:szCs w:val="26"/>
        </w:rPr>
      </w:pPr>
    </w:p>
    <w:p w:rsidR="009153FF" w:rsidRPr="00C07B7D" w:rsidRDefault="009153FF" w:rsidP="009153FF">
      <w:pPr>
        <w:jc w:val="both"/>
        <w:rPr>
          <w:color w:val="000000" w:themeColor="text1"/>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7B7D">
        <w:rPr>
          <w:color w:val="000000" w:themeColor="text1"/>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Tabela: Procentowa zmiana kursów akcji 6 spółek uznanych za </w:t>
      </w:r>
      <w:proofErr w:type="gramStart"/>
      <w:r w:rsidRPr="00C07B7D">
        <w:rPr>
          <w:color w:val="000000" w:themeColor="text1"/>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End"/>
      <w:r w:rsidRPr="00C07B7D">
        <w:rPr>
          <w:color w:val="000000" w:themeColor="text1"/>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atrakcyjne fundamentalnie” w okresie pomiędzy 20 lutego 2015 roku a 2</w:t>
      </w:r>
      <w:r>
        <w:rPr>
          <w:color w:val="000000" w:themeColor="text1"/>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 kwietnia</w:t>
      </w:r>
      <w:r w:rsidRPr="00C07B7D">
        <w:rPr>
          <w:color w:val="000000" w:themeColor="text1"/>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2016 roku oraz procentowa zmiana indeksu WIG20 w tym okresie</w:t>
      </w:r>
    </w:p>
    <w:tbl>
      <w:tblPr>
        <w:tblStyle w:val="Tabela-Siatka"/>
        <w:tblW w:w="0" w:type="auto"/>
        <w:tblLook w:val="04A0" w:firstRow="1" w:lastRow="0" w:firstColumn="1" w:lastColumn="0" w:noHBand="0" w:noVBand="1"/>
      </w:tblPr>
      <w:tblGrid>
        <w:gridCol w:w="3219"/>
        <w:gridCol w:w="2243"/>
        <w:gridCol w:w="2244"/>
        <w:gridCol w:w="1582"/>
      </w:tblGrid>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36"/>
                <w:szCs w:val="36"/>
              </w:rPr>
            </w:pPr>
            <w:r>
              <w:rPr>
                <w:sz w:val="36"/>
                <w:szCs w:val="36"/>
              </w:rPr>
              <w:t xml:space="preserve">Instrument </w:t>
            </w:r>
          </w:p>
          <w:p w:rsidR="009153FF" w:rsidRDefault="009153FF" w:rsidP="007D4352">
            <w:pPr>
              <w:jc w:val="center"/>
              <w:rPr>
                <w:rFonts w:eastAsiaTheme="minorEastAsia"/>
                <w:sz w:val="36"/>
                <w:szCs w:val="36"/>
              </w:rPr>
            </w:pPr>
            <w:proofErr w:type="gramStart"/>
            <w:r>
              <w:rPr>
                <w:sz w:val="36"/>
                <w:szCs w:val="36"/>
              </w:rPr>
              <w:t>finansowy</w:t>
            </w:r>
            <w:proofErr w:type="gramEnd"/>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36"/>
                <w:szCs w:val="36"/>
              </w:rPr>
            </w:pPr>
            <w:r>
              <w:rPr>
                <w:sz w:val="36"/>
                <w:szCs w:val="36"/>
              </w:rPr>
              <w:t>Poziom – 19.02.2016</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36"/>
                <w:szCs w:val="36"/>
              </w:rPr>
            </w:pPr>
            <w:r>
              <w:rPr>
                <w:sz w:val="36"/>
                <w:szCs w:val="36"/>
              </w:rPr>
              <w:t>Poziom – 29.04.2016</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36"/>
                <w:szCs w:val="36"/>
              </w:rPr>
            </w:pPr>
            <w:r>
              <w:rPr>
                <w:sz w:val="36"/>
                <w:szCs w:val="36"/>
              </w:rPr>
              <w:t>Zmiana (w %)</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28"/>
                <w:szCs w:val="28"/>
              </w:rPr>
            </w:pPr>
            <w:r>
              <w:rPr>
                <w:sz w:val="28"/>
                <w:szCs w:val="28"/>
              </w:rPr>
              <w:t>Akcja spółki Agora</w:t>
            </w:r>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11,60 zł.</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12,44 zł.</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+7,2</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28"/>
                <w:szCs w:val="28"/>
              </w:rPr>
            </w:pPr>
            <w:r>
              <w:rPr>
                <w:sz w:val="28"/>
                <w:szCs w:val="28"/>
              </w:rPr>
              <w:t>Akcja spółki Nowa Gala</w:t>
            </w:r>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1,20 zł.</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1,59 zł.</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+32,5</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28"/>
                <w:szCs w:val="28"/>
              </w:rPr>
            </w:pPr>
            <w:r>
              <w:rPr>
                <w:sz w:val="28"/>
                <w:szCs w:val="28"/>
              </w:rPr>
              <w:t xml:space="preserve">Akcja </w:t>
            </w:r>
            <w:proofErr w:type="gramStart"/>
            <w:r>
              <w:rPr>
                <w:sz w:val="28"/>
                <w:szCs w:val="28"/>
              </w:rPr>
              <w:t xml:space="preserve">spółki  </w:t>
            </w:r>
            <w:proofErr w:type="spellStart"/>
            <w:r>
              <w:rPr>
                <w:sz w:val="28"/>
                <w:szCs w:val="28"/>
              </w:rPr>
              <w:t>Netmedia</w:t>
            </w:r>
            <w:proofErr w:type="spellEnd"/>
            <w:proofErr w:type="gramEnd"/>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5,03 zł.</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6,88zł.</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+36,8</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28"/>
                <w:szCs w:val="28"/>
              </w:rPr>
            </w:pPr>
            <w:r>
              <w:rPr>
                <w:sz w:val="28"/>
                <w:szCs w:val="28"/>
              </w:rPr>
              <w:t>Akcja spółki Stalprodukt</w:t>
            </w:r>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237,10 zł.</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292,00 zł.</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+23,2</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Akcja spółki </w:t>
            </w:r>
            <w:proofErr w:type="spellStart"/>
            <w:r>
              <w:rPr>
                <w:sz w:val="28"/>
                <w:szCs w:val="28"/>
              </w:rPr>
              <w:t>Tesgas</w:t>
            </w:r>
            <w:proofErr w:type="spellEnd"/>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3,19 zł.</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3,88 zł.</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+21,6</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Akcja spółki </w:t>
            </w:r>
            <w:proofErr w:type="spellStart"/>
            <w:r>
              <w:rPr>
                <w:sz w:val="28"/>
                <w:szCs w:val="28"/>
              </w:rPr>
              <w:t>Unima</w:t>
            </w:r>
            <w:proofErr w:type="spellEnd"/>
            <w:r>
              <w:rPr>
                <w:sz w:val="28"/>
                <w:szCs w:val="28"/>
              </w:rPr>
              <w:t xml:space="preserve"> 2000</w:t>
            </w:r>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2,30 zł.</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2,35 zł.</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sz w:val="28"/>
                <w:szCs w:val="28"/>
              </w:rPr>
            </w:pPr>
            <w:r>
              <w:rPr>
                <w:sz w:val="28"/>
                <w:szCs w:val="28"/>
              </w:rPr>
              <w:t xml:space="preserve">  +2,2</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sz w:val="60"/>
                <w:szCs w:val="60"/>
              </w:rPr>
            </w:pPr>
            <w:r>
              <w:rPr>
                <w:b/>
                <w:color w:val="FF0000"/>
                <w:sz w:val="60"/>
                <w:szCs w:val="60"/>
              </w:rPr>
              <w:t>Średnio</w:t>
            </w:r>
          </w:p>
        </w:tc>
        <w:tc>
          <w:tcPr>
            <w:tcW w:w="2291"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sz w:val="60"/>
                <w:szCs w:val="60"/>
              </w:rPr>
            </w:pPr>
          </w:p>
        </w:tc>
        <w:tc>
          <w:tcPr>
            <w:tcW w:w="2292"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sz w:val="60"/>
                <w:szCs w:val="60"/>
              </w:rPr>
            </w:pP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sz w:val="60"/>
                <w:szCs w:val="60"/>
              </w:rPr>
            </w:pPr>
            <w:r>
              <w:rPr>
                <w:b/>
                <w:color w:val="FF0000"/>
                <w:sz w:val="60"/>
                <w:szCs w:val="60"/>
              </w:rPr>
              <w:t>+20,6</w:t>
            </w:r>
          </w:p>
        </w:tc>
      </w:tr>
      <w:tr w:rsidR="009153FF" w:rsidTr="007D4352">
        <w:tc>
          <w:tcPr>
            <w:tcW w:w="3356"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36"/>
                <w:szCs w:val="36"/>
              </w:rPr>
            </w:pPr>
            <w:r>
              <w:rPr>
                <w:sz w:val="36"/>
                <w:szCs w:val="36"/>
              </w:rPr>
              <w:t>WIG 20</w:t>
            </w:r>
          </w:p>
        </w:tc>
        <w:tc>
          <w:tcPr>
            <w:tcW w:w="2291"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36"/>
                <w:szCs w:val="36"/>
              </w:rPr>
            </w:pPr>
            <w:r>
              <w:rPr>
                <w:sz w:val="36"/>
                <w:szCs w:val="36"/>
              </w:rPr>
              <w:t>1 841,06 pkt.</w:t>
            </w:r>
          </w:p>
        </w:tc>
        <w:tc>
          <w:tcPr>
            <w:tcW w:w="229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36"/>
                <w:szCs w:val="36"/>
              </w:rPr>
            </w:pPr>
            <w:r>
              <w:rPr>
                <w:sz w:val="36"/>
                <w:szCs w:val="36"/>
              </w:rPr>
              <w:t>1 896,64 pkt.</w:t>
            </w:r>
          </w:p>
        </w:tc>
        <w:tc>
          <w:tcPr>
            <w:tcW w:w="1349"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sz w:val="36"/>
                <w:szCs w:val="36"/>
              </w:rPr>
            </w:pPr>
            <w:r>
              <w:rPr>
                <w:sz w:val="36"/>
                <w:szCs w:val="36"/>
              </w:rPr>
              <w:t>+3,0</w:t>
            </w:r>
          </w:p>
        </w:tc>
      </w:tr>
    </w:tbl>
    <w:p w:rsidR="009153FF" w:rsidRDefault="009153FF" w:rsidP="009153FF">
      <w:pPr>
        <w:pStyle w:val="Bezodstpw"/>
        <w:jc w:val="both"/>
        <w:rPr>
          <w:sz w:val="26"/>
          <w:szCs w:val="26"/>
        </w:rPr>
      </w:pPr>
    </w:p>
    <w:p w:rsidR="009153FF" w:rsidRDefault="009153FF" w:rsidP="009153FF">
      <w:pPr>
        <w:pStyle w:val="Bezodstpw"/>
        <w:jc w:val="both"/>
        <w:rPr>
          <w:sz w:val="26"/>
          <w:szCs w:val="26"/>
        </w:rPr>
      </w:pPr>
      <w:r>
        <w:rPr>
          <w:sz w:val="26"/>
          <w:szCs w:val="26"/>
        </w:rPr>
        <w:t xml:space="preserve">Przypomnę, że spółka </w:t>
      </w:r>
      <w:proofErr w:type="gramStart"/>
      <w:r>
        <w:rPr>
          <w:sz w:val="26"/>
          <w:szCs w:val="26"/>
        </w:rPr>
        <w:t>,,</w:t>
      </w:r>
      <w:proofErr w:type="gramEnd"/>
      <w:r>
        <w:rPr>
          <w:sz w:val="26"/>
          <w:szCs w:val="26"/>
        </w:rPr>
        <w:t>atrakcyjna fundamentalnie” powinna być umieszczona (na przestrzeni ostatnich 12 miesięcy) w rubryce ,,Wykres do przemyślenia” a poza tym powinna spełniać 3 kryteria fundamentalne”</w:t>
      </w:r>
    </w:p>
    <w:p w:rsidR="009153FF" w:rsidRDefault="009153FF" w:rsidP="009153FF">
      <w:pPr>
        <w:pStyle w:val="Bezodstpw"/>
        <w:jc w:val="both"/>
        <w:rPr>
          <w:sz w:val="26"/>
          <w:szCs w:val="26"/>
        </w:rPr>
      </w:pPr>
    </w:p>
    <w:p w:rsidR="009153FF" w:rsidRPr="009F092A" w:rsidRDefault="009153FF" w:rsidP="009153FF">
      <w:pPr>
        <w:pStyle w:val="Bezodstpw"/>
        <w:jc w:val="both"/>
        <w:rPr>
          <w:sz w:val="24"/>
          <w:szCs w:val="24"/>
        </w:rPr>
      </w:pPr>
      <w:r w:rsidRPr="009F092A">
        <w:rPr>
          <w:rStyle w:val="Pogrubienie"/>
          <w:rFonts w:ascii="MyriadPro-Regular" w:hAnsi="MyriadPro-Regular"/>
          <w:color w:val="000000"/>
          <w:sz w:val="24"/>
          <w:szCs w:val="24"/>
        </w:rPr>
        <w:t>Kryterium 1</w:t>
      </w:r>
    </w:p>
    <w:p w:rsidR="009153FF" w:rsidRPr="009F092A" w:rsidRDefault="009153FF" w:rsidP="009153FF">
      <w:pPr>
        <w:pStyle w:val="Bezodstpw"/>
        <w:jc w:val="both"/>
        <w:rPr>
          <w:sz w:val="24"/>
          <w:szCs w:val="24"/>
        </w:rPr>
      </w:pPr>
      <w:r w:rsidRPr="009F092A">
        <w:rPr>
          <w:sz w:val="24"/>
          <w:szCs w:val="24"/>
        </w:rPr>
        <w:t>C/WK niższy od 1,0</w:t>
      </w:r>
    </w:p>
    <w:p w:rsidR="009153FF" w:rsidRPr="009F092A" w:rsidRDefault="009153FF" w:rsidP="009153FF">
      <w:pPr>
        <w:pStyle w:val="Bezodstpw"/>
        <w:jc w:val="both"/>
        <w:rPr>
          <w:sz w:val="24"/>
          <w:szCs w:val="24"/>
        </w:rPr>
      </w:pPr>
    </w:p>
    <w:p w:rsidR="009153FF" w:rsidRPr="009F092A" w:rsidRDefault="009153FF" w:rsidP="009153FF">
      <w:pPr>
        <w:pStyle w:val="Bezodstpw"/>
        <w:jc w:val="both"/>
        <w:rPr>
          <w:sz w:val="24"/>
          <w:szCs w:val="24"/>
        </w:rPr>
      </w:pPr>
      <w:r w:rsidRPr="009F092A">
        <w:rPr>
          <w:rStyle w:val="Pogrubienie"/>
          <w:rFonts w:ascii="MyriadPro-Regular" w:hAnsi="MyriadPro-Regular"/>
          <w:color w:val="000000"/>
          <w:sz w:val="24"/>
          <w:szCs w:val="24"/>
        </w:rPr>
        <w:t>Kryterium 2</w:t>
      </w:r>
    </w:p>
    <w:p w:rsidR="009153FF" w:rsidRPr="009F092A" w:rsidRDefault="009153FF" w:rsidP="009153FF">
      <w:pPr>
        <w:pStyle w:val="Bezodstpw"/>
        <w:jc w:val="both"/>
        <w:rPr>
          <w:sz w:val="24"/>
          <w:szCs w:val="24"/>
        </w:rPr>
      </w:pPr>
      <w:r w:rsidRPr="009F092A">
        <w:rPr>
          <w:sz w:val="24"/>
          <w:szCs w:val="24"/>
        </w:rPr>
        <w:t>Płynność bieżąca wyższa od 1,5</w:t>
      </w:r>
    </w:p>
    <w:p w:rsidR="009153FF" w:rsidRPr="009F092A" w:rsidRDefault="009153FF" w:rsidP="009153FF">
      <w:pPr>
        <w:pStyle w:val="Bezodstpw"/>
        <w:jc w:val="both"/>
        <w:rPr>
          <w:sz w:val="24"/>
          <w:szCs w:val="24"/>
        </w:rPr>
      </w:pPr>
    </w:p>
    <w:p w:rsidR="009153FF" w:rsidRPr="009F092A" w:rsidRDefault="009153FF" w:rsidP="009153FF">
      <w:pPr>
        <w:pStyle w:val="Bezodstpw"/>
        <w:jc w:val="both"/>
        <w:rPr>
          <w:b/>
          <w:sz w:val="24"/>
          <w:szCs w:val="24"/>
        </w:rPr>
      </w:pPr>
      <w:r w:rsidRPr="009F092A">
        <w:rPr>
          <w:b/>
          <w:sz w:val="24"/>
          <w:szCs w:val="24"/>
        </w:rPr>
        <w:t>Kryterium 3</w:t>
      </w:r>
    </w:p>
    <w:p w:rsidR="009153FF" w:rsidRPr="009F092A" w:rsidRDefault="009153FF" w:rsidP="009153FF">
      <w:pPr>
        <w:pStyle w:val="Bezodstpw"/>
        <w:jc w:val="both"/>
        <w:rPr>
          <w:sz w:val="24"/>
          <w:szCs w:val="24"/>
        </w:rPr>
      </w:pPr>
      <w:r w:rsidRPr="009F092A">
        <w:rPr>
          <w:sz w:val="24"/>
          <w:szCs w:val="24"/>
        </w:rPr>
        <w:t>Rentowność/</w:t>
      </w:r>
      <w:proofErr w:type="gramStart"/>
      <w:r w:rsidRPr="009F092A">
        <w:rPr>
          <w:sz w:val="24"/>
          <w:szCs w:val="24"/>
        </w:rPr>
        <w:t>Płynność (czyli</w:t>
      </w:r>
      <w:proofErr w:type="gramEnd"/>
      <w:r w:rsidRPr="009F092A">
        <w:rPr>
          <w:sz w:val="24"/>
          <w:szCs w:val="24"/>
        </w:rPr>
        <w:t xml:space="preserve"> rentowność sprzedaży w %/płynność bieżąca w krotnościach) niższa od 3,0</w:t>
      </w:r>
    </w:p>
    <w:p w:rsidR="009153FF" w:rsidRDefault="009153FF" w:rsidP="009153FF">
      <w:pPr>
        <w:pStyle w:val="Bezodstpw"/>
        <w:jc w:val="both"/>
        <w:rPr>
          <w:sz w:val="26"/>
          <w:szCs w:val="26"/>
        </w:rPr>
      </w:pPr>
    </w:p>
    <w:p w:rsidR="009153FF" w:rsidRDefault="009153FF" w:rsidP="009153FF">
      <w:pPr>
        <w:pStyle w:val="Bezodstpw"/>
        <w:jc w:val="both"/>
        <w:rPr>
          <w:sz w:val="26"/>
          <w:szCs w:val="26"/>
        </w:rPr>
      </w:pPr>
      <w:proofErr w:type="gramStart"/>
      <w:r>
        <w:rPr>
          <w:b/>
          <w:sz w:val="26"/>
          <w:szCs w:val="26"/>
        </w:rPr>
        <w:lastRenderedPageBreak/>
        <w:t>,,</w:t>
      </w:r>
      <w:proofErr w:type="gramEnd"/>
      <w:r>
        <w:rPr>
          <w:b/>
          <w:sz w:val="26"/>
          <w:szCs w:val="26"/>
        </w:rPr>
        <w:t>Spółką atrakcyjną fundamentalną”</w:t>
      </w:r>
      <w:r>
        <w:rPr>
          <w:sz w:val="26"/>
          <w:szCs w:val="26"/>
        </w:rPr>
        <w:t xml:space="preserve"> jest ta, której akcje są </w:t>
      </w:r>
      <w:r>
        <w:rPr>
          <w:rStyle w:val="Pogrubienie"/>
          <w:rFonts w:ascii="MyriadPro-Regular" w:hAnsi="MyriadPro-Regular"/>
          <w:color w:val="000000"/>
          <w:sz w:val="26"/>
          <w:szCs w:val="26"/>
        </w:rPr>
        <w:t>tanio wycenione w stosunku do wartości księgowej</w:t>
      </w:r>
      <w:r>
        <w:rPr>
          <w:sz w:val="26"/>
          <w:szCs w:val="26"/>
        </w:rPr>
        <w:t>, która charakteryzuje się relatywnie wysoką zdolnością do regulowania swych zobowiązań wobec dostawców oraz banków (o czym świadczy </w:t>
      </w:r>
      <w:r>
        <w:rPr>
          <w:rStyle w:val="Pogrubienie"/>
          <w:rFonts w:ascii="MyriadPro-Regular" w:hAnsi="MyriadPro-Regular"/>
          <w:color w:val="000000"/>
          <w:sz w:val="26"/>
          <w:szCs w:val="26"/>
        </w:rPr>
        <w:t>wysoki wskaźnik płynności bieżącej</w:t>
      </w:r>
      <w:r>
        <w:rPr>
          <w:sz w:val="26"/>
          <w:szCs w:val="26"/>
        </w:rPr>
        <w:t> a poza tym charakteryzuje się stosunkowo niską rentownością (można bowiem założyć, że skoro</w:t>
      </w:r>
      <w:r>
        <w:rPr>
          <w:rStyle w:val="Pogrubienie"/>
          <w:rFonts w:ascii="MyriadPro-Regular" w:hAnsi="MyriadPro-Regular"/>
          <w:color w:val="000000"/>
          <w:sz w:val="26"/>
          <w:szCs w:val="26"/>
        </w:rPr>
        <w:t> rentowność jest obecnie relatywnie niska</w:t>
      </w:r>
      <w:r>
        <w:rPr>
          <w:sz w:val="26"/>
          <w:szCs w:val="26"/>
        </w:rPr>
        <w:t xml:space="preserve"> to w przyszłości wzrośnie, a kurs akcji będzie rósł dyskontując ów przyszły wzrost rentowności; kursy akcji dyskontują bowiem przyszłość). </w:t>
      </w:r>
    </w:p>
    <w:p w:rsidR="009153FF" w:rsidRDefault="009153FF" w:rsidP="009153FF">
      <w:pPr>
        <w:pStyle w:val="Bezodstpw"/>
        <w:jc w:val="both"/>
        <w:rPr>
          <w:b/>
          <w:color w:val="FF0000"/>
          <w:sz w:val="26"/>
          <w:szCs w:val="26"/>
        </w:rPr>
      </w:pPr>
    </w:p>
    <w:p w:rsidR="009153FF" w:rsidRDefault="009153FF" w:rsidP="009153FF">
      <w:pPr>
        <w:pStyle w:val="Bezodstpw"/>
        <w:jc w:val="both"/>
        <w:rPr>
          <w:color w:val="000000" w:themeColor="text1"/>
          <w:sz w:val="26"/>
          <w:szCs w:val="26"/>
        </w:rPr>
      </w:pPr>
      <w:r w:rsidRPr="009F092A">
        <w:rPr>
          <w:color w:val="000000" w:themeColor="text1"/>
          <w:sz w:val="26"/>
          <w:szCs w:val="26"/>
        </w:rPr>
        <w:t xml:space="preserve">Obecny </w:t>
      </w:r>
      <w:proofErr w:type="gramStart"/>
      <w:r w:rsidRPr="009F092A">
        <w:rPr>
          <w:color w:val="000000" w:themeColor="text1"/>
          <w:sz w:val="26"/>
          <w:szCs w:val="26"/>
        </w:rPr>
        <w:t>,,</w:t>
      </w:r>
      <w:proofErr w:type="gramEnd"/>
      <w:r>
        <w:rPr>
          <w:color w:val="000000" w:themeColor="text1"/>
          <w:sz w:val="26"/>
          <w:szCs w:val="26"/>
        </w:rPr>
        <w:t xml:space="preserve">portfel fundamentalny” będzie przeze mnie obserwowany przez 12 miesięcy od jego utworzenia. </w:t>
      </w:r>
    </w:p>
    <w:p w:rsidR="009153FF" w:rsidRDefault="009153FF" w:rsidP="009153FF">
      <w:pPr>
        <w:pStyle w:val="Bezodstpw"/>
        <w:jc w:val="both"/>
        <w:rPr>
          <w:color w:val="000000" w:themeColor="text1"/>
          <w:sz w:val="26"/>
          <w:szCs w:val="26"/>
        </w:rPr>
      </w:pPr>
    </w:p>
    <w:p w:rsidR="009153FF" w:rsidRDefault="009153FF" w:rsidP="009153FF">
      <w:pPr>
        <w:pStyle w:val="Bezodstpw"/>
        <w:jc w:val="both"/>
        <w:rPr>
          <w:b/>
          <w:color w:val="FF0000"/>
          <w:sz w:val="26"/>
          <w:szCs w:val="26"/>
        </w:rPr>
      </w:pPr>
      <w:r>
        <w:rPr>
          <w:color w:val="000000" w:themeColor="text1"/>
          <w:sz w:val="26"/>
          <w:szCs w:val="26"/>
        </w:rPr>
        <w:t xml:space="preserve">Jakie będzie jego </w:t>
      </w:r>
      <w:proofErr w:type="gramStart"/>
      <w:r>
        <w:rPr>
          <w:color w:val="000000" w:themeColor="text1"/>
          <w:sz w:val="26"/>
          <w:szCs w:val="26"/>
        </w:rPr>
        <w:t xml:space="preserve">zachowanie ? </w:t>
      </w:r>
      <w:proofErr w:type="gramEnd"/>
      <w:r>
        <w:rPr>
          <w:color w:val="000000" w:themeColor="text1"/>
          <w:sz w:val="26"/>
          <w:szCs w:val="26"/>
        </w:rPr>
        <w:t xml:space="preserve">Zobaczymy. </w:t>
      </w:r>
    </w:p>
    <w:p w:rsidR="009153FF" w:rsidRDefault="009153FF" w:rsidP="009153FF">
      <w:pPr>
        <w:pStyle w:val="Bezodstpw"/>
        <w:jc w:val="both"/>
        <w:rPr>
          <w:sz w:val="26"/>
          <w:szCs w:val="26"/>
        </w:rPr>
      </w:pPr>
    </w:p>
    <w:p w:rsidR="009153FF" w:rsidRPr="009F092A" w:rsidRDefault="009153FF" w:rsidP="009153FF">
      <w:pPr>
        <w:pStyle w:val="Bezodstpw"/>
        <w:pBdr>
          <w:top w:val="single" w:sz="4" w:space="1" w:color="auto"/>
          <w:left w:val="single" w:sz="4" w:space="4" w:color="auto"/>
          <w:bottom w:val="single" w:sz="4" w:space="1" w:color="auto"/>
          <w:right w:val="single" w:sz="4" w:space="4" w:color="auto"/>
        </w:pBdr>
        <w:shd w:val="clear" w:color="auto" w:fill="92D050"/>
        <w:jc w:val="center"/>
        <w:rPr>
          <w:b/>
          <w:sz w:val="60"/>
          <w:szCs w:val="60"/>
        </w:rPr>
      </w:pPr>
      <w:r w:rsidRPr="009F092A">
        <w:rPr>
          <w:b/>
          <w:sz w:val="60"/>
          <w:szCs w:val="60"/>
        </w:rPr>
        <w:t xml:space="preserve">Poprzedni </w:t>
      </w:r>
      <w:proofErr w:type="gramStart"/>
      <w:r w:rsidRPr="009F092A">
        <w:rPr>
          <w:b/>
          <w:sz w:val="60"/>
          <w:szCs w:val="60"/>
        </w:rPr>
        <w:t>,,</w:t>
      </w:r>
      <w:proofErr w:type="gramEnd"/>
      <w:r w:rsidRPr="009F092A">
        <w:rPr>
          <w:b/>
          <w:sz w:val="60"/>
          <w:szCs w:val="60"/>
        </w:rPr>
        <w:t>portfel fundamentalny”</w:t>
      </w:r>
    </w:p>
    <w:p w:rsidR="009153FF" w:rsidRDefault="009153FF" w:rsidP="009153FF">
      <w:pPr>
        <w:pStyle w:val="Bezodstpw"/>
        <w:jc w:val="both"/>
        <w:rPr>
          <w:sz w:val="26"/>
          <w:szCs w:val="26"/>
        </w:rPr>
      </w:pPr>
    </w:p>
    <w:p w:rsidR="009153FF" w:rsidRDefault="009153FF" w:rsidP="009153FF">
      <w:pPr>
        <w:pStyle w:val="Bezodstpw"/>
        <w:jc w:val="both"/>
        <w:rPr>
          <w:sz w:val="26"/>
          <w:szCs w:val="26"/>
        </w:rPr>
      </w:pPr>
      <w:r w:rsidRPr="00CE2D90">
        <w:rPr>
          <w:sz w:val="26"/>
          <w:szCs w:val="26"/>
        </w:rPr>
        <w:t xml:space="preserve">Przypominam, ze poprzedni </w:t>
      </w:r>
      <w:proofErr w:type="gramStart"/>
      <w:r w:rsidRPr="00CE2D90">
        <w:rPr>
          <w:sz w:val="26"/>
          <w:szCs w:val="26"/>
        </w:rPr>
        <w:t>,,</w:t>
      </w:r>
      <w:proofErr w:type="gramEnd"/>
      <w:r w:rsidRPr="00CE2D90">
        <w:rPr>
          <w:sz w:val="26"/>
          <w:szCs w:val="26"/>
        </w:rPr>
        <w:t>portfel fundamentalny” w okresie od 20 lutego 2015 roku do 19 lutego 2016 roku ,,portfel fundamentalny” zyskał 10,4 %. WIG 20 w tym okresie spadł o 21,6 %</w:t>
      </w:r>
    </w:p>
    <w:p w:rsidR="009153FF" w:rsidRDefault="009153FF" w:rsidP="009153FF">
      <w:pPr>
        <w:pStyle w:val="Bezodstpw"/>
        <w:jc w:val="both"/>
        <w:rPr>
          <w:sz w:val="26"/>
          <w:szCs w:val="26"/>
        </w:rPr>
      </w:pPr>
    </w:p>
    <w:p w:rsidR="009153FF" w:rsidRPr="00DA187A" w:rsidRDefault="009153FF" w:rsidP="009153FF">
      <w:pPr>
        <w:pStyle w:val="Bezodstpw"/>
        <w:jc w:val="both"/>
        <w:rPr>
          <w:b/>
          <w:color w:val="FF0000"/>
          <w:sz w:val="26"/>
          <w:szCs w:val="26"/>
        </w:rPr>
      </w:pPr>
      <w:r w:rsidRPr="00CE2D90">
        <w:rPr>
          <w:sz w:val="26"/>
          <w:szCs w:val="26"/>
        </w:rPr>
        <w:t xml:space="preserve">22 lutego 2015 roku pojawiło się na stronie internetowej </w:t>
      </w:r>
      <w:hyperlink r:id="rId14" w:history="1">
        <w:r w:rsidRPr="006A23B6">
          <w:rPr>
            <w:rStyle w:val="Hipercze"/>
            <w:sz w:val="26"/>
            <w:szCs w:val="26"/>
          </w:rPr>
          <w:t>http://analizy-rynkowe.pl/</w:t>
        </w:r>
      </w:hyperlink>
      <w:r w:rsidRPr="00CE2D90">
        <w:rPr>
          <w:sz w:val="26"/>
          <w:szCs w:val="26"/>
        </w:rPr>
        <w:t xml:space="preserve"> opracowanie zatytułowane </w:t>
      </w:r>
      <w:proofErr w:type="gramStart"/>
      <w:r w:rsidRPr="00DA187A">
        <w:rPr>
          <w:b/>
          <w:color w:val="FF0000"/>
          <w:sz w:val="26"/>
          <w:szCs w:val="26"/>
        </w:rPr>
        <w:t>,,</w:t>
      </w:r>
      <w:proofErr w:type="gramEnd"/>
      <w:r w:rsidRPr="00DA187A">
        <w:rPr>
          <w:b/>
          <w:color w:val="FF0000"/>
          <w:sz w:val="26"/>
          <w:szCs w:val="26"/>
        </w:rPr>
        <w:t xml:space="preserve">Co to właściwie znaczy, że spółka jest ,,atrakcyjna fundamentalnie” ? – </w:t>
      </w:r>
      <w:proofErr w:type="gramStart"/>
      <w:r w:rsidRPr="00DA187A">
        <w:rPr>
          <w:b/>
          <w:color w:val="FF0000"/>
          <w:sz w:val="26"/>
          <w:szCs w:val="26"/>
        </w:rPr>
        <w:t>próba</w:t>
      </w:r>
      <w:proofErr w:type="gramEnd"/>
      <w:r w:rsidRPr="00DA187A">
        <w:rPr>
          <w:b/>
          <w:color w:val="FF0000"/>
          <w:sz w:val="26"/>
          <w:szCs w:val="26"/>
        </w:rPr>
        <w:t xml:space="preserve"> refleksji…”.</w:t>
      </w:r>
    </w:p>
    <w:p w:rsidR="009153FF" w:rsidRPr="00CE2D90" w:rsidRDefault="009153FF" w:rsidP="009153FF">
      <w:pPr>
        <w:pStyle w:val="Bezodstpw"/>
        <w:jc w:val="both"/>
        <w:rPr>
          <w:sz w:val="26"/>
          <w:szCs w:val="26"/>
        </w:rPr>
      </w:pPr>
    </w:p>
    <w:p w:rsidR="009153FF" w:rsidRPr="00CE2D90" w:rsidRDefault="009153FF" w:rsidP="009153FF">
      <w:pPr>
        <w:pStyle w:val="Bezodstpw"/>
        <w:jc w:val="both"/>
        <w:rPr>
          <w:sz w:val="26"/>
          <w:szCs w:val="26"/>
        </w:rPr>
      </w:pPr>
      <w:r w:rsidRPr="00CE2D90">
        <w:rPr>
          <w:sz w:val="26"/>
          <w:szCs w:val="26"/>
        </w:rPr>
        <w:t xml:space="preserve">Opracowaniu tym przedstawiłem koncepcję 3 kryteriów, wedle których można uznać daną spółkę za </w:t>
      </w:r>
      <w:proofErr w:type="gramStart"/>
      <w:r w:rsidRPr="00CE2D90">
        <w:rPr>
          <w:sz w:val="26"/>
          <w:szCs w:val="26"/>
        </w:rPr>
        <w:t>,,</w:t>
      </w:r>
      <w:proofErr w:type="gramEnd"/>
      <w:r w:rsidRPr="00CE2D90">
        <w:rPr>
          <w:sz w:val="26"/>
          <w:szCs w:val="26"/>
        </w:rPr>
        <w:t>atrakcyjną fundamentalnie”.</w:t>
      </w:r>
    </w:p>
    <w:p w:rsidR="009153FF" w:rsidRPr="00CE2D90" w:rsidRDefault="009153FF" w:rsidP="009153FF">
      <w:pPr>
        <w:pStyle w:val="Bezodstpw"/>
        <w:jc w:val="both"/>
        <w:rPr>
          <w:sz w:val="26"/>
          <w:szCs w:val="26"/>
        </w:rPr>
      </w:pPr>
    </w:p>
    <w:p w:rsidR="009153FF" w:rsidRPr="00CE2D90" w:rsidRDefault="009153FF" w:rsidP="009153FF">
      <w:pPr>
        <w:pStyle w:val="Bezodstpw"/>
        <w:jc w:val="both"/>
        <w:rPr>
          <w:sz w:val="26"/>
          <w:szCs w:val="26"/>
        </w:rPr>
      </w:pPr>
      <w:r w:rsidRPr="00CE2D90">
        <w:rPr>
          <w:sz w:val="26"/>
          <w:szCs w:val="26"/>
        </w:rPr>
        <w:t xml:space="preserve">Wyrażam przekonanie, że z punktu widzenia inwestora giełdowego </w:t>
      </w:r>
      <w:proofErr w:type="gramStart"/>
      <w:r w:rsidRPr="00CE2D90">
        <w:rPr>
          <w:sz w:val="26"/>
          <w:szCs w:val="26"/>
        </w:rPr>
        <w:t>,,</w:t>
      </w:r>
      <w:proofErr w:type="gramEnd"/>
      <w:r w:rsidRPr="00CE2D90">
        <w:rPr>
          <w:sz w:val="26"/>
          <w:szCs w:val="26"/>
        </w:rPr>
        <w:t>spółka atrakcyjna fundamentalnie” to spółka charakteryzująca się obecnie takimi wskaźnikami fundamentalnych, których poziom sprzyja wysokiej stopie zwrotu z akcji tej spółki w przyszłości.</w:t>
      </w:r>
    </w:p>
    <w:p w:rsidR="009153FF" w:rsidRPr="00CE2D90" w:rsidRDefault="009153FF" w:rsidP="009153FF">
      <w:pPr>
        <w:pStyle w:val="Bezodstpw"/>
        <w:jc w:val="both"/>
        <w:rPr>
          <w:sz w:val="26"/>
          <w:szCs w:val="26"/>
        </w:rPr>
      </w:pPr>
    </w:p>
    <w:p w:rsidR="009153FF" w:rsidRDefault="009153FF" w:rsidP="009153FF">
      <w:pPr>
        <w:pStyle w:val="Bezodstpw"/>
        <w:jc w:val="both"/>
        <w:rPr>
          <w:sz w:val="26"/>
          <w:szCs w:val="26"/>
        </w:rPr>
      </w:pPr>
      <w:r w:rsidRPr="00CE2D90">
        <w:rPr>
          <w:sz w:val="26"/>
          <w:szCs w:val="26"/>
        </w:rPr>
        <w:t xml:space="preserve">Dla pewnego uproszczenie i zarazem uszczegółowienia przyjmę, ze ,,spółka atrakcyjna fundamentalnie” w roku T to spółka charakteryzująca się takim wskaźnikami fundamentalnych w roku T, których poziom sprzyja wysokiej stopie zwrotu z akcji tej spółki </w:t>
      </w:r>
      <w:proofErr w:type="gramStart"/>
      <w:r w:rsidRPr="00CE2D90">
        <w:rPr>
          <w:sz w:val="26"/>
          <w:szCs w:val="26"/>
        </w:rPr>
        <w:t>w  roku</w:t>
      </w:r>
      <w:proofErr w:type="gramEnd"/>
      <w:r w:rsidRPr="00CE2D90">
        <w:rPr>
          <w:sz w:val="26"/>
          <w:szCs w:val="26"/>
        </w:rPr>
        <w:t xml:space="preserve"> T+1.</w:t>
      </w:r>
    </w:p>
    <w:p w:rsidR="009153FF" w:rsidRDefault="009153FF" w:rsidP="009153FF">
      <w:pPr>
        <w:pStyle w:val="Bezodstpw"/>
        <w:jc w:val="both"/>
        <w:rPr>
          <w:sz w:val="26"/>
          <w:szCs w:val="26"/>
        </w:rPr>
      </w:pPr>
    </w:p>
    <w:p w:rsidR="009153FF" w:rsidRDefault="009153FF" w:rsidP="009153FF">
      <w:pPr>
        <w:pStyle w:val="Bezodstpw"/>
        <w:jc w:val="both"/>
        <w:rPr>
          <w:sz w:val="26"/>
          <w:szCs w:val="26"/>
        </w:rPr>
      </w:pPr>
      <w:hyperlink r:id="rId15" w:history="1">
        <w:r w:rsidRPr="006A23B6">
          <w:rPr>
            <w:rStyle w:val="Hipercze"/>
            <w:sz w:val="26"/>
            <w:szCs w:val="26"/>
          </w:rPr>
          <w:t>http://analizy-rynkowe.pl/znaczy-wlasciwie-znaczy-spolka-atrakcyjna-fundamentalnie-proba-refleksji/</w:t>
        </w:r>
      </w:hyperlink>
    </w:p>
    <w:p w:rsidR="009153FF" w:rsidRDefault="009153FF" w:rsidP="009153FF">
      <w:pPr>
        <w:pStyle w:val="Bezodstpw"/>
        <w:jc w:val="both"/>
        <w:rPr>
          <w:sz w:val="26"/>
          <w:szCs w:val="26"/>
        </w:rPr>
      </w:pPr>
    </w:p>
    <w:p w:rsidR="009153FF" w:rsidRDefault="009153FF" w:rsidP="009153FF">
      <w:pPr>
        <w:pStyle w:val="Bezodstpw"/>
        <w:jc w:val="both"/>
        <w:rPr>
          <w:rStyle w:val="Hipercze"/>
          <w:sz w:val="26"/>
          <w:szCs w:val="26"/>
        </w:rPr>
      </w:pPr>
      <w:hyperlink r:id="rId16" w:history="1">
        <w:r w:rsidRPr="006A23B6">
          <w:rPr>
            <w:rStyle w:val="Hipercze"/>
            <w:sz w:val="26"/>
            <w:szCs w:val="26"/>
          </w:rPr>
          <w:t>http://analizy-rynkowe.pl/od-20-lutego-2015-roku-do-19-lutego-2016-roku-portfel-fundamentalny-zyskal-104-wig-20-w-tym-okresie-spadl-o-216/</w:t>
        </w:r>
      </w:hyperlink>
    </w:p>
    <w:p w:rsidR="009153FF" w:rsidRDefault="009153FF" w:rsidP="009153FF">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lastRenderedPageBreak/>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9153FF" w:rsidRDefault="009153FF" w:rsidP="009153FF">
      <w:pPr>
        <w:spacing w:after="0" w:line="240" w:lineRule="auto"/>
        <w:jc w:val="both"/>
        <w:rPr>
          <w:rFonts w:eastAsia="Times New Roman" w:cs="Times New Roman"/>
          <w:b/>
          <w:sz w:val="26"/>
          <w:szCs w:val="26"/>
          <w:lang w:eastAsia="pl-PL"/>
        </w:rPr>
      </w:pPr>
    </w:p>
    <w:p w:rsidR="009153FF" w:rsidRDefault="009153FF" w:rsidP="009153FF">
      <w:pPr>
        <w:spacing w:after="0" w:line="240" w:lineRule="auto"/>
        <w:jc w:val="both"/>
        <w:rPr>
          <w:rFonts w:eastAsia="Times New Roman" w:cs="Times New Roman"/>
          <w:b/>
          <w:sz w:val="26"/>
          <w:szCs w:val="26"/>
          <w:lang w:eastAsia="pl-PL"/>
        </w:rPr>
      </w:pPr>
    </w:p>
    <w:p w:rsidR="009153FF" w:rsidRDefault="009153FF" w:rsidP="009153FF">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29 kwietnia 2016 roku</w:t>
      </w:r>
    </w:p>
    <w:p w:rsidR="009153FF" w:rsidRDefault="009153FF" w:rsidP="009153FF">
      <w:pPr>
        <w:spacing w:after="0" w:line="240" w:lineRule="auto"/>
        <w:jc w:val="center"/>
        <w:rPr>
          <w:rFonts w:eastAsia="Times New Roman" w:cs="Times New Roman"/>
          <w:b/>
          <w:sz w:val="32"/>
          <w:szCs w:val="32"/>
          <w:u w:val="single"/>
          <w:lang w:eastAsia="pl-PL"/>
        </w:rPr>
      </w:pPr>
    </w:p>
    <w:p w:rsidR="009153FF" w:rsidRDefault="009153FF" w:rsidP="009153FF">
      <w:pPr>
        <w:spacing w:after="0" w:line="240" w:lineRule="auto"/>
        <w:jc w:val="both"/>
        <w:rPr>
          <w:rFonts w:eastAsia="Times New Roman" w:cs="Times New Roman"/>
          <w:b/>
          <w:sz w:val="26"/>
          <w:szCs w:val="26"/>
          <w:lang w:eastAsia="pl-PL"/>
        </w:rPr>
      </w:pPr>
    </w:p>
    <w:p w:rsidR="009153FF" w:rsidRDefault="009153FF" w:rsidP="009153FF">
      <w:pPr>
        <w:spacing w:after="0" w:line="240" w:lineRule="auto"/>
        <w:jc w:val="both"/>
        <w:rPr>
          <w:rFonts w:eastAsia="Times New Roman" w:cs="Times New Roman"/>
          <w:b/>
          <w:sz w:val="26"/>
          <w:szCs w:val="26"/>
          <w:lang w:eastAsia="pl-PL"/>
        </w:rPr>
      </w:pPr>
      <w:r>
        <w:rPr>
          <w:rFonts w:eastAsia="Times New Roman" w:cs="Times New Roman"/>
          <w:b/>
          <w:sz w:val="26"/>
          <w:szCs w:val="26"/>
          <w:lang w:eastAsia="pl-PL"/>
        </w:rPr>
        <w:lastRenderedPageBreak/>
        <w:t xml:space="preserve">Wprowadzenie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Strona internetowa </w:t>
      </w:r>
      <w:hyperlink r:id="rId17" w:history="1">
        <w:r>
          <w:rPr>
            <w:rStyle w:val="Hipercze"/>
            <w:rFonts w:eastAsia="Times New Roman" w:cs="Times New Roman"/>
            <w:sz w:val="26"/>
            <w:szCs w:val="26"/>
            <w:lang w:eastAsia="pl-PL"/>
          </w:rPr>
          <w:t>http://analizy-rynkowe.pl/</w:t>
        </w:r>
      </w:hyperlink>
      <w:r>
        <w:rPr>
          <w:rFonts w:eastAsia="Times New Roman" w:cs="Times New Roman"/>
          <w:sz w:val="26"/>
          <w:szCs w:val="26"/>
          <w:lang w:eastAsia="pl-PL"/>
        </w:rPr>
        <w:t xml:space="preserve"> prowadzona jest od września 2014 roku.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Co tydzień publikowany jest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Raport Tygodniowy”</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Od czasu do czasu umieszczam wybrane spółki w rubryce </w:t>
      </w:r>
      <w:proofErr w:type="gramStart"/>
      <w:r>
        <w:rPr>
          <w:rFonts w:eastAsia="Times New Roman" w:cs="Times New Roman"/>
          <w:b/>
          <w:color w:val="FF0000"/>
          <w:sz w:val="26"/>
          <w:szCs w:val="26"/>
          <w:lang w:eastAsia="pl-PL"/>
        </w:rPr>
        <w:t>,,</w:t>
      </w:r>
      <w:proofErr w:type="gramEnd"/>
      <w:r>
        <w:rPr>
          <w:rFonts w:eastAsia="Times New Roman" w:cs="Times New Roman"/>
          <w:b/>
          <w:color w:val="FF0000"/>
          <w:sz w:val="26"/>
          <w:szCs w:val="26"/>
          <w:lang w:eastAsia="pl-PL"/>
        </w:rPr>
        <w:t xml:space="preserve">Wykres do przemyślenia”.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Umieszczane są tam te przykładowe spółki, których kurs </w:t>
      </w:r>
      <w:r>
        <w:rPr>
          <w:rFonts w:eastAsia="Times New Roman" w:cs="Times New Roman"/>
          <w:b/>
          <w:color w:val="FF0000"/>
          <w:sz w:val="26"/>
          <w:szCs w:val="26"/>
          <w:lang w:eastAsia="pl-PL"/>
        </w:rPr>
        <w:t xml:space="preserve">wybił się z formacji podwójnego dna.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Formacja podwójnego dna ma </w:t>
      </w:r>
      <w:r>
        <w:rPr>
          <w:rFonts w:eastAsia="Times New Roman" w:cs="Times New Roman"/>
          <w:b/>
          <w:sz w:val="26"/>
          <w:szCs w:val="26"/>
          <w:lang w:eastAsia="pl-PL"/>
        </w:rPr>
        <w:t xml:space="preserve">2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 xml:space="preserve">zadania”.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Podstawowym, minimalnym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jej wypełnienie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Drugim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doprowadzenie do zmiany trendu ze spadkowego na wzrostowy.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Osobiście wyróżniam </w:t>
      </w:r>
      <w:r>
        <w:rPr>
          <w:rFonts w:eastAsia="Times New Roman" w:cs="Times New Roman"/>
          <w:b/>
          <w:sz w:val="26"/>
          <w:szCs w:val="26"/>
          <w:lang w:eastAsia="pl-PL"/>
        </w:rPr>
        <w:t>typowe oraz nietypowe podwójne dno.</w:t>
      </w:r>
      <w:r>
        <w:rPr>
          <w:rFonts w:eastAsia="Times New Roman" w:cs="Times New Roman"/>
          <w:sz w:val="26"/>
          <w:szCs w:val="26"/>
          <w:lang w:eastAsia="pl-PL"/>
        </w:rPr>
        <w:t xml:space="preserve">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Typowa formacja podwójnego dna charakteryzuje się tym, że dołki w formacji kształtują się na poziomie identycznym, bądź prawie identycznym.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Natomiast w przypadku nietypowej formacji podwójnego dna kształtują się one na poziomie zupełnie odmiennym.</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Od pierwszego numeru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postanowiłem, że będę </w:t>
      </w:r>
      <w:r>
        <w:rPr>
          <w:rFonts w:eastAsia="Times New Roman" w:cs="Times New Roman"/>
          <w:b/>
          <w:sz w:val="26"/>
          <w:szCs w:val="26"/>
          <w:lang w:eastAsia="pl-PL"/>
        </w:rPr>
        <w:t>porównywał</w:t>
      </w:r>
      <w:r>
        <w:rPr>
          <w:rFonts w:eastAsia="Times New Roman" w:cs="Times New Roman"/>
          <w:sz w:val="26"/>
          <w:szCs w:val="26"/>
          <w:lang w:eastAsia="pl-PL"/>
        </w:rPr>
        <w:t xml:space="preserve"> zachowanie kursu akcji spółki po wprowadzeniu jej do rubryki ,,Wykres do przemyślenia” </w:t>
      </w:r>
      <w:r>
        <w:rPr>
          <w:rFonts w:eastAsia="Times New Roman" w:cs="Times New Roman"/>
          <w:b/>
          <w:sz w:val="26"/>
          <w:szCs w:val="26"/>
          <w:lang w:eastAsia="pl-PL"/>
        </w:rPr>
        <w:t xml:space="preserve">z zachowaniem indeksu WIG20.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Mam świadomość, że podejście to może budzić kontrowersje, sprzeciw. Dobrze. Tak być musi.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Postanowiłem odpowiedzieć na pytanie: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Ile wynosiła średnia procentowa zmiana kursu akcji spółki po wprowadzeniu jej do rubryki ,,Wykres do przemyślenia” w okresie 12 pierwszych miesięcy po jej wprowadzeniu do tej rubryki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W związku z powyższym postanowiłem odpowiedzieć </w:t>
      </w:r>
      <w:r>
        <w:rPr>
          <w:rFonts w:eastAsia="Times New Roman" w:cs="Times New Roman"/>
          <w:b/>
          <w:sz w:val="26"/>
          <w:szCs w:val="26"/>
          <w:lang w:eastAsia="pl-PL"/>
        </w:rPr>
        <w:t>także</w:t>
      </w:r>
      <w:r>
        <w:rPr>
          <w:rFonts w:eastAsia="Times New Roman" w:cs="Times New Roman"/>
          <w:sz w:val="26"/>
          <w:szCs w:val="26"/>
          <w:lang w:eastAsia="pl-PL"/>
        </w:rPr>
        <w:t xml:space="preserve"> na pytanie: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Ile wynosiła średnia procentowa zmiana indeksu WIG 20 w tym okresie ?”. Odpowiedź na te pytania przedstawiłem w tabeli na następnej stronie. </w:t>
      </w: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9153FF" w:rsidRDefault="009153FF" w:rsidP="009153FF">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+15,2 %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+11,3 %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+55,4 %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+58,1 %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+35,0 %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-15,5 %</w:t>
            </w:r>
          </w:p>
        </w:tc>
      </w:tr>
    </w:tbl>
    <w:p w:rsidR="009153FF" w:rsidRDefault="009153FF" w:rsidP="009153FF">
      <w:pPr>
        <w:spacing w:after="0" w:line="240" w:lineRule="auto"/>
        <w:jc w:val="both"/>
        <w:rPr>
          <w:rFonts w:ascii="Calibri" w:eastAsia="Times New Roman" w:hAnsi="Calibri" w:cs="Times New Roman"/>
          <w:sz w:val="36"/>
          <w:szCs w:val="36"/>
          <w:u w:val="single"/>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9153FF" w:rsidRDefault="009153FF" w:rsidP="009153FF">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-20,8 %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-20,8 %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-12,5 %</w:t>
            </w:r>
          </w:p>
        </w:tc>
      </w:tr>
    </w:tbl>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18"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9153FF" w:rsidRDefault="009153FF" w:rsidP="009153FF">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24,2 %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24,2 %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-12,2 %</w:t>
            </w:r>
          </w:p>
        </w:tc>
      </w:tr>
    </w:tbl>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9153FF" w:rsidRDefault="009153FF" w:rsidP="009153FF">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2,3 %</w:t>
            </w:r>
          </w:p>
        </w:tc>
      </w:tr>
      <w:tr w:rsidR="009153FF" w:rsidTr="007D4352">
        <w:trPr>
          <w:trHeight w:val="310"/>
        </w:trPr>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2,3 %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-13,2 %</w:t>
            </w:r>
          </w:p>
        </w:tc>
      </w:tr>
    </w:tbl>
    <w:p w:rsidR="009153FF" w:rsidRDefault="009153FF" w:rsidP="009153FF">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25 września na stronie internetowej </w:t>
      </w:r>
      <w:hyperlink r:id="rId19"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9153FF" w:rsidRDefault="009153FF" w:rsidP="009153FF">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+29,7 %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+29,7 %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-15,8 %</w:t>
            </w:r>
          </w:p>
        </w:tc>
      </w:tr>
    </w:tbl>
    <w:p w:rsidR="009153FF" w:rsidRDefault="009153FF" w:rsidP="009153FF">
      <w:pPr>
        <w:spacing w:after="0" w:line="240" w:lineRule="auto"/>
        <w:jc w:val="both"/>
        <w:rPr>
          <w:rFonts w:eastAsiaTheme="minorEastAsia" w:cs="Times New Roman"/>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9153FF" w:rsidRDefault="009153FF" w:rsidP="009153FF">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+19,9 %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+61,5 %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- 49,9 %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+10,5%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- 15,8 %</w:t>
            </w:r>
          </w:p>
        </w:tc>
      </w:tr>
    </w:tbl>
    <w:p w:rsidR="009153FF" w:rsidRDefault="009153FF" w:rsidP="009153FF">
      <w:pPr>
        <w:spacing w:after="0" w:line="240" w:lineRule="auto"/>
        <w:rPr>
          <w:rFonts w:ascii="Calibri" w:eastAsia="Times New Roman" w:hAnsi="Calibri" w:cs="Times New Roman"/>
          <w:sz w:val="26"/>
          <w:szCs w:val="26"/>
          <w:u w:val="single"/>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9153FF" w:rsidRDefault="009153FF" w:rsidP="009153FF">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+13,9 %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+13,9 %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-16,7 %</w:t>
            </w:r>
          </w:p>
        </w:tc>
      </w:tr>
    </w:tbl>
    <w:p w:rsidR="009153FF" w:rsidRDefault="009153FF" w:rsidP="009153FF">
      <w:pPr>
        <w:spacing w:after="0" w:line="240" w:lineRule="auto"/>
        <w:rPr>
          <w:rFonts w:ascii="Calibri" w:eastAsia="Times New Roman" w:hAnsi="Calibri" w:cs="Times New Roman"/>
          <w:sz w:val="26"/>
          <w:szCs w:val="26"/>
          <w:u w:val="single"/>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9153FF" w:rsidRDefault="009153FF" w:rsidP="009153FF">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-38,0 %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-38,0 %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-11,6 %</w:t>
            </w:r>
          </w:p>
        </w:tc>
      </w:tr>
    </w:tbl>
    <w:p w:rsidR="009153FF" w:rsidRDefault="009153FF" w:rsidP="009153FF">
      <w:pPr>
        <w:spacing w:after="0" w:line="240" w:lineRule="auto"/>
        <w:rPr>
          <w:rFonts w:ascii="Calibri" w:eastAsia="Times New Roman" w:hAnsi="Calibri" w:cs="Times New Roman"/>
          <w:sz w:val="42"/>
          <w:szCs w:val="42"/>
          <w:u w:val="single"/>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22 października na stronie internetowej </w:t>
      </w:r>
      <w:hyperlink r:id="rId20"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9153FF" w:rsidRDefault="009153FF" w:rsidP="009153FF">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+ 114,5 %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9153FF" w:rsidRDefault="009153FF" w:rsidP="007D4352">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9153FF" w:rsidRDefault="009153FF" w:rsidP="007D4352">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+ 55,6 %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-13,1 %</w:t>
            </w:r>
          </w:p>
        </w:tc>
      </w:tr>
    </w:tbl>
    <w:p w:rsidR="009153FF" w:rsidRDefault="009153FF" w:rsidP="009153FF">
      <w:pPr>
        <w:spacing w:after="0" w:line="240" w:lineRule="auto"/>
        <w:jc w:val="both"/>
        <w:rPr>
          <w:rFonts w:eastAsiaTheme="minorEastAsia" w:cs="Times New Roman"/>
          <w:lang w:eastAsia="pl-PL"/>
        </w:rPr>
      </w:pP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9153FF" w:rsidRDefault="009153FF" w:rsidP="009153FF">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-14,4 %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-14,4 %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-13,1 %</w:t>
            </w:r>
          </w:p>
        </w:tc>
      </w:tr>
    </w:tbl>
    <w:p w:rsidR="009153FF" w:rsidRDefault="009153FF" w:rsidP="009153FF">
      <w:pPr>
        <w:spacing w:after="0" w:line="240" w:lineRule="auto"/>
        <w:jc w:val="both"/>
        <w:rPr>
          <w:rFonts w:ascii="Calibri" w:eastAsia="Times New Roman" w:hAnsi="Calibri" w:cs="Times New Roman"/>
          <w:sz w:val="30"/>
          <w:szCs w:val="30"/>
          <w:u w:val="single"/>
          <w:lang w:eastAsia="pl-PL"/>
        </w:rPr>
      </w:pPr>
    </w:p>
    <w:p w:rsidR="009153FF" w:rsidRDefault="009153FF" w:rsidP="009153FF">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9153FF" w:rsidRDefault="009153FF" w:rsidP="009153FF">
      <w:pPr>
        <w:spacing w:after="0" w:line="240" w:lineRule="auto"/>
        <w:jc w:val="both"/>
        <w:rPr>
          <w:rFonts w:eastAsia="Times New Roman" w:cs="Times New Roman"/>
          <w:sz w:val="28"/>
          <w:szCs w:val="28"/>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-19,8 %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-19,8 %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-16,4 %</w:t>
            </w:r>
          </w:p>
        </w:tc>
      </w:tr>
    </w:tbl>
    <w:p w:rsidR="009153FF" w:rsidRDefault="009153FF" w:rsidP="009153FF">
      <w:pPr>
        <w:spacing w:after="0" w:line="240" w:lineRule="auto"/>
        <w:jc w:val="both"/>
        <w:rPr>
          <w:rFonts w:ascii="Calibri" w:eastAsia="Times New Roman" w:hAnsi="Calibri" w:cs="Times New Roman"/>
          <w:sz w:val="26"/>
          <w:szCs w:val="26"/>
          <w:u w:val="single"/>
          <w:lang w:eastAsia="pl-PL"/>
        </w:rPr>
      </w:pPr>
    </w:p>
    <w:p w:rsidR="009153FF" w:rsidRDefault="009153FF" w:rsidP="009153FF">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9153FF" w:rsidRDefault="009153FF" w:rsidP="009153FF">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+73,6 %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+73,6 %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-19,9 %</w:t>
            </w:r>
          </w:p>
        </w:tc>
      </w:tr>
    </w:tbl>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p>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21"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-27,8 %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-27,8 %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-20,4 %</w:t>
            </w:r>
          </w:p>
        </w:tc>
      </w:tr>
    </w:tbl>
    <w:p w:rsidR="009153FF" w:rsidRDefault="009153FF" w:rsidP="009153FF">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+5,7 %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 xml:space="preserve">  +5,7 %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  25,5 %</w:t>
            </w:r>
          </w:p>
        </w:tc>
      </w:tr>
    </w:tbl>
    <w:p w:rsidR="009153FF" w:rsidRDefault="009153FF" w:rsidP="009153FF">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2"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-1,3 %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-1,3 %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-19,7  %</w:t>
            </w:r>
          </w:p>
        </w:tc>
      </w:tr>
    </w:tbl>
    <w:p w:rsidR="009153FF" w:rsidRDefault="009153FF" w:rsidP="009153FF">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3" w:history="1">
        <w:r>
          <w:rPr>
            <w:rStyle w:val="Hipercze"/>
            <w:rFonts w:eastAsia="Times New Roman" w:cs="Times New Roman"/>
            <w:lang w:eastAsia="pl-PL"/>
          </w:rPr>
          <w:t>www.analizy-rynkowe.</w:t>
        </w:r>
        <w:proofErr w:type="gramStart"/>
        <w:r>
          <w:rPr>
            <w:rStyle w:val="Hipercze"/>
            <w:rFonts w:eastAsia="Times New Roman" w:cs="Times New Roman"/>
            <w:lang w:eastAsia="pl-PL"/>
          </w:rPr>
          <w:t>pl</w:t>
        </w:r>
      </w:hyperlink>
      <w:r>
        <w:rPr>
          <w:rFonts w:eastAsia="Times New Roman" w:cs="Times New Roman"/>
          <w:lang w:eastAsia="pl-PL"/>
        </w:rPr>
        <w:t>na  stronie</w:t>
      </w:r>
      <w:proofErr w:type="gramEnd"/>
      <w:r>
        <w:rPr>
          <w:rFonts w:eastAsia="Times New Roman" w:cs="Times New Roman"/>
          <w:lang w:eastAsia="pl-PL"/>
        </w:rPr>
        <w:t xml:space="preserve"> internetowej </w:t>
      </w:r>
      <w:hyperlink r:id="rId24"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08.012016</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2,84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 -15,0 %0</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-15,0 %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1 725,14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-28,6 %</w:t>
            </w:r>
          </w:p>
        </w:tc>
      </w:tr>
    </w:tbl>
    <w:p w:rsidR="009153FF" w:rsidRDefault="009153FF" w:rsidP="009153FF">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25"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2015 roku </w:t>
      </w:r>
      <w:r>
        <w:rPr>
          <w:rFonts w:eastAsia="Times New Roman" w:cs="Times New Roman"/>
          <w:lang w:eastAsia="pl-PL"/>
        </w:rPr>
        <w:t xml:space="preserve">do 29 stycznia 2016 roku  </w:t>
      </w:r>
      <w:r>
        <w:rPr>
          <w:rFonts w:eastAsia="Times New Roman" w:cs="Times New Roman"/>
          <w:sz w:val="26"/>
          <w:szCs w:val="26"/>
          <w:lang w:eastAsia="pl-PL"/>
        </w:rPr>
        <w:t xml:space="preserve">oraz procentowa zmiana indeksu WIG 20 w tym okresie. </w:t>
      </w:r>
    </w:p>
    <w:p w:rsidR="009153FF" w:rsidRDefault="009153FF" w:rsidP="009153FF">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29.01.2016</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0,78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-29,7 %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-29,7 %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lang w:eastAsia="pl-PL"/>
              </w:rPr>
            </w:pPr>
            <w:r>
              <w:rPr>
                <w:rFonts w:eastAsiaTheme="minorEastAsia"/>
                <w:lang w:eastAsia="pl-PL"/>
              </w:rPr>
              <w:t>1 780,25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-26,3 %</w:t>
            </w:r>
          </w:p>
        </w:tc>
      </w:tr>
    </w:tbl>
    <w:p w:rsidR="009153FF" w:rsidRDefault="009153FF" w:rsidP="009153FF">
      <w:pPr>
        <w:spacing w:after="0" w:line="240" w:lineRule="auto"/>
        <w:jc w:val="both"/>
        <w:rPr>
          <w:rFonts w:eastAsiaTheme="minorEastAsia" w:cs="Times New Roman"/>
          <w:lang w:eastAsia="pl-PL"/>
        </w:rPr>
      </w:pPr>
    </w:p>
    <w:p w:rsidR="009153FF" w:rsidRDefault="009153FF" w:rsidP="009153FF">
      <w:pPr>
        <w:spacing w:after="0" w:line="240" w:lineRule="auto"/>
        <w:jc w:val="both"/>
        <w:rPr>
          <w:rFonts w:eastAsiaTheme="minorEastAsia" w:cs="Times New Roman"/>
          <w:lang w:eastAsia="pl-PL"/>
        </w:rPr>
      </w:pPr>
    </w:p>
    <w:p w:rsidR="009153FF" w:rsidRDefault="009153FF" w:rsidP="009153FF">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10 lutego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6"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9 lutego 2015 roku do 9 lutego 2016 roku  oraz procentowa zmiana indeksu WIG 20 w tym okresie. </w:t>
      </w:r>
    </w:p>
    <w:p w:rsidR="009153FF" w:rsidRDefault="009153FF" w:rsidP="009153FF">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09.02.2016</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4,00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-11,1 %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-11,1 %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1 790,87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-24,5%</w:t>
            </w:r>
          </w:p>
        </w:tc>
      </w:tr>
    </w:tbl>
    <w:p w:rsidR="009153FF" w:rsidRDefault="009153FF" w:rsidP="009153FF">
      <w:pPr>
        <w:spacing w:after="0" w:line="240" w:lineRule="auto"/>
        <w:jc w:val="both"/>
        <w:rPr>
          <w:rFonts w:eastAsiaTheme="minorEastAsia" w:cs="Times New Roman"/>
          <w:lang w:eastAsia="pl-PL"/>
        </w:rPr>
      </w:pPr>
    </w:p>
    <w:p w:rsidR="009153FF" w:rsidRDefault="009153FF" w:rsidP="009153FF">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3 marca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7"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2 marca 2015 roku do 2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02.03.2016</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14,38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+90,0 %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+90,0 %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1 844,57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-21,8 %</w:t>
            </w:r>
          </w:p>
        </w:tc>
      </w:tr>
    </w:tbl>
    <w:p w:rsidR="009153FF" w:rsidRDefault="009153FF" w:rsidP="009153FF">
      <w:pPr>
        <w:spacing w:after="0" w:line="240" w:lineRule="auto"/>
        <w:jc w:val="both"/>
        <w:rPr>
          <w:rFonts w:eastAsia="Times New Roman" w:cs="Times New Roman"/>
          <w:lang w:eastAsia="pl-PL"/>
        </w:rPr>
      </w:pPr>
      <w:r>
        <w:rPr>
          <w:rFonts w:eastAsia="Times New Roman" w:cs="Times New Roman"/>
          <w:sz w:val="30"/>
          <w:szCs w:val="30"/>
          <w:lang w:eastAsia="pl-PL"/>
        </w:rPr>
        <w:lastRenderedPageBreak/>
        <w:t xml:space="preserve">Tabela: Procentowa zmiana ceny akcji spółki, której akcje zostały umieszczone 9 kwietnia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8"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kwietnia 2015 roku do 8 kwietnia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lang w:eastAsia="pl-PL"/>
              </w:rPr>
            </w:pPr>
            <w:r>
              <w:rPr>
                <w:rFonts w:eastAsiaTheme="minorEastAsia"/>
                <w:lang w:eastAsia="pl-PL"/>
              </w:rPr>
              <w:t>Poziom – 08.04.2016</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Zmiana (w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1,44 zł.</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+15,2 %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9153FF" w:rsidRDefault="009153FF" w:rsidP="007D435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9153FF" w:rsidRDefault="009153FF" w:rsidP="007D435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b/>
                <w:color w:val="FF0000"/>
                <w:lang w:eastAsia="pl-PL"/>
              </w:rPr>
            </w:pPr>
            <w:r>
              <w:rPr>
                <w:rFonts w:eastAsiaTheme="minorEastAsia"/>
                <w:b/>
                <w:color w:val="FF0000"/>
                <w:lang w:eastAsia="pl-PL"/>
              </w:rPr>
              <w:t>+15,2 %</w:t>
            </w:r>
          </w:p>
        </w:tc>
      </w:tr>
      <w:tr w:rsidR="009153FF" w:rsidTr="007D4352">
        <w:tc>
          <w:tcPr>
            <w:tcW w:w="34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1 919,42 pkt.</w:t>
            </w:r>
          </w:p>
        </w:tc>
        <w:tc>
          <w:tcPr>
            <w:tcW w:w="1134" w:type="dxa"/>
            <w:tcBorders>
              <w:top w:val="single" w:sz="4" w:space="0" w:color="auto"/>
              <w:left w:val="single" w:sz="4" w:space="0" w:color="auto"/>
              <w:bottom w:val="single" w:sz="4" w:space="0" w:color="auto"/>
              <w:right w:val="single" w:sz="4" w:space="0" w:color="auto"/>
            </w:tcBorders>
            <w:hideMark/>
          </w:tcPr>
          <w:p w:rsidR="009153FF" w:rsidRDefault="009153FF" w:rsidP="007D4352">
            <w:pPr>
              <w:jc w:val="center"/>
              <w:rPr>
                <w:rFonts w:eastAsiaTheme="minorEastAsia"/>
                <w:lang w:eastAsia="pl-PL"/>
              </w:rPr>
            </w:pPr>
            <w:r>
              <w:rPr>
                <w:rFonts w:eastAsiaTheme="minorEastAsia"/>
                <w:lang w:eastAsia="pl-PL"/>
              </w:rPr>
              <w:t>-20,8 %</w:t>
            </w:r>
          </w:p>
        </w:tc>
      </w:tr>
    </w:tbl>
    <w:p w:rsidR="009153FF" w:rsidRDefault="009153FF" w:rsidP="009153FF">
      <w:pPr>
        <w:spacing w:after="0" w:line="240" w:lineRule="auto"/>
        <w:jc w:val="both"/>
        <w:rPr>
          <w:rFonts w:ascii="Calibri" w:eastAsia="Times New Roman" w:hAnsi="Calibri" w:cs="Times New Roman"/>
          <w:sz w:val="90"/>
          <w:szCs w:val="90"/>
          <w:u w:val="single"/>
          <w:lang w:eastAsia="pl-PL"/>
        </w:rPr>
      </w:pPr>
    </w:p>
    <w:p w:rsidR="009153FF" w:rsidRDefault="009153FF" w:rsidP="009153FF">
      <w:pPr>
        <w:spacing w:after="0" w:line="240" w:lineRule="auto"/>
        <w:jc w:val="both"/>
        <w:rPr>
          <w:rFonts w:ascii="Calibri" w:eastAsia="Times New Roman" w:hAnsi="Calibri" w:cs="Times New Roman"/>
          <w:sz w:val="60"/>
          <w:szCs w:val="60"/>
          <w:u w:val="single"/>
          <w:lang w:eastAsia="pl-PL"/>
        </w:rPr>
      </w:pPr>
      <w:r>
        <w:rPr>
          <w:rFonts w:ascii="Calibri" w:eastAsia="Times New Roman" w:hAnsi="Calibri" w:cs="Times New Roman"/>
          <w:sz w:val="60"/>
          <w:szCs w:val="60"/>
          <w:u w:val="single"/>
          <w:lang w:eastAsia="pl-PL"/>
        </w:rPr>
        <w:t>Wniosek końcowy z powyższych rozważań brzmi następująco:</w:t>
      </w:r>
    </w:p>
    <w:p w:rsidR="009153FF" w:rsidRDefault="009153FF" w:rsidP="009153FF">
      <w:pPr>
        <w:spacing w:after="0" w:line="240" w:lineRule="auto"/>
        <w:jc w:val="both"/>
        <w:rPr>
          <w:rFonts w:ascii="Calibri" w:eastAsia="Times New Roman" w:hAnsi="Calibri" w:cs="Times New Roman"/>
          <w:color w:val="FF0000"/>
          <w:sz w:val="90"/>
          <w:szCs w:val="90"/>
          <w:u w:val="single"/>
          <w:lang w:eastAsia="pl-PL"/>
        </w:rPr>
      </w:pPr>
    </w:p>
    <w:p w:rsidR="009153FF" w:rsidRDefault="009153FF" w:rsidP="009153FF">
      <w:pPr>
        <w:spacing w:after="0" w:line="240" w:lineRule="auto"/>
        <w:jc w:val="both"/>
        <w:rPr>
          <w:rFonts w:ascii="Calibri" w:eastAsia="Times New Roman" w:hAnsi="Calibri" w:cs="Times New Roman"/>
          <w:b/>
          <w:color w:val="000000" w:themeColor="text1"/>
          <w:sz w:val="58"/>
          <w:szCs w:val="58"/>
          <w:u w:val="single"/>
          <w:lang w:eastAsia="pl-PL"/>
        </w:rPr>
      </w:pPr>
      <w:r>
        <w:rPr>
          <w:rFonts w:ascii="Calibri" w:eastAsia="Times New Roman" w:hAnsi="Calibri" w:cs="Times New Roman"/>
          <w:color w:val="000000"/>
          <w:sz w:val="58"/>
          <w:szCs w:val="58"/>
          <w:lang w:eastAsia="pl-PL"/>
        </w:rPr>
        <w:t xml:space="preserve">Średnia procentowa zmiana kursu akcji spółki po wprowadzeniu jej do rubryki </w:t>
      </w:r>
      <w:proofErr w:type="gramStart"/>
      <w:r>
        <w:rPr>
          <w:rFonts w:ascii="Calibri" w:eastAsia="Times New Roman" w:hAnsi="Calibri" w:cs="Times New Roman"/>
          <w:b/>
          <w:color w:val="FF0000"/>
          <w:sz w:val="58"/>
          <w:szCs w:val="58"/>
          <w:lang w:eastAsia="pl-PL"/>
        </w:rPr>
        <w:t>,,</w:t>
      </w:r>
      <w:proofErr w:type="gramEnd"/>
      <w:r>
        <w:rPr>
          <w:rFonts w:ascii="Calibri" w:eastAsia="Times New Roman" w:hAnsi="Calibri" w:cs="Times New Roman"/>
          <w:b/>
          <w:color w:val="FF0000"/>
          <w:sz w:val="58"/>
          <w:szCs w:val="58"/>
          <w:lang w:eastAsia="pl-PL"/>
        </w:rPr>
        <w:t>Wykres do przemyślenia”</w:t>
      </w:r>
      <w:r>
        <w:rPr>
          <w:rFonts w:ascii="Calibri" w:eastAsia="Times New Roman" w:hAnsi="Calibri" w:cs="Times New Roman"/>
          <w:color w:val="000000"/>
          <w:sz w:val="58"/>
          <w:szCs w:val="58"/>
          <w:lang w:eastAsia="pl-PL"/>
        </w:rPr>
        <w:t xml:space="preserve"> w okresie 12 pierwszych miesięcy po jej wprowadzeniu do tej rubryki wynosiła </w:t>
      </w:r>
      <w:r>
        <w:rPr>
          <w:rFonts w:ascii="Calibri" w:eastAsia="Times New Roman" w:hAnsi="Calibri" w:cs="Times New Roman"/>
          <w:b/>
          <w:color w:val="FF0000"/>
          <w:sz w:val="58"/>
          <w:szCs w:val="58"/>
          <w:lang w:eastAsia="pl-PL"/>
        </w:rPr>
        <w:t>plus 14,2 %.</w:t>
      </w:r>
      <w:r>
        <w:rPr>
          <w:rFonts w:ascii="Calibri" w:eastAsia="Times New Roman" w:hAnsi="Calibri" w:cs="Times New Roman"/>
          <w:color w:val="FF0000"/>
          <w:sz w:val="58"/>
          <w:szCs w:val="58"/>
          <w:lang w:eastAsia="pl-PL"/>
        </w:rPr>
        <w:t xml:space="preserve"> </w:t>
      </w:r>
      <w:r>
        <w:rPr>
          <w:rFonts w:ascii="Calibri" w:eastAsia="Times New Roman" w:hAnsi="Calibri" w:cs="Times New Roman"/>
          <w:color w:val="000000" w:themeColor="text1"/>
          <w:sz w:val="58"/>
          <w:szCs w:val="58"/>
          <w:lang w:eastAsia="pl-PL"/>
        </w:rPr>
        <w:t xml:space="preserve">Średnia procentowa zmiana indeksu </w:t>
      </w:r>
      <w:r>
        <w:rPr>
          <w:rFonts w:ascii="Calibri" w:eastAsia="Times New Roman" w:hAnsi="Calibri" w:cs="Times New Roman"/>
          <w:color w:val="000000" w:themeColor="text1"/>
          <w:sz w:val="58"/>
          <w:szCs w:val="58"/>
          <w:u w:val="single"/>
          <w:lang w:eastAsia="pl-PL"/>
        </w:rPr>
        <w:t xml:space="preserve">WIG20 </w:t>
      </w:r>
      <w:r>
        <w:rPr>
          <w:rFonts w:ascii="Calibri" w:eastAsia="Times New Roman" w:hAnsi="Calibri" w:cs="Times New Roman"/>
          <w:color w:val="000000" w:themeColor="text1"/>
          <w:sz w:val="58"/>
          <w:szCs w:val="58"/>
          <w:lang w:eastAsia="pl-PL"/>
        </w:rPr>
        <w:t xml:space="preserve">w tym okresie wynosiła </w:t>
      </w:r>
      <w:r>
        <w:rPr>
          <w:rFonts w:ascii="Calibri" w:eastAsia="Times New Roman" w:hAnsi="Calibri" w:cs="Times New Roman"/>
          <w:b/>
          <w:color w:val="000000" w:themeColor="text1"/>
          <w:sz w:val="58"/>
          <w:szCs w:val="58"/>
          <w:u w:val="single"/>
          <w:lang w:eastAsia="pl-PL"/>
        </w:rPr>
        <w:t xml:space="preserve">minus 17,5 %. </w:t>
      </w:r>
    </w:p>
    <w:p w:rsidR="009153FF" w:rsidRDefault="009153FF" w:rsidP="009153FF">
      <w:pPr>
        <w:spacing w:after="0" w:line="240" w:lineRule="auto"/>
        <w:jc w:val="both"/>
        <w:rPr>
          <w:rFonts w:eastAsiaTheme="minorEastAsia"/>
          <w:color w:val="000000" w:themeColor="text1"/>
          <w:lang w:eastAsia="pl-PL"/>
        </w:rPr>
      </w:pPr>
    </w:p>
    <w:p w:rsidR="009153FF" w:rsidRDefault="009153FF" w:rsidP="009153FF">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9153FF" w:rsidRDefault="009153FF" w:rsidP="009153FF">
      <w:pPr>
        <w:spacing w:after="0" w:line="240" w:lineRule="auto"/>
        <w:jc w:val="both"/>
        <w:rPr>
          <w:rFonts w:eastAsia="Times New Roman" w:cs="Times New Roman"/>
          <w:lang w:eastAsia="pl-PL"/>
        </w:rPr>
      </w:pPr>
    </w:p>
    <w:p w:rsidR="009153FF" w:rsidRDefault="009153FF" w:rsidP="009153FF">
      <w:pPr>
        <w:numPr>
          <w:ilvl w:val="0"/>
          <w:numId w:val="1"/>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9153FF" w:rsidRDefault="009153FF" w:rsidP="009153FF">
      <w:pPr>
        <w:spacing w:after="0" w:line="240" w:lineRule="auto"/>
        <w:contextualSpacing/>
        <w:jc w:val="both"/>
        <w:rPr>
          <w:rFonts w:eastAsia="Times New Roman" w:cs="Times New Roman"/>
          <w:b/>
          <w:color w:val="FF0000"/>
          <w:lang w:eastAsia="pl-PL"/>
        </w:rPr>
      </w:pPr>
    </w:p>
    <w:p w:rsidR="009153FF" w:rsidRDefault="009153FF" w:rsidP="009153FF">
      <w:pPr>
        <w:numPr>
          <w:ilvl w:val="0"/>
          <w:numId w:val="1"/>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lang w:eastAsia="pl-PL"/>
        </w:rPr>
        <w:t>4,5644</w:t>
      </w:r>
      <w:r>
        <w:rPr>
          <w:rFonts w:eastAsia="Times New Roman" w:cs="Times New Roman"/>
          <w:color w:val="FF0000"/>
          <w:lang w:eastAsia="pl-PL"/>
        </w:rPr>
        <w:t xml:space="preserve"> </w:t>
      </w:r>
      <w:r>
        <w:rPr>
          <w:rFonts w:eastAsia="Times New Roman" w:cs="Times New Roman"/>
          <w:lang w:eastAsia="pl-PL"/>
        </w:rPr>
        <w:t>(szczyt z 13 grudnia 2011 roku).</w:t>
      </w:r>
    </w:p>
    <w:p w:rsidR="009153FF" w:rsidRDefault="009153FF" w:rsidP="009153FF">
      <w:pPr>
        <w:spacing w:after="0" w:line="240" w:lineRule="auto"/>
        <w:contextualSpacing/>
        <w:jc w:val="both"/>
        <w:rPr>
          <w:rFonts w:eastAsia="Times New Roman" w:cs="Times New Roman"/>
          <w:color w:val="000000" w:themeColor="text1"/>
          <w:lang w:eastAsia="pl-PL"/>
        </w:rPr>
      </w:pPr>
    </w:p>
    <w:p w:rsidR="009153FF" w:rsidRPr="004930A2" w:rsidRDefault="009153FF" w:rsidP="009153FF">
      <w:pPr>
        <w:numPr>
          <w:ilvl w:val="0"/>
          <w:numId w:val="1"/>
        </w:numPr>
        <w:spacing w:after="0" w:line="240" w:lineRule="auto"/>
        <w:contextualSpacing/>
        <w:jc w:val="both"/>
        <w:rPr>
          <w:rFonts w:eastAsia="Times New Roman" w:cs="Times New Roman"/>
          <w:color w:val="000000" w:themeColor="text1"/>
          <w:lang w:eastAsia="pl-PL"/>
        </w:rPr>
      </w:pPr>
      <w:r w:rsidRPr="004930A2">
        <w:rPr>
          <w:rFonts w:eastAsia="Times New Roman" w:cs="Times New Roman"/>
          <w:color w:val="000000" w:themeColor="text1"/>
          <w:lang w:eastAsia="pl-PL"/>
        </w:rPr>
        <w:t xml:space="preserve">W poprzednim tygodniu doszło do spadku indeksu WIG20 o 2,4 %. Spadek ten był w dużym stopniu prawdopodobnie związany z napływem niepokojących informacji z zagranicy. Amerykański indeks S&amp;P500 </w:t>
      </w:r>
      <w:proofErr w:type="gramStart"/>
      <w:r w:rsidRPr="004930A2">
        <w:rPr>
          <w:rFonts w:eastAsia="Times New Roman" w:cs="Times New Roman"/>
          <w:color w:val="000000" w:themeColor="text1"/>
          <w:lang w:eastAsia="pl-PL"/>
        </w:rPr>
        <w:t>zniżkował bowiem</w:t>
      </w:r>
      <w:proofErr w:type="gramEnd"/>
      <w:r w:rsidRPr="004930A2">
        <w:rPr>
          <w:rFonts w:eastAsia="Times New Roman" w:cs="Times New Roman"/>
          <w:color w:val="000000" w:themeColor="text1"/>
          <w:lang w:eastAsia="pl-PL"/>
        </w:rPr>
        <w:t xml:space="preserve"> o 1,3 %, niemiecki indeks DAX40 o 3,2 % a japoński indeks NIKKEI225 o 4,0 %. Spoglądając na wykres indeksu WIG20 w kontekście sezonowych i psychologicznych coraz bardziej niestety dochodzę do wniosku, że w najbliższych kilku miesiącach możemy być świadkami spadku indeksu WIG20. Przyznam, że wolałbym pisać o szansie na wzrosty, ale niestety wydaje mi się, że ryzyko spadków indeksu WIG20 jest spore. Przede wszystkim warto zauważyć, że </w:t>
      </w:r>
      <w:r w:rsidRPr="009153FF">
        <w:rPr>
          <w:rFonts w:eastAsia="Times New Roman" w:cs="Times New Roman"/>
          <w:b/>
          <w:color w:val="000000" w:themeColor="text1"/>
          <w:lang w:eastAsia="pl-PL"/>
        </w:rPr>
        <w:t xml:space="preserve">na wykresie indeksu WIG20 doszło do wybicia z formacji nietypowego podwójnego </w:t>
      </w:r>
      <w:r w:rsidRPr="009153FF">
        <w:rPr>
          <w:rFonts w:eastAsia="Times New Roman" w:cs="Times New Roman"/>
          <w:b/>
          <w:color w:val="000000" w:themeColor="text1"/>
          <w:lang w:eastAsia="pl-PL"/>
        </w:rPr>
        <w:t>szczytu</w:t>
      </w:r>
      <w:r w:rsidRPr="009153FF">
        <w:rPr>
          <w:rFonts w:eastAsia="Times New Roman" w:cs="Times New Roman"/>
          <w:b/>
          <w:color w:val="000000" w:themeColor="text1"/>
          <w:lang w:eastAsia="pl-PL"/>
        </w:rPr>
        <w:t>.</w:t>
      </w:r>
      <w:r w:rsidRPr="004930A2">
        <w:rPr>
          <w:rFonts w:eastAsia="Times New Roman" w:cs="Times New Roman"/>
          <w:color w:val="000000" w:themeColor="text1"/>
          <w:lang w:eastAsia="pl-PL"/>
        </w:rPr>
        <w:t xml:space="preserve"> Gdyby formacja ta miała się wypełnić indeks WIG20 musiałby niestety jeszcze spaść do poziomu </w:t>
      </w:r>
      <w:r w:rsidRPr="004930A2">
        <w:rPr>
          <w:rFonts w:eastAsia="Times New Roman" w:cs="Times New Roman"/>
          <w:b/>
          <w:color w:val="000000" w:themeColor="text1"/>
          <w:lang w:eastAsia="pl-PL"/>
        </w:rPr>
        <w:t>1576,6 pkt, czyli o 16,9 %.</w:t>
      </w:r>
      <w:r w:rsidRPr="004930A2">
        <w:rPr>
          <w:rFonts w:eastAsia="Times New Roman" w:cs="Times New Roman"/>
          <w:color w:val="000000" w:themeColor="text1"/>
          <w:lang w:eastAsia="pl-PL"/>
        </w:rPr>
        <w:t xml:space="preserve"> 22 lutego 2016 roku opublikowałem listę spółek </w:t>
      </w:r>
      <w:proofErr w:type="gramStart"/>
      <w:r w:rsidRPr="004930A2">
        <w:rPr>
          <w:rFonts w:eastAsia="Times New Roman" w:cs="Times New Roman"/>
          <w:color w:val="000000" w:themeColor="text1"/>
          <w:lang w:eastAsia="pl-PL"/>
        </w:rPr>
        <w:t>,,</w:t>
      </w:r>
      <w:proofErr w:type="gramEnd"/>
      <w:r w:rsidRPr="004930A2">
        <w:rPr>
          <w:rFonts w:eastAsia="Times New Roman" w:cs="Times New Roman"/>
          <w:color w:val="000000" w:themeColor="text1"/>
          <w:lang w:eastAsia="pl-PL"/>
        </w:rPr>
        <w:t xml:space="preserve">atrakcyjnych fundamentalnie”. Do spółek </w:t>
      </w:r>
      <w:proofErr w:type="gramStart"/>
      <w:r w:rsidRPr="004930A2">
        <w:rPr>
          <w:rFonts w:eastAsia="Times New Roman" w:cs="Times New Roman"/>
          <w:color w:val="000000" w:themeColor="text1"/>
          <w:lang w:eastAsia="pl-PL"/>
        </w:rPr>
        <w:t>,,</w:t>
      </w:r>
      <w:proofErr w:type="gramEnd"/>
      <w:r w:rsidRPr="004930A2">
        <w:rPr>
          <w:rFonts w:eastAsia="Times New Roman" w:cs="Times New Roman"/>
          <w:color w:val="000000" w:themeColor="text1"/>
          <w:lang w:eastAsia="pl-PL"/>
        </w:rPr>
        <w:t xml:space="preserve">atrakcyjnych fundamentalnie” zaliczone zostały: </w:t>
      </w:r>
      <w:r w:rsidRPr="004930A2">
        <w:rPr>
          <w:rFonts w:eastAsia="Times New Roman" w:cs="Times New Roman"/>
          <w:b/>
          <w:color w:val="FF0000"/>
          <w:lang w:eastAsia="pl-PL"/>
        </w:rPr>
        <w:t xml:space="preserve">Agora, Ceramika Nowa Gala, </w:t>
      </w:r>
      <w:proofErr w:type="spellStart"/>
      <w:r w:rsidRPr="004930A2">
        <w:rPr>
          <w:rFonts w:eastAsia="Times New Roman" w:cs="Times New Roman"/>
          <w:b/>
          <w:color w:val="FF0000"/>
          <w:lang w:eastAsia="pl-PL"/>
        </w:rPr>
        <w:t>Netmeduia</w:t>
      </w:r>
      <w:proofErr w:type="spellEnd"/>
      <w:r w:rsidRPr="004930A2">
        <w:rPr>
          <w:rFonts w:eastAsia="Times New Roman" w:cs="Times New Roman"/>
          <w:b/>
          <w:color w:val="FF0000"/>
          <w:lang w:eastAsia="pl-PL"/>
        </w:rPr>
        <w:t xml:space="preserve">, Stalprodukt, </w:t>
      </w:r>
      <w:proofErr w:type="spellStart"/>
      <w:r w:rsidRPr="004930A2">
        <w:rPr>
          <w:rFonts w:eastAsia="Times New Roman" w:cs="Times New Roman"/>
          <w:b/>
          <w:color w:val="FF0000"/>
          <w:lang w:eastAsia="pl-PL"/>
        </w:rPr>
        <w:t>Tesgas</w:t>
      </w:r>
      <w:proofErr w:type="spellEnd"/>
      <w:r w:rsidRPr="004930A2">
        <w:rPr>
          <w:rFonts w:eastAsia="Times New Roman" w:cs="Times New Roman"/>
          <w:b/>
          <w:color w:val="FF0000"/>
          <w:lang w:eastAsia="pl-PL"/>
        </w:rPr>
        <w:t xml:space="preserve"> oraz </w:t>
      </w:r>
      <w:proofErr w:type="spellStart"/>
      <w:r w:rsidRPr="004930A2">
        <w:rPr>
          <w:rFonts w:eastAsia="Times New Roman" w:cs="Times New Roman"/>
          <w:b/>
          <w:color w:val="FF0000"/>
          <w:lang w:eastAsia="pl-PL"/>
        </w:rPr>
        <w:t>Unima</w:t>
      </w:r>
      <w:proofErr w:type="spellEnd"/>
      <w:r w:rsidRPr="004930A2">
        <w:rPr>
          <w:rFonts w:eastAsia="Times New Roman" w:cs="Times New Roman"/>
          <w:b/>
          <w:color w:val="FF0000"/>
          <w:lang w:eastAsia="pl-PL"/>
        </w:rPr>
        <w:t xml:space="preserve"> 2000</w:t>
      </w:r>
      <w:r w:rsidRPr="004930A2">
        <w:rPr>
          <w:rFonts w:eastAsia="Times New Roman" w:cs="Times New Roman"/>
          <w:color w:val="000000" w:themeColor="text1"/>
          <w:lang w:eastAsia="pl-PL"/>
        </w:rPr>
        <w:t>.</w:t>
      </w:r>
    </w:p>
    <w:p w:rsidR="009153FF" w:rsidRDefault="009153FF" w:rsidP="009153FF">
      <w:pPr>
        <w:spacing w:after="0" w:line="240" w:lineRule="auto"/>
        <w:ind w:left="720"/>
        <w:contextualSpacing/>
        <w:jc w:val="both"/>
        <w:rPr>
          <w:rFonts w:eastAsia="Times New Roman" w:cs="Times New Roman"/>
          <w:lang w:eastAsia="pl-PL"/>
        </w:rPr>
      </w:pPr>
    </w:p>
    <w:p w:rsidR="009153FF" w:rsidRDefault="009153FF" w:rsidP="009153FF">
      <w:pPr>
        <w:spacing w:after="0" w:line="240" w:lineRule="auto"/>
        <w:jc w:val="both"/>
        <w:rPr>
          <w:rFonts w:eastAsia="Times New Roman" w:cs="Times New Roman"/>
          <w:lang w:eastAsia="pl-PL"/>
        </w:rPr>
      </w:pPr>
      <w:r>
        <w:rPr>
          <w:rFonts w:eastAsia="Times New Roman" w:cs="Times New Roman"/>
          <w:lang w:eastAsia="pl-PL"/>
        </w:rPr>
        <w:t>Opracował: Sławomir Kłusek, 2 maja 2016 roku</w:t>
      </w:r>
    </w:p>
    <w:p w:rsidR="009153FF" w:rsidRDefault="009153FF" w:rsidP="009153FF">
      <w:pPr>
        <w:spacing w:after="0" w:line="240" w:lineRule="auto"/>
        <w:jc w:val="both"/>
        <w:rPr>
          <w:rFonts w:eastAsia="Times New Roman" w:cs="Times New Roman"/>
          <w:lang w:eastAsia="pl-PL"/>
        </w:rPr>
      </w:pPr>
    </w:p>
    <w:p w:rsidR="009153FF" w:rsidRDefault="009153FF" w:rsidP="009153FF">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9153FF" w:rsidRDefault="009153FF" w:rsidP="009153FF">
      <w:pPr>
        <w:spacing w:after="0" w:line="240" w:lineRule="auto"/>
        <w:jc w:val="both"/>
        <w:rPr>
          <w:rFonts w:eastAsia="Times New Roman" w:cs="Times New Roman"/>
          <w:lang w:eastAsia="pl-PL"/>
        </w:rPr>
      </w:pPr>
    </w:p>
    <w:p w:rsidR="009153FF" w:rsidRDefault="009153FF" w:rsidP="009153FF">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29"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9153FF" w:rsidRDefault="009153FF" w:rsidP="009153FF">
      <w:pPr>
        <w:spacing w:after="0" w:line="240" w:lineRule="auto"/>
        <w:jc w:val="both"/>
        <w:rPr>
          <w:rFonts w:eastAsia="Times New Roman" w:cs="Times New Roman"/>
          <w:lang w:eastAsia="pl-PL"/>
        </w:rPr>
      </w:pPr>
    </w:p>
    <w:p w:rsidR="009153FF" w:rsidRDefault="009153FF" w:rsidP="009153FF">
      <w:pPr>
        <w:spacing w:after="0" w:line="240" w:lineRule="auto"/>
        <w:jc w:val="both"/>
        <w:rPr>
          <w:rFonts w:ascii="Calibri" w:eastAsia="Times New Roman" w:hAnsi="Calibri" w:cs="Times New Roman"/>
          <w:b/>
          <w:color w:val="000000" w:themeColor="text1"/>
          <w:sz w:val="58"/>
          <w:szCs w:val="58"/>
          <w:u w:val="single"/>
          <w:lang w:eastAsia="pl-PL"/>
        </w:rPr>
      </w:pPr>
      <w:r>
        <w:rPr>
          <w:rFonts w:eastAsia="Times New Roman" w:cs="Times New Roman"/>
          <w:lang w:eastAsia="pl-PL"/>
        </w:rPr>
        <w:t xml:space="preserve">Autor nie ponosi odpowiedzialności za jakiekolwiek decyzje inwestycyjne podjęte na podstawie treści zawartych na stronie internetowej </w:t>
      </w:r>
      <w:hyperlink r:id="rId30" w:history="1">
        <w:r>
          <w:rPr>
            <w:rStyle w:val="Hipercze"/>
            <w:rFonts w:eastAsia="Times New Roman" w:cs="Times New Roman"/>
            <w:lang w:eastAsia="pl-PL"/>
          </w:rPr>
          <w:t>www.analizy-rynkowe.pl</w:t>
        </w:r>
      </w:hyperlink>
    </w:p>
    <w:p w:rsidR="00B448B3" w:rsidRDefault="00B448B3">
      <w:bookmarkStart w:id="0" w:name="_GoBack"/>
      <w:bookmarkEnd w:id="0"/>
    </w:p>
    <w:sectPr w:rsidR="00B44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yriadPro-Regula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FF"/>
    <w:rsid w:val="009153FF"/>
    <w:rsid w:val="00B44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3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153FF"/>
    <w:pPr>
      <w:spacing w:after="0" w:line="240" w:lineRule="auto"/>
    </w:pPr>
  </w:style>
  <w:style w:type="character" w:styleId="Hipercze">
    <w:name w:val="Hyperlink"/>
    <w:basedOn w:val="Domylnaczcionkaakapitu"/>
    <w:uiPriority w:val="99"/>
    <w:unhideWhenUsed/>
    <w:rsid w:val="009153FF"/>
    <w:rPr>
      <w:color w:val="0000FF" w:themeColor="hyperlink"/>
      <w:u w:val="single"/>
    </w:rPr>
  </w:style>
  <w:style w:type="table" w:styleId="Tabela-Siatka">
    <w:name w:val="Table Grid"/>
    <w:basedOn w:val="Standardowy"/>
    <w:uiPriority w:val="59"/>
    <w:rsid w:val="00915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153FF"/>
    <w:rPr>
      <w:b/>
      <w:bCs/>
    </w:rPr>
  </w:style>
  <w:style w:type="paragraph" w:styleId="Tekstdymka">
    <w:name w:val="Balloon Text"/>
    <w:basedOn w:val="Normalny"/>
    <w:link w:val="TekstdymkaZnak"/>
    <w:uiPriority w:val="99"/>
    <w:semiHidden/>
    <w:unhideWhenUsed/>
    <w:rsid w:val="009153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3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153FF"/>
    <w:pPr>
      <w:spacing w:after="0" w:line="240" w:lineRule="auto"/>
    </w:pPr>
  </w:style>
  <w:style w:type="character" w:styleId="Hipercze">
    <w:name w:val="Hyperlink"/>
    <w:basedOn w:val="Domylnaczcionkaakapitu"/>
    <w:uiPriority w:val="99"/>
    <w:unhideWhenUsed/>
    <w:rsid w:val="009153FF"/>
    <w:rPr>
      <w:color w:val="0000FF" w:themeColor="hyperlink"/>
      <w:u w:val="single"/>
    </w:rPr>
  </w:style>
  <w:style w:type="table" w:styleId="Tabela-Siatka">
    <w:name w:val="Table Grid"/>
    <w:basedOn w:val="Standardowy"/>
    <w:uiPriority w:val="59"/>
    <w:rsid w:val="00915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153FF"/>
    <w:rPr>
      <w:b/>
      <w:bCs/>
    </w:rPr>
  </w:style>
  <w:style w:type="paragraph" w:styleId="Tekstdymka">
    <w:name w:val="Balloon Text"/>
    <w:basedOn w:val="Normalny"/>
    <w:link w:val="TekstdymkaZnak"/>
    <w:uiPriority w:val="99"/>
    <w:semiHidden/>
    <w:unhideWhenUsed/>
    <w:rsid w:val="009153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 Type="http://schemas.microsoft.com/office/2007/relationships/stylesWithEffects" Target="stylesWithEffects.xml"/><Relationship Id="rId21" Type="http://schemas.openxmlformats.org/officeDocument/2006/relationships/hyperlink" Target="http://www.analizy-rynkowe.pl" TargetMode="Externa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hyperlink" Target="http://analizy-rynkowe.pl/" TargetMode="External"/><Relationship Id="rId25"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analizy-rynkowe.pl/od-20-lutego-2015-roku-do-19-lutego-2016-roku-portfel-fundamentalny-zyskal-104-wig-20-w-tym-okresie-spadl-o-216/"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hyperlink" Target="http://www.analizy-rynkowe.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alizy-rynkowe.pl/znaczy-wlasciwie-znaczy-spolka-atrakcyjna-fundamentalnie-proba-refleksji/" TargetMode="External"/><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10" Type="http://schemas.openxmlformats.org/officeDocument/2006/relationships/image" Target="media/image4.gif"/><Relationship Id="rId19" Type="http://schemas.openxmlformats.org/officeDocument/2006/relationships/hyperlink" Target="http://www.analizy-rynkow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alizy-rynkowe.pl/" TargetMode="External"/><Relationship Id="rId14" Type="http://schemas.openxmlformats.org/officeDocument/2006/relationships/hyperlink" Target="http://analizy-rynkowe.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 Id="rId30"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3592</Words>
  <Characters>21555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1</cp:revision>
  <dcterms:created xsi:type="dcterms:W3CDTF">2016-05-01T06:18:00Z</dcterms:created>
  <dcterms:modified xsi:type="dcterms:W3CDTF">2016-05-01T06:26:00Z</dcterms:modified>
</cp:coreProperties>
</file>