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A" w:rsidRPr="00BA2F51" w:rsidRDefault="0021508A" w:rsidP="0021508A">
      <w:pPr>
        <w:pStyle w:val="Bezodstpw"/>
        <w:jc w:val="center"/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F51"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Eksperyment</w:t>
      </w:r>
    </w:p>
    <w:p w:rsidR="0021508A" w:rsidRPr="00BA2F51" w:rsidRDefault="0021508A" w:rsidP="0021508A">
      <w:pPr>
        <w:pStyle w:val="Bezodstpw"/>
        <w:jc w:val="center"/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A2F51"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BA2F51"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efekt przełomu roku” </w:t>
      </w:r>
    </w:p>
    <w:p w:rsidR="0021508A" w:rsidRDefault="0021508A" w:rsidP="0021508A">
      <w:pPr>
        <w:pStyle w:val="Bezodstpw"/>
        <w:jc w:val="center"/>
        <w:rPr>
          <w:sz w:val="48"/>
          <w:szCs w:val="48"/>
        </w:rPr>
      </w:pPr>
    </w:p>
    <w:p w:rsidR="0021508A" w:rsidRPr="00BA2F51" w:rsidRDefault="00F73EF0" w:rsidP="0021508A">
      <w:pPr>
        <w:pStyle w:val="Bezodstpw"/>
        <w:jc w:val="center"/>
        <w:rPr>
          <w:sz w:val="110"/>
          <w:szCs w:val="1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10"/>
          <w:szCs w:val="1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21508A" w:rsidRPr="00BA2F51" w:rsidRDefault="0021508A" w:rsidP="0021508A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08A" w:rsidRPr="00325EBA" w:rsidRDefault="0021508A" w:rsidP="0021508A">
      <w:pPr>
        <w:pStyle w:val="Bezodstpw"/>
        <w:jc w:val="both"/>
        <w:rPr>
          <w:sz w:val="47"/>
          <w:szCs w:val="47"/>
        </w:rPr>
      </w:pPr>
      <w:r w:rsidRPr="00325EBA">
        <w:rPr>
          <w:b/>
          <w:color w:val="FF0000"/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Kluczowe pytanie</w:t>
      </w:r>
      <w:r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czy średnia procentowa zmiana kursów akcji wybranych 11 spółek notowanych na Giełdzie Papierów Wartościowych w Warszawie (i umieszczonych już w rubryce </w:t>
      </w:r>
      <w:proofErr w:type="gramStart"/>
      <w:r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przemyślenia) b</w:t>
      </w:r>
      <w:r w:rsidR="00F73EF0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yła</w:t>
      </w:r>
      <w:r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pomiędzy 30 października 2015 roku a </w:t>
      </w:r>
      <w:r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kwietnia 2016 roku wyższa od procentowej zmiany indeksu WIG20 w tym okresie ?  </w:t>
      </w:r>
      <w:r w:rsidRPr="00325EBA">
        <w:rPr>
          <w:sz w:val="47"/>
          <w:szCs w:val="47"/>
        </w:rPr>
        <w:t xml:space="preserve"> </w:t>
      </w:r>
    </w:p>
    <w:p w:rsidR="0021508A" w:rsidRPr="001A61EC" w:rsidRDefault="0021508A" w:rsidP="0021508A">
      <w:pPr>
        <w:pStyle w:val="Bezodstpw"/>
        <w:jc w:val="both"/>
        <w:rPr>
          <w:b/>
          <w:color w:val="FF0000"/>
          <w:sz w:val="26"/>
          <w:szCs w:val="26"/>
        </w:rPr>
      </w:pPr>
      <w:r w:rsidRPr="001A61EC">
        <w:rPr>
          <w:b/>
          <w:color w:val="FF0000"/>
          <w:sz w:val="26"/>
          <w:szCs w:val="26"/>
        </w:rPr>
        <w:lastRenderedPageBreak/>
        <w:t>Sezonowość na polskim rynku akcji w przypadku indeksu WIG20</w:t>
      </w:r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Pr="00E9620C" w:rsidRDefault="0021508A" w:rsidP="0021508A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Na rynku akcji w wielu krajach świata mamy do czynienia ze zjawiskiem sezonowości. Jednym z jej przejawów jest to, że </w:t>
      </w:r>
      <w:r w:rsidRPr="001A61EC">
        <w:rPr>
          <w:b/>
          <w:sz w:val="26"/>
          <w:szCs w:val="26"/>
        </w:rPr>
        <w:t>zachowanie kursów akcji spółek jest o wiele lepsze</w:t>
      </w:r>
      <w:r w:rsidRPr="00E9620C">
        <w:rPr>
          <w:sz w:val="26"/>
          <w:szCs w:val="26"/>
        </w:rPr>
        <w:t xml:space="preserve"> w okresie </w:t>
      </w:r>
      <w:r w:rsidRPr="001A61EC">
        <w:rPr>
          <w:b/>
          <w:sz w:val="26"/>
          <w:szCs w:val="26"/>
        </w:rPr>
        <w:t>pomiędzy końcem października roku T a końcem kwietnia roku T+1</w:t>
      </w:r>
      <w:r w:rsidRPr="00E9620C">
        <w:rPr>
          <w:sz w:val="26"/>
          <w:szCs w:val="26"/>
        </w:rPr>
        <w:t>, niż pomiędzy końcem kwietnia roku T a końcem października roku T.</w:t>
      </w:r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Pr="00E9620C" w:rsidRDefault="0021508A" w:rsidP="0021508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Jednym z najważniejszych indeksów opisujących sytuację na polskim rynku akcji jest </w:t>
      </w:r>
      <w:r w:rsidRPr="001A61EC">
        <w:rPr>
          <w:b/>
          <w:sz w:val="26"/>
          <w:szCs w:val="26"/>
        </w:rPr>
        <w:t>indeks WIG20</w:t>
      </w:r>
      <w:r>
        <w:rPr>
          <w:sz w:val="26"/>
          <w:szCs w:val="26"/>
        </w:rPr>
        <w:t xml:space="preserve">. Jest to </w:t>
      </w:r>
      <w:r w:rsidRPr="00E9620C">
        <w:rPr>
          <w:sz w:val="26"/>
          <w:szCs w:val="26"/>
        </w:rPr>
        <w:t xml:space="preserve">indeks giełdowy 20 największych spółek akcyjnych notowanych na warszawskiej Giełdzie Papierów Wartościowych. W poniższej tabeli przedstawiłem zachowanie indeksu WIG20 obejmującego 20 dużych spółek, których akcje notowane są na Giełdzie Papierów Wartościowym w Warszawie pomiędzy końcem kwietnia roku T a końcem października roku T w poszczególnych latach okresu 1994-2015. </w:t>
      </w:r>
    </w:p>
    <w:p w:rsidR="0021508A" w:rsidRPr="00E9620C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Pr="00E9620C" w:rsidRDefault="0021508A" w:rsidP="0021508A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Tabela: Procentowa zmiana indeksu </w:t>
      </w:r>
      <w:r>
        <w:rPr>
          <w:sz w:val="26"/>
          <w:szCs w:val="26"/>
        </w:rPr>
        <w:t xml:space="preserve">WIG20 </w:t>
      </w:r>
      <w:r w:rsidRPr="000D20AD">
        <w:rPr>
          <w:b/>
          <w:color w:val="FF0000"/>
          <w:sz w:val="26"/>
          <w:szCs w:val="26"/>
        </w:rPr>
        <w:t xml:space="preserve">pomiędzy końcem kwietnia a końcem października </w:t>
      </w:r>
      <w:r>
        <w:rPr>
          <w:sz w:val="26"/>
          <w:szCs w:val="26"/>
        </w:rPr>
        <w:t>w poszczególnych latach okresu 1994-2015</w:t>
      </w:r>
    </w:p>
    <w:p w:rsidR="0021508A" w:rsidRDefault="0021508A" w:rsidP="0021508A">
      <w:pPr>
        <w:pStyle w:val="Bezodstpw"/>
        <w:jc w:val="both"/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236"/>
        <w:gridCol w:w="2835"/>
      </w:tblGrid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Okres</w:t>
            </w:r>
          </w:p>
        </w:tc>
        <w:tc>
          <w:tcPr>
            <w:tcW w:w="2835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Zmiana indeksu WIG20 w %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1994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-30,3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1995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-6,5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1996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6,4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1997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-5,2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1998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-34,7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1999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-3,4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2000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-23,2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2001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-14,2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2002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-10,7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2003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42,3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2004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3,5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2005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25,8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2006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-2,7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2007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8,0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2008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-37,5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2009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26,5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2010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4,1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2011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-18,6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2012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3,4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2013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9,0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2014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1,0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2015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-18,1</w:t>
            </w:r>
          </w:p>
        </w:tc>
      </w:tr>
      <w:tr w:rsidR="0021508A" w:rsidTr="00634F10">
        <w:tc>
          <w:tcPr>
            <w:tcW w:w="6236" w:type="dxa"/>
          </w:tcPr>
          <w:p w:rsidR="0021508A" w:rsidRPr="008D03BC" w:rsidRDefault="0021508A" w:rsidP="00634F10">
            <w:pPr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Średnio </w:t>
            </w:r>
          </w:p>
        </w:tc>
        <w:tc>
          <w:tcPr>
            <w:tcW w:w="2835" w:type="dxa"/>
          </w:tcPr>
          <w:p w:rsidR="0021508A" w:rsidRPr="008D03BC" w:rsidRDefault="0021508A" w:rsidP="00634F10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 -3,4</w:t>
            </w:r>
          </w:p>
        </w:tc>
      </w:tr>
    </w:tbl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Pr="00E9620C" w:rsidRDefault="0021508A" w:rsidP="0021508A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lastRenderedPageBreak/>
        <w:t xml:space="preserve">W </w:t>
      </w:r>
      <w:r>
        <w:rPr>
          <w:sz w:val="26"/>
          <w:szCs w:val="26"/>
        </w:rPr>
        <w:t xml:space="preserve">kolejnej </w:t>
      </w:r>
      <w:r w:rsidRPr="00E9620C">
        <w:rPr>
          <w:sz w:val="26"/>
          <w:szCs w:val="26"/>
        </w:rPr>
        <w:t xml:space="preserve">tabeli przedstawiłem zachowanie indeksu WIG20 obejmującego 20 dużych spółek, których akcje notowane są na Giełdzie Papierów Wartościowym w Warszawie pomiędzy końcem </w:t>
      </w:r>
      <w:r>
        <w:rPr>
          <w:sz w:val="26"/>
          <w:szCs w:val="26"/>
        </w:rPr>
        <w:t xml:space="preserve">października </w:t>
      </w:r>
      <w:r w:rsidRPr="00E9620C">
        <w:rPr>
          <w:sz w:val="26"/>
          <w:szCs w:val="26"/>
        </w:rPr>
        <w:t xml:space="preserve">roku T a końcem </w:t>
      </w:r>
      <w:r>
        <w:rPr>
          <w:sz w:val="26"/>
          <w:szCs w:val="26"/>
        </w:rPr>
        <w:t xml:space="preserve">kwietnia </w:t>
      </w:r>
      <w:r w:rsidRPr="00E9620C">
        <w:rPr>
          <w:sz w:val="26"/>
          <w:szCs w:val="26"/>
        </w:rPr>
        <w:t>roku T</w:t>
      </w:r>
      <w:r>
        <w:rPr>
          <w:sz w:val="26"/>
          <w:szCs w:val="26"/>
        </w:rPr>
        <w:t>+1</w:t>
      </w:r>
      <w:r w:rsidRPr="00E9620C">
        <w:rPr>
          <w:sz w:val="26"/>
          <w:szCs w:val="26"/>
        </w:rPr>
        <w:t xml:space="preserve"> w poszczególnych latach okresu 1994-2015. </w:t>
      </w:r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Pr="00E9620C" w:rsidRDefault="0021508A" w:rsidP="0021508A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Tabela: Procentowa zmiana indeksu </w:t>
      </w:r>
      <w:r>
        <w:rPr>
          <w:sz w:val="26"/>
          <w:szCs w:val="26"/>
        </w:rPr>
        <w:t xml:space="preserve">WIG20 </w:t>
      </w:r>
      <w:r w:rsidRPr="003A4E51">
        <w:rPr>
          <w:b/>
          <w:color w:val="FF0000"/>
          <w:sz w:val="26"/>
          <w:szCs w:val="26"/>
        </w:rPr>
        <w:t>pomiędzy końcem października danego roku o końcem kwietnia roku następnego</w:t>
      </w:r>
      <w:r w:rsidRPr="003A4E51">
        <w:rPr>
          <w:color w:val="FF0000"/>
          <w:sz w:val="26"/>
          <w:szCs w:val="26"/>
        </w:rPr>
        <w:t xml:space="preserve"> </w:t>
      </w:r>
      <w:r w:rsidRPr="00173CCF">
        <w:rPr>
          <w:color w:val="000000" w:themeColor="text1"/>
          <w:sz w:val="26"/>
          <w:szCs w:val="26"/>
        </w:rPr>
        <w:t xml:space="preserve">w okresie </w:t>
      </w:r>
      <w:r>
        <w:rPr>
          <w:sz w:val="26"/>
          <w:szCs w:val="26"/>
        </w:rPr>
        <w:t>1994-2015</w:t>
      </w:r>
    </w:p>
    <w:p w:rsidR="0021508A" w:rsidRDefault="0021508A" w:rsidP="0021508A">
      <w:pPr>
        <w:pStyle w:val="Bezodstpw"/>
        <w:jc w:val="both"/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236"/>
        <w:gridCol w:w="2835"/>
      </w:tblGrid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Okres</w:t>
            </w:r>
          </w:p>
        </w:tc>
        <w:tc>
          <w:tcPr>
            <w:tcW w:w="2835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Zmiana indeksu WIG20 w %</w:t>
            </w:r>
          </w:p>
        </w:tc>
      </w:tr>
      <w:tr w:rsidR="0021508A" w:rsidTr="00634F10">
        <w:tc>
          <w:tcPr>
            <w:tcW w:w="6236" w:type="dxa"/>
          </w:tcPr>
          <w:p w:rsidR="0021508A" w:rsidRPr="008D5D86" w:rsidRDefault="0021508A" w:rsidP="00634F10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października 1994 roku</w:t>
            </w:r>
            <w:r>
              <w:rPr>
                <w:sz w:val="23"/>
                <w:szCs w:val="23"/>
              </w:rPr>
              <w:t xml:space="preserve"> do końca kwietnia 1995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11,7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5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6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62,9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6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7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17,8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7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8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21,4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8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9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20,7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9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2000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43,0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2000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2001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-8,1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2001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2002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6,9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2002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2003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-5,8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2003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2004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11,1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2004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2005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2005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2006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36,5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2006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2007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15,6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2007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2008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-24,6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2008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2009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-1,5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2009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2010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12,0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2010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2011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9,9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2011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2012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-5,5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2012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2013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0,1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2013</w:t>
            </w:r>
            <w:r w:rsidRPr="00280E8D">
              <w:rPr>
                <w:sz w:val="23"/>
                <w:szCs w:val="23"/>
              </w:rPr>
              <w:t xml:space="preserve"> roku do końca kwietnia</w:t>
            </w:r>
            <w:r>
              <w:rPr>
                <w:sz w:val="23"/>
                <w:szCs w:val="23"/>
              </w:rPr>
              <w:t xml:space="preserve"> 2014 </w:t>
            </w:r>
            <w:r w:rsidRPr="00280E8D">
              <w:rPr>
                <w:sz w:val="23"/>
                <w:szCs w:val="23"/>
              </w:rPr>
              <w:t>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-3,6</w:t>
            </w:r>
          </w:p>
        </w:tc>
      </w:tr>
      <w:tr w:rsidR="0021508A" w:rsidTr="00634F10">
        <w:tc>
          <w:tcPr>
            <w:tcW w:w="6236" w:type="dxa"/>
          </w:tcPr>
          <w:p w:rsidR="0021508A" w:rsidRDefault="0021508A" w:rsidP="00634F10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2014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 xml:space="preserve">2015 </w:t>
            </w:r>
            <w:r w:rsidRPr="00280E8D">
              <w:rPr>
                <w:sz w:val="23"/>
                <w:szCs w:val="23"/>
              </w:rPr>
              <w:t>roku</w:t>
            </w:r>
          </w:p>
        </w:tc>
        <w:tc>
          <w:tcPr>
            <w:tcW w:w="2835" w:type="dxa"/>
          </w:tcPr>
          <w:p w:rsidR="0021508A" w:rsidRPr="00C91EF3" w:rsidRDefault="0021508A" w:rsidP="00634F10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2,1</w:t>
            </w:r>
          </w:p>
        </w:tc>
      </w:tr>
      <w:tr w:rsidR="0021508A" w:rsidTr="00634F10">
        <w:tc>
          <w:tcPr>
            <w:tcW w:w="6236" w:type="dxa"/>
          </w:tcPr>
          <w:p w:rsidR="0021508A" w:rsidRPr="008D03BC" w:rsidRDefault="0021508A" w:rsidP="00634F10">
            <w:pPr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Średnio </w:t>
            </w:r>
          </w:p>
        </w:tc>
        <w:tc>
          <w:tcPr>
            <w:tcW w:w="2835" w:type="dxa"/>
          </w:tcPr>
          <w:p w:rsidR="0021508A" w:rsidRPr="008D03BC" w:rsidRDefault="0021508A" w:rsidP="00634F10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10,7</w:t>
            </w:r>
          </w:p>
        </w:tc>
      </w:tr>
    </w:tbl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pierwszej tabeli wynika, że okres pomiędzy końcem kwietnia a końcem października 2015 roku był dla posiadaczy polskich akcji największych spółek bardzo slaby. WIG20 spadł o 18,1 %. Ze statystycznego punktu widzenia dla posiadaczy polskich akcji największych spółek teraz rozpoczyna się okres </w:t>
      </w:r>
      <w:proofErr w:type="spellStart"/>
      <w:r>
        <w:rPr>
          <w:sz w:val="26"/>
          <w:szCs w:val="26"/>
        </w:rPr>
        <w:t>okres</w:t>
      </w:r>
      <w:proofErr w:type="spellEnd"/>
      <w:r>
        <w:rPr>
          <w:sz w:val="26"/>
          <w:szCs w:val="26"/>
        </w:rPr>
        <w:t xml:space="preserve"> lepszy. </w:t>
      </w:r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Pr="00521600" w:rsidRDefault="0021508A" w:rsidP="0021508A">
      <w:pPr>
        <w:pStyle w:val="Bezodstpw"/>
        <w:jc w:val="both"/>
        <w:rPr>
          <w:b/>
          <w:color w:val="FF0000"/>
          <w:sz w:val="26"/>
          <w:szCs w:val="26"/>
        </w:rPr>
      </w:pPr>
      <w:r w:rsidRPr="00521600">
        <w:rPr>
          <w:b/>
          <w:color w:val="FF0000"/>
          <w:sz w:val="26"/>
          <w:szCs w:val="26"/>
        </w:rPr>
        <w:t xml:space="preserve">Po co przeprowadzam </w:t>
      </w:r>
      <w:proofErr w:type="gramStart"/>
      <w:r w:rsidRPr="00521600">
        <w:rPr>
          <w:b/>
          <w:color w:val="FF0000"/>
          <w:sz w:val="26"/>
          <w:szCs w:val="26"/>
        </w:rPr>
        <w:t>eksperymenty ?</w:t>
      </w:r>
      <w:proofErr w:type="gramEnd"/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Pr="00521600" w:rsidRDefault="0021508A" w:rsidP="0021508A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Prowadząc stronę internetową </w:t>
      </w:r>
      <w:hyperlink r:id="rId6" w:history="1">
        <w:r w:rsidRPr="007774D3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przeprowadzam rożne eksperymenty. Może powstać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po co właściwie przeprowadzam te eksperymenty ? </w:t>
      </w:r>
      <w:proofErr w:type="gramStart"/>
      <w:r>
        <w:rPr>
          <w:sz w:val="26"/>
          <w:szCs w:val="26"/>
        </w:rPr>
        <w:t>m</w:t>
      </w:r>
      <w:r w:rsidRPr="00521600">
        <w:rPr>
          <w:sz w:val="26"/>
          <w:szCs w:val="26"/>
        </w:rPr>
        <w:t xml:space="preserve">ówiąc wprost, </w:t>
      </w:r>
      <w:r w:rsidRPr="00521600">
        <w:rPr>
          <w:b/>
          <w:sz w:val="26"/>
          <w:szCs w:val="26"/>
        </w:rPr>
        <w:t>aby</w:t>
      </w:r>
      <w:proofErr w:type="gramEnd"/>
      <w:r w:rsidRPr="00521600">
        <w:rPr>
          <w:b/>
          <w:sz w:val="26"/>
          <w:szCs w:val="26"/>
        </w:rPr>
        <w:t xml:space="preserve"> skonfrontować teorię z praktyką.</w:t>
      </w:r>
      <w:r w:rsidRPr="00521600">
        <w:rPr>
          <w:sz w:val="26"/>
          <w:szCs w:val="26"/>
        </w:rPr>
        <w:t xml:space="preserve"> </w:t>
      </w:r>
    </w:p>
    <w:p w:rsidR="0021508A" w:rsidRPr="00521600" w:rsidRDefault="0021508A" w:rsidP="0021508A">
      <w:pPr>
        <w:pStyle w:val="Bezodstpw"/>
        <w:jc w:val="both"/>
        <w:rPr>
          <w:sz w:val="26"/>
          <w:szCs w:val="26"/>
        </w:rPr>
      </w:pPr>
      <w:r w:rsidRPr="00521600">
        <w:rPr>
          <w:sz w:val="26"/>
          <w:szCs w:val="26"/>
        </w:rPr>
        <w:lastRenderedPageBreak/>
        <w:t xml:space="preserve">Na podstawie pewnej zdobytej wiedzy (w tym tej z literatury) stawiam pewną hipotezę, która sprowadza się mówiąc ogólnie do tego, że stawiam pewną prognozę typu </w:t>
      </w:r>
      <w:proofErr w:type="gramStart"/>
      <w:r w:rsidRPr="00521600">
        <w:rPr>
          <w:sz w:val="26"/>
          <w:szCs w:val="26"/>
        </w:rPr>
        <w:t>,,</w:t>
      </w:r>
      <w:proofErr w:type="gramEnd"/>
      <w:r w:rsidRPr="00521600">
        <w:rPr>
          <w:sz w:val="26"/>
          <w:szCs w:val="26"/>
        </w:rPr>
        <w:t xml:space="preserve">przewiduję, że średnia procentowa zmiana kursów akcji spółek z danej grupy (stworzonej na podstawie wiedzy teoretycznej) powinna być wyższa niż pewien punkt odniesienia (na przykład procentowa zmiana indeksu WIG20) w określonym okresie”. </w:t>
      </w:r>
    </w:p>
    <w:p w:rsidR="0021508A" w:rsidRPr="00521600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  <w:r w:rsidRPr="00521600">
        <w:rPr>
          <w:sz w:val="26"/>
          <w:szCs w:val="26"/>
        </w:rPr>
        <w:t xml:space="preserve">Potem monitoruje przebieg eksperymentu, publikuję sprawozdania z jego przebiegu. Dzięki temu (niejako na oczach moich Czytelników) </w:t>
      </w:r>
      <w:r w:rsidRPr="00521600">
        <w:rPr>
          <w:b/>
          <w:sz w:val="26"/>
          <w:szCs w:val="26"/>
        </w:rPr>
        <w:t xml:space="preserve">poddaje się pewnej </w:t>
      </w:r>
      <w:proofErr w:type="gramStart"/>
      <w:r w:rsidRPr="00521600">
        <w:rPr>
          <w:b/>
          <w:sz w:val="26"/>
          <w:szCs w:val="26"/>
        </w:rPr>
        <w:t>weryfikacji jako</w:t>
      </w:r>
      <w:proofErr w:type="gramEnd"/>
      <w:r w:rsidRPr="00521600">
        <w:rPr>
          <w:b/>
          <w:sz w:val="26"/>
          <w:szCs w:val="26"/>
        </w:rPr>
        <w:t xml:space="preserve"> analityk</w:t>
      </w:r>
      <w:r w:rsidRPr="0052160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21600">
        <w:rPr>
          <w:sz w:val="26"/>
          <w:szCs w:val="26"/>
        </w:rPr>
        <w:t>Czytelnicy mogą się przekonać czy postawiona na początku eksperymentu hipoteza sprawdziła się, czy też nie…</w:t>
      </w:r>
      <w:r w:rsidRPr="00521600">
        <w:rPr>
          <w:b/>
          <w:sz w:val="26"/>
          <w:szCs w:val="26"/>
        </w:rPr>
        <w:t>Być może dzięki temu zachęcę inne osoby do przeprowadzania podobnych eksperymentów.</w:t>
      </w:r>
      <w:r>
        <w:rPr>
          <w:sz w:val="26"/>
          <w:szCs w:val="26"/>
        </w:rPr>
        <w:t xml:space="preserve"> </w:t>
      </w:r>
    </w:p>
    <w:p w:rsidR="0021508A" w:rsidRDefault="0021508A" w:rsidP="0021508A">
      <w:pPr>
        <w:pStyle w:val="Bezodstpw"/>
        <w:jc w:val="both"/>
        <w:rPr>
          <w:sz w:val="26"/>
          <w:szCs w:val="26"/>
        </w:rPr>
      </w:pPr>
    </w:p>
    <w:p w:rsidR="0021508A" w:rsidRDefault="0021508A" w:rsidP="0021508A">
      <w:pPr>
        <w:pStyle w:val="Bezodstpw"/>
        <w:jc w:val="both"/>
        <w:rPr>
          <w:b/>
          <w:color w:val="FF0000"/>
          <w:sz w:val="26"/>
          <w:szCs w:val="26"/>
        </w:rPr>
      </w:pPr>
      <w:r w:rsidRPr="00521600">
        <w:rPr>
          <w:b/>
          <w:color w:val="FF0000"/>
          <w:sz w:val="26"/>
          <w:szCs w:val="26"/>
        </w:rPr>
        <w:t xml:space="preserve">Rubryka </w:t>
      </w:r>
      <w:proofErr w:type="gramStart"/>
      <w:r w:rsidRPr="00521600">
        <w:rPr>
          <w:b/>
          <w:color w:val="FF0000"/>
          <w:sz w:val="26"/>
          <w:szCs w:val="26"/>
        </w:rPr>
        <w:t>,,</w:t>
      </w:r>
      <w:proofErr w:type="gramEnd"/>
      <w:r w:rsidRPr="00521600">
        <w:rPr>
          <w:b/>
          <w:color w:val="FF0000"/>
          <w:sz w:val="26"/>
          <w:szCs w:val="26"/>
        </w:rPr>
        <w:t xml:space="preserve">Wykres do przemyślenia” </w:t>
      </w:r>
    </w:p>
    <w:p w:rsidR="0021508A" w:rsidRDefault="0021508A" w:rsidP="0021508A">
      <w:pPr>
        <w:pStyle w:val="Bezodstpw"/>
        <w:jc w:val="both"/>
        <w:rPr>
          <w:b/>
          <w:color w:val="FF0000"/>
          <w:sz w:val="26"/>
          <w:szCs w:val="26"/>
        </w:rPr>
      </w:pP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Strona internetowa </w:t>
      </w:r>
      <w:hyperlink r:id="rId7" w:history="1">
        <w:r w:rsidRPr="007774D3">
          <w:rPr>
            <w:rStyle w:val="Hipercze"/>
            <w:sz w:val="26"/>
            <w:szCs w:val="26"/>
          </w:rPr>
          <w:t>http://analizy-rynkowe.pl/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521600">
        <w:rPr>
          <w:color w:val="000000" w:themeColor="text1"/>
          <w:sz w:val="26"/>
          <w:szCs w:val="26"/>
        </w:rPr>
        <w:t xml:space="preserve">prowadzona jest od września 2014 roku. Co tydzień publikowany jest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Raport Tygodniowy”</w:t>
      </w:r>
      <w:r>
        <w:rPr>
          <w:color w:val="000000" w:themeColor="text1"/>
          <w:sz w:val="26"/>
          <w:szCs w:val="26"/>
        </w:rPr>
        <w:t>. O</w:t>
      </w:r>
      <w:r w:rsidRPr="00521600">
        <w:rPr>
          <w:color w:val="000000" w:themeColor="text1"/>
          <w:sz w:val="26"/>
          <w:szCs w:val="26"/>
        </w:rPr>
        <w:t xml:space="preserve">d czasu do czasu umieszczam wybrane spółki w rubryce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Wykres do przemyślenia”. </w:t>
      </w: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Umieszczane są tam te przykładowe spółki, których kurs wybił się z formacji podwójnego dna. Formacja podwójnego dna ma 2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zadania”. Podstawowym, minimalnym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zadaniem” te</w:t>
      </w:r>
      <w:r>
        <w:rPr>
          <w:color w:val="000000" w:themeColor="text1"/>
          <w:sz w:val="26"/>
          <w:szCs w:val="26"/>
        </w:rPr>
        <w:t xml:space="preserve">j formacji jest jej wypełnienie. </w:t>
      </w:r>
      <w:r w:rsidRPr="00521600">
        <w:rPr>
          <w:color w:val="000000" w:themeColor="text1"/>
          <w:sz w:val="26"/>
          <w:szCs w:val="26"/>
        </w:rPr>
        <w:t xml:space="preserve">Drugim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zadaniem” tej formacji jest doprowadzenie do zmiany trendu ze spadkowego na wzrostowy. </w:t>
      </w: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Osobiście wyróżniam </w:t>
      </w:r>
      <w:r w:rsidRPr="00173CCF">
        <w:rPr>
          <w:b/>
          <w:color w:val="000000" w:themeColor="text1"/>
          <w:sz w:val="26"/>
          <w:szCs w:val="26"/>
        </w:rPr>
        <w:t>typowe oraz nietypowe podwójne dno</w:t>
      </w:r>
      <w:r w:rsidRPr="00521600">
        <w:rPr>
          <w:color w:val="000000" w:themeColor="text1"/>
          <w:sz w:val="26"/>
          <w:szCs w:val="26"/>
        </w:rPr>
        <w:t>. Typowa formacja podwójnego dna charakteryzuje się tym, że dołki w formacji kształtują się na poziomie identycznym, bądź prawie identycznym. Natomiast w przypadku nietypowej formacji podwójnego dna kształtują się one na poziomie zupełnie odmiennym.</w:t>
      </w: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Od pierwszego numeru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Raportu Tygodniowego” postanowiłem, że będę porównywał zachowanie kursu akcji spółki po wprowadzeniu jej do rubryki ,,Wykres do przemyślenia” z zachowaniem indeksu WIG20.</w:t>
      </w:r>
    </w:p>
    <w:p w:rsidR="0021508A" w:rsidRPr="00521600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Default="0021508A" w:rsidP="0021508A">
      <w:pPr>
        <w:pStyle w:val="Bezodstpw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Według stanu na 30 października 2015 </w:t>
      </w:r>
      <w:r w:rsidRPr="00825251">
        <w:rPr>
          <w:b/>
          <w:color w:val="000000" w:themeColor="text1"/>
          <w:sz w:val="26"/>
          <w:szCs w:val="26"/>
        </w:rPr>
        <w:t>roku średnia procentowa zmiana kursu akcji</w:t>
      </w:r>
      <w:r w:rsidRPr="00825251">
        <w:rPr>
          <w:color w:val="000000" w:themeColor="text1"/>
          <w:sz w:val="26"/>
          <w:szCs w:val="26"/>
        </w:rPr>
        <w:t xml:space="preserve"> spółki po wprowadzeniu jej do rubryki </w:t>
      </w:r>
      <w:proofErr w:type="gramStart"/>
      <w:r w:rsidRPr="00825251">
        <w:rPr>
          <w:color w:val="000000" w:themeColor="text1"/>
          <w:sz w:val="26"/>
          <w:szCs w:val="26"/>
        </w:rPr>
        <w:t>,,</w:t>
      </w:r>
      <w:proofErr w:type="gramEnd"/>
      <w:r w:rsidRPr="00825251">
        <w:rPr>
          <w:color w:val="000000" w:themeColor="text1"/>
          <w:sz w:val="26"/>
          <w:szCs w:val="26"/>
        </w:rPr>
        <w:t xml:space="preserve">Wykres do przemyślenia” </w:t>
      </w:r>
      <w:r w:rsidRPr="00825251">
        <w:rPr>
          <w:b/>
          <w:color w:val="000000" w:themeColor="text1"/>
          <w:sz w:val="26"/>
          <w:szCs w:val="26"/>
        </w:rPr>
        <w:t>w okresie 12</w:t>
      </w:r>
      <w:r w:rsidRPr="00825251">
        <w:rPr>
          <w:color w:val="000000" w:themeColor="text1"/>
          <w:sz w:val="26"/>
          <w:szCs w:val="26"/>
        </w:rPr>
        <w:t xml:space="preserve"> pierwszych miesięcy po jej wprowadzeniu do tej rubryki wynosiła </w:t>
      </w:r>
      <w:r w:rsidRPr="00825251">
        <w:rPr>
          <w:b/>
          <w:color w:val="000000" w:themeColor="text1"/>
          <w:sz w:val="26"/>
          <w:szCs w:val="26"/>
        </w:rPr>
        <w:t>plus 17,5 %.</w:t>
      </w:r>
      <w:r w:rsidRPr="00825251">
        <w:rPr>
          <w:color w:val="000000" w:themeColor="text1"/>
          <w:sz w:val="26"/>
          <w:szCs w:val="26"/>
        </w:rPr>
        <w:t xml:space="preserve"> Średnia procentowa zmiana indeksu WIG20 w tym okresie wynosiła </w:t>
      </w:r>
      <w:r w:rsidRPr="00825251">
        <w:rPr>
          <w:b/>
          <w:color w:val="000000" w:themeColor="text1"/>
          <w:sz w:val="26"/>
          <w:szCs w:val="26"/>
        </w:rPr>
        <w:t>minus 14,4 %</w:t>
      </w:r>
      <w:r>
        <w:rPr>
          <w:b/>
          <w:color w:val="000000" w:themeColor="text1"/>
          <w:sz w:val="26"/>
          <w:szCs w:val="26"/>
        </w:rPr>
        <w:t>.</w:t>
      </w:r>
    </w:p>
    <w:p w:rsidR="0021508A" w:rsidRDefault="0021508A" w:rsidP="0021508A">
      <w:pPr>
        <w:pStyle w:val="Bezodstpw"/>
        <w:jc w:val="both"/>
        <w:rPr>
          <w:b/>
          <w:color w:val="000000" w:themeColor="text1"/>
          <w:sz w:val="26"/>
          <w:szCs w:val="26"/>
        </w:rPr>
      </w:pPr>
    </w:p>
    <w:p w:rsidR="0021508A" w:rsidRPr="00173CCF" w:rsidRDefault="0021508A" w:rsidP="0021508A">
      <w:pPr>
        <w:pStyle w:val="Bezodstpw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Powyższe zestawienie może skłaniać do szeregu refleksji. Z jednej strony procentowa zmiana rzędu 17,5 % w okresie 12 miesięcy nie wydaje się być bardzo wysoka. Zdarzało się po 12 miesiącach od momentu umieszczenia spółki w rubryce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kurs akcji danej spółki spadł. Z drugiej jednak strony </w:t>
      </w:r>
      <w:r w:rsidRPr="00173CCF">
        <w:rPr>
          <w:b/>
          <w:color w:val="000000" w:themeColor="text1"/>
          <w:sz w:val="26"/>
          <w:szCs w:val="26"/>
        </w:rPr>
        <w:t xml:space="preserve">różnica </w:t>
      </w:r>
      <w:r>
        <w:rPr>
          <w:color w:val="000000" w:themeColor="text1"/>
          <w:sz w:val="26"/>
          <w:szCs w:val="26"/>
        </w:rPr>
        <w:t xml:space="preserve">pomiędzy średnią procentową zmianą kursu akcji w okresie rocznym (plus 17,5 %) a średnią procentową zmianą indeksu WIG20 w tym samym okresie (14,4 %) jest wedle mojej opinii bardzo wysoka, gdyż </w:t>
      </w:r>
      <w:r w:rsidRPr="00173CCF">
        <w:rPr>
          <w:b/>
          <w:color w:val="000000" w:themeColor="text1"/>
          <w:sz w:val="26"/>
          <w:szCs w:val="26"/>
        </w:rPr>
        <w:t>wynosi 31,9 punktu procentowego.</w:t>
      </w:r>
    </w:p>
    <w:p w:rsidR="0021508A" w:rsidRPr="00C15F9E" w:rsidRDefault="0021508A" w:rsidP="0021508A">
      <w:pPr>
        <w:pStyle w:val="Bezodstpw"/>
        <w:jc w:val="both"/>
        <w:rPr>
          <w:b/>
          <w:color w:val="FF0000"/>
          <w:sz w:val="26"/>
          <w:szCs w:val="26"/>
        </w:rPr>
      </w:pPr>
      <w:r w:rsidRPr="00C15F9E">
        <w:rPr>
          <w:b/>
          <w:color w:val="FF0000"/>
          <w:sz w:val="26"/>
          <w:szCs w:val="26"/>
        </w:rPr>
        <w:lastRenderedPageBreak/>
        <w:t xml:space="preserve">Założenia eksperymentu </w:t>
      </w:r>
      <w:proofErr w:type="gramStart"/>
      <w:r w:rsidRPr="00C15F9E">
        <w:rPr>
          <w:b/>
          <w:color w:val="FF0000"/>
          <w:sz w:val="26"/>
          <w:szCs w:val="26"/>
        </w:rPr>
        <w:t>,,</w:t>
      </w:r>
      <w:proofErr w:type="gramEnd"/>
      <w:r w:rsidRPr="00C15F9E">
        <w:rPr>
          <w:b/>
          <w:color w:val="FF0000"/>
          <w:sz w:val="26"/>
          <w:szCs w:val="26"/>
        </w:rPr>
        <w:t xml:space="preserve">efekt przełomu roku” </w:t>
      </w:r>
    </w:p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Biorąc pod uwagę powyższe informację postanowiłem przeprowadzić kolejny eksperyment. Nazwałem go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eksperymentem przełomu roku”. Postanowiłem wytypować 11 ostatnio wprowadzonych spółek do rubryki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i sprawdzić jak zachowają się kursy akcji tych spółek w okresie pomiędzy 30 października 2015 roku a 29 kwietnia 2016 roku. </w:t>
      </w:r>
    </w:p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 eksperymencie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efekt przełomu roku” </w:t>
      </w:r>
      <w:r w:rsidR="00F73EF0">
        <w:rPr>
          <w:color w:val="000000" w:themeColor="text1"/>
          <w:sz w:val="26"/>
          <w:szCs w:val="26"/>
        </w:rPr>
        <w:t xml:space="preserve">wzięła </w:t>
      </w:r>
      <w:r>
        <w:rPr>
          <w:color w:val="000000" w:themeColor="text1"/>
          <w:sz w:val="26"/>
          <w:szCs w:val="26"/>
        </w:rPr>
        <w:t>więc udział grupa 11 następujących spółek:</w:t>
      </w:r>
    </w:p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508A" w:rsidTr="00634F10">
        <w:tc>
          <w:tcPr>
            <w:tcW w:w="4606" w:type="dxa"/>
          </w:tcPr>
          <w:p w:rsidR="0021508A" w:rsidRPr="00A70DD0" w:rsidRDefault="0021508A" w:rsidP="00634F10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 w:rsidRPr="00A70DD0">
              <w:rPr>
                <w:color w:val="000000" w:themeColor="text1"/>
                <w:sz w:val="30"/>
                <w:szCs w:val="30"/>
              </w:rPr>
              <w:t>Nazwa</w:t>
            </w:r>
          </w:p>
          <w:p w:rsidR="0021508A" w:rsidRPr="00A70DD0" w:rsidRDefault="0021508A" w:rsidP="00634F10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70DD0">
              <w:rPr>
                <w:color w:val="000000" w:themeColor="text1"/>
                <w:sz w:val="30"/>
                <w:szCs w:val="30"/>
              </w:rPr>
              <w:t>spółki</w:t>
            </w:r>
            <w:proofErr w:type="gramEnd"/>
          </w:p>
        </w:tc>
        <w:tc>
          <w:tcPr>
            <w:tcW w:w="4606" w:type="dxa"/>
          </w:tcPr>
          <w:p w:rsidR="0021508A" w:rsidRPr="00A70DD0" w:rsidRDefault="0021508A" w:rsidP="00634F10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 w:rsidRPr="00A70DD0">
              <w:rPr>
                <w:color w:val="000000" w:themeColor="text1"/>
                <w:sz w:val="30"/>
                <w:szCs w:val="30"/>
              </w:rPr>
              <w:t xml:space="preserve">Data wprowadzenia spółki do rubryki </w:t>
            </w:r>
            <w:proofErr w:type="gramStart"/>
            <w:r w:rsidRPr="00A70DD0">
              <w:rPr>
                <w:color w:val="000000" w:themeColor="text1"/>
                <w:sz w:val="30"/>
                <w:szCs w:val="30"/>
              </w:rPr>
              <w:t>,,</w:t>
            </w:r>
            <w:proofErr w:type="gramEnd"/>
            <w:r w:rsidRPr="00A70DD0">
              <w:rPr>
                <w:color w:val="000000" w:themeColor="text1"/>
                <w:sz w:val="30"/>
                <w:szCs w:val="30"/>
              </w:rPr>
              <w:t>Wykres do przemyślenia”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Unima2000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proofErr w:type="spellStart"/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Variant</w:t>
            </w:r>
            <w:proofErr w:type="spellEnd"/>
          </w:p>
        </w:tc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Ropczyce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21 lipca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Eurocash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23 lipca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Agora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3 września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BZWBK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4 września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proofErr w:type="spellStart"/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Netmedia</w:t>
            </w:r>
            <w:proofErr w:type="spellEnd"/>
          </w:p>
        </w:tc>
        <w:tc>
          <w:tcPr>
            <w:tcW w:w="4606" w:type="dxa"/>
          </w:tcPr>
          <w:p w:rsidR="0021508A" w:rsidRPr="00805600" w:rsidRDefault="0021508A" w:rsidP="00634F10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9 października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Stalprodukt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9 października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Cyfrowy Polsat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14 października 2015 roku</w:t>
            </w:r>
          </w:p>
        </w:tc>
      </w:tr>
      <w:tr w:rsidR="0021508A" w:rsidTr="00634F10"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Dębica</w:t>
            </w:r>
          </w:p>
        </w:tc>
        <w:tc>
          <w:tcPr>
            <w:tcW w:w="4606" w:type="dxa"/>
          </w:tcPr>
          <w:p w:rsidR="0021508A" w:rsidRPr="00805600" w:rsidRDefault="0021508A" w:rsidP="00634F10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17 października 2015 roku</w:t>
            </w:r>
          </w:p>
        </w:tc>
      </w:tr>
    </w:tbl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Default="00F73EF0" w:rsidP="0021508A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Sprawdziłem</w:t>
      </w:r>
      <w:r w:rsidR="0021508A">
        <w:rPr>
          <w:color w:val="000000" w:themeColor="text1"/>
          <w:sz w:val="26"/>
          <w:szCs w:val="26"/>
        </w:rPr>
        <w:t xml:space="preserve">, jak zachowywać się będą kursy akcji wyżej wymienionych 11 spółek i będę porównywał średnia procentową zmianę kursów akcji wymienionych 11 spółek z procentową zmianą indeksu WIG20. </w:t>
      </w:r>
    </w:p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Warto zauważyć, że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Co więcej przyjąłem założenia, że w rubryce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a także w rubryce ,,Poczekalnia” mogą znajdować się tylko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Ponadto w dotychczasowych eksperymentach biorą udział także tylko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Jest to mój świadomy wybór. </w:t>
      </w:r>
    </w:p>
    <w:p w:rsidR="00A14B74" w:rsidRDefault="009B08EB" w:rsidP="00A14B74">
      <w:pPr>
        <w:pStyle w:val="Bezodstpw"/>
        <w:jc w:val="both"/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Tabela: z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miana kursu akcji danej spółki 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oraz zmiana indeksu WIG20 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 okresie pomiędzy 30 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października 2015 roku 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kwietnia a 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29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kwietnia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="00A14B7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</w:t>
      </w:r>
    </w:p>
    <w:p w:rsidR="00A14B74" w:rsidRDefault="00A14B74" w:rsidP="00A14B74">
      <w:pPr>
        <w:pStyle w:val="Bezodstpw"/>
        <w:jc w:val="both"/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4B74" w:rsidTr="00A14B74">
        <w:trPr>
          <w:trHeight w:val="369"/>
        </w:trPr>
        <w:tc>
          <w:tcPr>
            <w:tcW w:w="4606" w:type="dxa"/>
            <w:hideMark/>
          </w:tcPr>
          <w:p w:rsidR="00A14B74" w:rsidRDefault="00A14B74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Instrument </w:t>
            </w:r>
          </w:p>
          <w:p w:rsidR="00A14B74" w:rsidRDefault="00A14B74">
            <w:pPr>
              <w:pStyle w:val="Bezodstpw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finansowy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06" w:type="dxa"/>
            <w:hideMark/>
          </w:tcPr>
          <w:p w:rsidR="00A14B74" w:rsidRDefault="00A14B74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Procentowa zmiana kursu akcji </w:t>
            </w:r>
          </w:p>
          <w:p w:rsidR="00A14B74" w:rsidRDefault="00A14B74">
            <w:pPr>
              <w:pStyle w:val="Bezodstpw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spółki</w:t>
            </w:r>
            <w:proofErr w:type="gramEnd"/>
            <w:r>
              <w:rPr>
                <w:sz w:val="26"/>
                <w:szCs w:val="26"/>
              </w:rPr>
              <w:t xml:space="preserve"> lub indeksu WIG20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TIM</w:t>
            </w:r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>+</w:t>
            </w:r>
            <w:r w:rsidRPr="00901938">
              <w:t>17,4</w:t>
            </w:r>
            <w:r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Unima2000</w:t>
            </w:r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 xml:space="preserve">  </w:t>
            </w:r>
            <w:r w:rsidRPr="00901938">
              <w:t>-7,5</w:t>
            </w:r>
            <w:r>
              <w:t xml:space="preserve"> %</w:t>
            </w:r>
          </w:p>
        </w:tc>
      </w:tr>
      <w:tr w:rsidR="00234FC8" w:rsidTr="00A14B74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proofErr w:type="spellStart"/>
            <w:r w:rsidRPr="00FA7C5F">
              <w:t>Variant</w:t>
            </w:r>
            <w:proofErr w:type="spellEnd"/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 xml:space="preserve">  </w:t>
            </w:r>
            <w:r w:rsidRPr="00901938">
              <w:t>-5,1</w:t>
            </w:r>
            <w:r>
              <w:t xml:space="preserve"> %</w:t>
            </w:r>
          </w:p>
        </w:tc>
      </w:tr>
      <w:tr w:rsidR="00234FC8" w:rsidTr="00A14B74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Ropczyce</w:t>
            </w:r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 xml:space="preserve">  </w:t>
            </w:r>
            <w:r w:rsidRPr="00901938">
              <w:t>-5,2</w:t>
            </w:r>
            <w:r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Eurocash</w:t>
            </w:r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 xml:space="preserve">  +</w:t>
            </w:r>
            <w:r w:rsidRPr="00901938">
              <w:t>4,4</w:t>
            </w:r>
            <w:r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Agora</w:t>
            </w:r>
          </w:p>
        </w:tc>
        <w:tc>
          <w:tcPr>
            <w:tcW w:w="4606" w:type="dxa"/>
          </w:tcPr>
          <w:p w:rsidR="00234FC8" w:rsidRPr="00901938" w:rsidRDefault="003B751A" w:rsidP="003B751A">
            <w:pPr>
              <w:jc w:val="center"/>
            </w:pPr>
            <w:r>
              <w:t xml:space="preserve">  </w:t>
            </w:r>
            <w:bookmarkStart w:id="0" w:name="_GoBack"/>
            <w:bookmarkEnd w:id="0"/>
            <w:r w:rsidR="00234FC8">
              <w:t>+</w:t>
            </w:r>
            <w:r w:rsidR="00234FC8" w:rsidRPr="00901938">
              <w:t>7,6</w:t>
            </w:r>
            <w:r w:rsidR="00234FC8"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BZWBK</w:t>
            </w:r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 w:rsidRPr="00901938">
              <w:t>-14,8</w:t>
            </w:r>
            <w:r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proofErr w:type="spellStart"/>
            <w:r w:rsidRPr="00FA7C5F">
              <w:t>Netmedia</w:t>
            </w:r>
            <w:proofErr w:type="spellEnd"/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>+</w:t>
            </w:r>
            <w:r w:rsidRPr="00901938">
              <w:t>34,9</w:t>
            </w:r>
            <w:r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Stalprodukt</w:t>
            </w:r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 xml:space="preserve">  </w:t>
            </w:r>
            <w:r w:rsidRPr="00901938">
              <w:t>-8,8</w:t>
            </w:r>
            <w:r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</w:tcPr>
          <w:p w:rsidR="00234FC8" w:rsidRPr="00FA7C5F" w:rsidRDefault="00234FC8" w:rsidP="00234FC8">
            <w:pPr>
              <w:jc w:val="center"/>
            </w:pPr>
            <w:r w:rsidRPr="00FA7C5F">
              <w:t>Cyfrowy Polsat</w:t>
            </w:r>
          </w:p>
        </w:tc>
        <w:tc>
          <w:tcPr>
            <w:tcW w:w="4606" w:type="dxa"/>
          </w:tcPr>
          <w:p w:rsidR="00234FC8" w:rsidRPr="00901938" w:rsidRDefault="00234FC8" w:rsidP="00234FC8">
            <w:pPr>
              <w:jc w:val="center"/>
            </w:pPr>
            <w:r>
              <w:t xml:space="preserve">  </w:t>
            </w:r>
            <w:r w:rsidRPr="00901938">
              <w:t>-2,5</w:t>
            </w:r>
            <w:r>
              <w:t xml:space="preserve"> %</w:t>
            </w:r>
          </w:p>
        </w:tc>
      </w:tr>
      <w:tr w:rsidR="00234FC8" w:rsidTr="00234FC8">
        <w:trPr>
          <w:trHeight w:val="369"/>
        </w:trPr>
        <w:tc>
          <w:tcPr>
            <w:tcW w:w="4606" w:type="dxa"/>
            <w:tcBorders>
              <w:bottom w:val="single" w:sz="4" w:space="0" w:color="auto"/>
            </w:tcBorders>
          </w:tcPr>
          <w:p w:rsidR="00234FC8" w:rsidRDefault="00234FC8" w:rsidP="00234FC8">
            <w:pPr>
              <w:jc w:val="center"/>
            </w:pPr>
            <w:r w:rsidRPr="00FA7C5F">
              <w:t>Dębica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34FC8" w:rsidRDefault="00234FC8" w:rsidP="00234FC8">
            <w:pPr>
              <w:jc w:val="center"/>
            </w:pPr>
            <w:r>
              <w:t xml:space="preserve">  +</w:t>
            </w:r>
            <w:r w:rsidRPr="00901938">
              <w:t>4,9</w:t>
            </w:r>
            <w:r>
              <w:t xml:space="preserve"> %</w:t>
            </w:r>
          </w:p>
        </w:tc>
      </w:tr>
      <w:tr w:rsidR="00A14B74" w:rsidTr="00A14B74">
        <w:trPr>
          <w:trHeight w:val="369"/>
        </w:trPr>
        <w:tc>
          <w:tcPr>
            <w:tcW w:w="4606" w:type="dxa"/>
            <w:shd w:val="clear" w:color="auto" w:fill="FF0000"/>
            <w:hideMark/>
          </w:tcPr>
          <w:p w:rsidR="00A14B74" w:rsidRPr="00234FC8" w:rsidRDefault="00A14B74">
            <w:pPr>
              <w:pStyle w:val="Bezodstpw"/>
              <w:jc w:val="center"/>
              <w:rPr>
                <w:rFonts w:eastAsiaTheme="minorEastAsia"/>
                <w:b/>
                <w:color w:val="FFFFFF" w:themeColor="background1"/>
                <w:sz w:val="40"/>
                <w:szCs w:val="40"/>
              </w:rPr>
            </w:pPr>
            <w:r w:rsidRPr="00234FC8">
              <w:rPr>
                <w:b/>
                <w:color w:val="FFFFFF" w:themeColor="background1"/>
                <w:sz w:val="40"/>
                <w:szCs w:val="40"/>
              </w:rPr>
              <w:t xml:space="preserve">Średnio </w:t>
            </w:r>
          </w:p>
        </w:tc>
        <w:tc>
          <w:tcPr>
            <w:tcW w:w="4606" w:type="dxa"/>
            <w:shd w:val="clear" w:color="auto" w:fill="FF0000"/>
            <w:hideMark/>
          </w:tcPr>
          <w:p w:rsidR="00A14B74" w:rsidRPr="00234FC8" w:rsidRDefault="00A14B74" w:rsidP="00234FC8">
            <w:pPr>
              <w:pStyle w:val="Bezodstpw"/>
              <w:jc w:val="center"/>
              <w:rPr>
                <w:rFonts w:eastAsiaTheme="minorEastAsia"/>
                <w:b/>
                <w:color w:val="FFFFFF" w:themeColor="background1"/>
                <w:sz w:val="40"/>
                <w:szCs w:val="40"/>
              </w:rPr>
            </w:pPr>
            <w:r w:rsidRPr="00234FC8">
              <w:rPr>
                <w:b/>
                <w:color w:val="FFFFFF" w:themeColor="background1"/>
                <w:sz w:val="40"/>
                <w:szCs w:val="40"/>
              </w:rPr>
              <w:t xml:space="preserve">  </w:t>
            </w:r>
            <w:r w:rsidR="00234FC8">
              <w:rPr>
                <w:b/>
                <w:color w:val="FFFFFF" w:themeColor="background1"/>
                <w:sz w:val="40"/>
                <w:szCs w:val="40"/>
              </w:rPr>
              <w:t>+</w:t>
            </w:r>
            <w:r w:rsidRPr="00234FC8">
              <w:rPr>
                <w:b/>
                <w:color w:val="FFFFFF" w:themeColor="background1"/>
                <w:sz w:val="40"/>
                <w:szCs w:val="40"/>
              </w:rPr>
              <w:t>2,</w:t>
            </w:r>
            <w:r w:rsidR="00234FC8" w:rsidRPr="00234FC8">
              <w:rPr>
                <w:b/>
                <w:color w:val="FFFFFF" w:themeColor="background1"/>
                <w:sz w:val="40"/>
                <w:szCs w:val="40"/>
              </w:rPr>
              <w:t>3</w:t>
            </w:r>
            <w:r w:rsidRPr="00234FC8">
              <w:rPr>
                <w:b/>
                <w:color w:val="FFFFFF" w:themeColor="background1"/>
                <w:sz w:val="40"/>
                <w:szCs w:val="40"/>
              </w:rPr>
              <w:t xml:space="preserve"> %</w:t>
            </w:r>
          </w:p>
        </w:tc>
      </w:tr>
      <w:tr w:rsidR="00A14B74" w:rsidTr="00A14B74">
        <w:trPr>
          <w:trHeight w:val="369"/>
        </w:trPr>
        <w:tc>
          <w:tcPr>
            <w:tcW w:w="4606" w:type="dxa"/>
            <w:hideMark/>
          </w:tcPr>
          <w:p w:rsidR="00A14B74" w:rsidRPr="00234FC8" w:rsidRDefault="00A14B74" w:rsidP="00880891">
            <w:pPr>
              <w:pStyle w:val="Bezodstpw"/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234FC8">
              <w:rPr>
                <w:b/>
                <w:sz w:val="40"/>
                <w:szCs w:val="40"/>
              </w:rPr>
              <w:t>WIG20</w:t>
            </w:r>
          </w:p>
        </w:tc>
        <w:tc>
          <w:tcPr>
            <w:tcW w:w="4606" w:type="dxa"/>
            <w:hideMark/>
          </w:tcPr>
          <w:p w:rsidR="00A14B74" w:rsidRPr="00234FC8" w:rsidRDefault="00A14B74" w:rsidP="00234FC8">
            <w:pPr>
              <w:pStyle w:val="Bezodstpw"/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234FC8">
              <w:rPr>
                <w:b/>
                <w:sz w:val="40"/>
                <w:szCs w:val="40"/>
              </w:rPr>
              <w:t xml:space="preserve"> -</w:t>
            </w:r>
            <w:r w:rsidR="00234FC8" w:rsidRPr="00234FC8">
              <w:rPr>
                <w:b/>
                <w:sz w:val="40"/>
                <w:szCs w:val="40"/>
              </w:rPr>
              <w:t>7</w:t>
            </w:r>
            <w:r w:rsidRPr="00234FC8">
              <w:rPr>
                <w:b/>
                <w:sz w:val="40"/>
                <w:szCs w:val="40"/>
              </w:rPr>
              <w:t>,</w:t>
            </w:r>
            <w:r w:rsidR="00234FC8" w:rsidRPr="00234FC8">
              <w:rPr>
                <w:b/>
                <w:sz w:val="40"/>
                <w:szCs w:val="40"/>
              </w:rPr>
              <w:t>9</w:t>
            </w:r>
            <w:r w:rsidRPr="00234FC8">
              <w:rPr>
                <w:b/>
                <w:sz w:val="40"/>
                <w:szCs w:val="40"/>
              </w:rPr>
              <w:t xml:space="preserve"> %</w:t>
            </w:r>
          </w:p>
        </w:tc>
      </w:tr>
    </w:tbl>
    <w:p w:rsidR="00A14B74" w:rsidRDefault="00A14B74" w:rsidP="0021508A">
      <w:pPr>
        <w:pStyle w:val="Bezodstpw"/>
        <w:jc w:val="both"/>
        <w:rPr>
          <w:sz w:val="40"/>
          <w:szCs w:val="40"/>
        </w:rPr>
      </w:pPr>
    </w:p>
    <w:p w:rsidR="00CF7C7C" w:rsidRPr="00CF7C7C" w:rsidRDefault="00CF7C7C" w:rsidP="0021508A">
      <w:pPr>
        <w:pStyle w:val="Bezodstpw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końcowy</w:t>
      </w:r>
    </w:p>
    <w:p w:rsidR="0021508A" w:rsidRPr="00CF7C7C" w:rsidRDefault="00CF7C7C" w:rsidP="0021508A">
      <w:pPr>
        <w:pStyle w:val="Bezodstpw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Ś</w:t>
      </w:r>
      <w:r w:rsidRPr="00CF7C7C">
        <w:rPr>
          <w:i/>
          <w:sz w:val="30"/>
          <w:szCs w:val="30"/>
        </w:rPr>
        <w:t xml:space="preserve">rednia procentowa zmiana kursów akcji wybranych 11 spółek notowanych na Giełdzie Papierów Wartościowych w Warszawie (i umieszczonych już w rubryce </w:t>
      </w:r>
      <w:proofErr w:type="gramStart"/>
      <w:r w:rsidRPr="00CF7C7C">
        <w:rPr>
          <w:i/>
          <w:sz w:val="30"/>
          <w:szCs w:val="30"/>
        </w:rPr>
        <w:t>,,</w:t>
      </w:r>
      <w:proofErr w:type="gramEnd"/>
      <w:r w:rsidRPr="00CF7C7C">
        <w:rPr>
          <w:i/>
          <w:sz w:val="30"/>
          <w:szCs w:val="30"/>
        </w:rPr>
        <w:t>Wykres do przemyślenia) była pomiędzy 30 października 2015 roku a 29 kwietnia 2016 roku wyższa od procentowej zmiany indeksu WIG20 w tym okresie</w:t>
      </w:r>
      <w:r>
        <w:rPr>
          <w:i/>
          <w:sz w:val="30"/>
          <w:szCs w:val="30"/>
        </w:rPr>
        <w:t>.</w:t>
      </w:r>
    </w:p>
    <w:p w:rsidR="0021508A" w:rsidRPr="00251B0A" w:rsidRDefault="0021508A" w:rsidP="0021508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1508A" w:rsidRPr="00251B0A" w:rsidRDefault="0021508A" w:rsidP="0021508A">
      <w:pPr>
        <w:pStyle w:val="Bezodstpw"/>
        <w:jc w:val="both"/>
        <w:rPr>
          <w:sz w:val="26"/>
          <w:szCs w:val="26"/>
        </w:rPr>
      </w:pPr>
      <w:r w:rsidRPr="00251B0A">
        <w:rPr>
          <w:sz w:val="26"/>
          <w:szCs w:val="26"/>
        </w:rPr>
        <w:t xml:space="preserve">Opracował: Sławomir Kłusek, </w:t>
      </w:r>
      <w:r w:rsidR="00F73EF0">
        <w:rPr>
          <w:sz w:val="26"/>
          <w:szCs w:val="26"/>
        </w:rPr>
        <w:t>2</w:t>
      </w:r>
      <w:r w:rsidR="00CF7C7C">
        <w:rPr>
          <w:sz w:val="26"/>
          <w:szCs w:val="26"/>
        </w:rPr>
        <w:t xml:space="preserve">9 kwietnia </w:t>
      </w:r>
      <w:r w:rsidRPr="00251B0A">
        <w:rPr>
          <w:sz w:val="26"/>
          <w:szCs w:val="26"/>
        </w:rPr>
        <w:t>201</w:t>
      </w:r>
      <w:r w:rsidR="00F73EF0">
        <w:rPr>
          <w:sz w:val="26"/>
          <w:szCs w:val="26"/>
        </w:rPr>
        <w:t>6</w:t>
      </w:r>
      <w:r w:rsidRPr="00251B0A">
        <w:rPr>
          <w:sz w:val="26"/>
          <w:szCs w:val="26"/>
        </w:rPr>
        <w:t xml:space="preserve"> r.</w:t>
      </w:r>
    </w:p>
    <w:p w:rsidR="0021508A" w:rsidRDefault="0021508A" w:rsidP="0021508A">
      <w:pPr>
        <w:pStyle w:val="Bezodstpw"/>
        <w:jc w:val="both"/>
        <w:rPr>
          <w:sz w:val="30"/>
          <w:szCs w:val="30"/>
        </w:rPr>
      </w:pPr>
    </w:p>
    <w:p w:rsidR="0021508A" w:rsidRDefault="0021508A" w:rsidP="0021508A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zestawienia sporządzone zostało wyłącznie w celach edukacyjnych. </w:t>
      </w:r>
      <w:r>
        <w:rPr>
          <w:sz w:val="24"/>
          <w:szCs w:val="24"/>
        </w:rPr>
        <w:t xml:space="preserve">Wszelkie opinie prezentowane na stronie </w:t>
      </w:r>
      <w:hyperlink r:id="rId8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 xml:space="preserve"> stanowią </w:t>
      </w:r>
      <w:r>
        <w:rPr>
          <w:b/>
          <w:sz w:val="24"/>
          <w:szCs w:val="24"/>
        </w:rPr>
        <w:t>wyłącznie wyraz osobistych opinii autora.</w:t>
      </w:r>
      <w:r>
        <w:rPr>
          <w:sz w:val="24"/>
          <w:szCs w:val="24"/>
        </w:rPr>
        <w:t xml:space="preserve"> </w:t>
      </w:r>
    </w:p>
    <w:p w:rsidR="0021508A" w:rsidRDefault="0021508A" w:rsidP="0021508A">
      <w:pPr>
        <w:pStyle w:val="Bezodstpw"/>
        <w:jc w:val="both"/>
        <w:rPr>
          <w:sz w:val="24"/>
          <w:szCs w:val="24"/>
        </w:rPr>
      </w:pPr>
    </w:p>
    <w:p w:rsidR="0021508A" w:rsidRDefault="0021508A" w:rsidP="0021508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zawarte na stronie internetowej </w:t>
      </w:r>
      <w:hyperlink r:id="rId9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nie stanowią "rekomendacji"</w:t>
      </w:r>
      <w:r>
        <w:rPr>
          <w:sz w:val="24"/>
          <w:szCs w:val="24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2005 r. Nr 206, poz. 1715).</w:t>
      </w:r>
    </w:p>
    <w:p w:rsidR="0021508A" w:rsidRDefault="0021508A" w:rsidP="0021508A">
      <w:pPr>
        <w:pStyle w:val="Bezodstpw"/>
        <w:jc w:val="both"/>
        <w:rPr>
          <w:sz w:val="24"/>
          <w:szCs w:val="24"/>
        </w:rPr>
      </w:pPr>
    </w:p>
    <w:p w:rsidR="00372F53" w:rsidRDefault="0021508A" w:rsidP="00CF7C7C">
      <w:pPr>
        <w:pStyle w:val="Bezodstpw"/>
        <w:jc w:val="both"/>
      </w:pPr>
      <w:r>
        <w:rPr>
          <w:sz w:val="24"/>
          <w:szCs w:val="24"/>
        </w:rPr>
        <w:t xml:space="preserve">Autor nie </w:t>
      </w:r>
      <w:r>
        <w:rPr>
          <w:b/>
          <w:sz w:val="24"/>
          <w:szCs w:val="24"/>
        </w:rPr>
        <w:t>ponosi odpowiedzialności za jakiekolwiek decyzje inwestycyjne podjęte na podstawie</w:t>
      </w:r>
      <w:r>
        <w:rPr>
          <w:sz w:val="24"/>
          <w:szCs w:val="24"/>
        </w:rPr>
        <w:t xml:space="preserve"> treści zawartych na stronie internetowej </w:t>
      </w:r>
      <w:hyperlink r:id="rId10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>.</w:t>
      </w:r>
    </w:p>
    <w:sectPr w:rsidR="0037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A"/>
    <w:rsid w:val="00186CE1"/>
    <w:rsid w:val="0021508A"/>
    <w:rsid w:val="00234FC8"/>
    <w:rsid w:val="00372F53"/>
    <w:rsid w:val="003B751A"/>
    <w:rsid w:val="009B08EB"/>
    <w:rsid w:val="00A14B74"/>
    <w:rsid w:val="00CF7C7C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0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1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15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0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1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15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9743-9FA5-48DF-851D-DE2482C8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cp:lastPrinted>2016-05-01T16:35:00Z</cp:lastPrinted>
  <dcterms:created xsi:type="dcterms:W3CDTF">2016-05-01T16:35:00Z</dcterms:created>
  <dcterms:modified xsi:type="dcterms:W3CDTF">2016-05-01T16:36:00Z</dcterms:modified>
</cp:coreProperties>
</file>