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4C" w:rsidRDefault="00C00D4C" w:rsidP="00C00D4C">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bookmarkStart w:id="0" w:name="_GoBack"/>
      <w:bookmarkEnd w:id="0"/>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C00D4C" w:rsidRDefault="00C00D4C" w:rsidP="00C00D4C">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C00D4C" w:rsidRDefault="00C00D4C" w:rsidP="00C00D4C">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C00D4C" w:rsidRDefault="00C00D4C" w:rsidP="00C00D4C">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C00D4C" w:rsidRDefault="00C00D4C" w:rsidP="00C00D4C">
      <w:pPr>
        <w:spacing w:after="0" w:line="240" w:lineRule="auto"/>
        <w:jc w:val="center"/>
        <w:rPr>
          <w:rFonts w:eastAsiaTheme="minorEastAsia"/>
          <w:sz w:val="48"/>
          <w:szCs w:val="48"/>
          <w:lang w:eastAsia="pl-PL"/>
        </w:rPr>
      </w:pPr>
    </w:p>
    <w:p w:rsidR="00C00D4C" w:rsidRDefault="00C00D4C" w:rsidP="00C00D4C">
      <w:pPr>
        <w:spacing w:after="0" w:line="240" w:lineRule="auto"/>
        <w:jc w:val="center"/>
        <w:rPr>
          <w:rFonts w:eastAsiaTheme="minorEastAsia"/>
          <w:sz w:val="48"/>
          <w:szCs w:val="48"/>
          <w:lang w:eastAsia="pl-PL"/>
        </w:rPr>
      </w:pPr>
    </w:p>
    <w:p w:rsidR="00C00D4C" w:rsidRDefault="00C00D4C" w:rsidP="00C00D4C">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C00D4C" w:rsidRDefault="00C00D4C" w:rsidP="00C00D4C">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C00D4C" w:rsidRDefault="00C00D4C" w:rsidP="00C00D4C">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C00D4C" w:rsidRDefault="00C00D4C" w:rsidP="00C00D4C">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C00D4C" w:rsidRDefault="00C00D4C" w:rsidP="00C00D4C">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C00D4C" w:rsidRDefault="00C00D4C" w:rsidP="00C00D4C">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Poniedziałek, 18 kwietnia 2016 roku</w:t>
      </w:r>
    </w:p>
    <w:p w:rsidR="00C00D4C" w:rsidRDefault="00C00D4C" w:rsidP="00C00D4C">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USD/PLN – perspektywa długoterminowa, kurs z 15 kwietnia 2016 roku = 3,8070</w:t>
      </w:r>
    </w:p>
    <w:p w:rsidR="00C00D4C" w:rsidRDefault="00C00D4C" w:rsidP="00C00D4C">
      <w:pPr>
        <w:spacing w:after="0" w:line="240" w:lineRule="auto"/>
        <w:jc w:val="both"/>
        <w:rPr>
          <w:rFonts w:eastAsiaTheme="minorEastAsia"/>
          <w:lang w:eastAsia="pl-PL"/>
        </w:rPr>
      </w:pPr>
    </w:p>
    <w:p w:rsidR="00C00D4C" w:rsidRDefault="00C00D4C" w:rsidP="00C00D4C">
      <w:pPr>
        <w:spacing w:after="0" w:line="240" w:lineRule="auto"/>
        <w:jc w:val="both"/>
        <w:rPr>
          <w:rFonts w:eastAsiaTheme="minorEastAsia"/>
          <w:lang w:eastAsia="pl-PL"/>
        </w:rPr>
      </w:pPr>
      <w:r>
        <w:rPr>
          <w:rFonts w:eastAsiaTheme="minorEastAsia"/>
          <w:noProof/>
          <w:lang w:eastAsia="pl-PL"/>
        </w:rPr>
        <w:drawing>
          <wp:inline distT="0" distB="0" distL="0" distR="0" wp14:anchorId="54D8F53A" wp14:editId="22448432">
            <wp:extent cx="4829175" cy="29051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C00D4C" w:rsidRDefault="00C00D4C" w:rsidP="00C00D4C">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C00D4C" w:rsidRDefault="00C00D4C" w:rsidP="00C00D4C">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kurs z 15 kwietnia 2016 roku = 4,2956</w:t>
      </w:r>
    </w:p>
    <w:p w:rsidR="00C00D4C" w:rsidRDefault="00C00D4C" w:rsidP="00C00D4C">
      <w:pPr>
        <w:spacing w:after="0" w:line="240" w:lineRule="auto"/>
        <w:jc w:val="both"/>
        <w:rPr>
          <w:rFonts w:eastAsiaTheme="minorEastAsia"/>
          <w:lang w:eastAsia="pl-PL"/>
        </w:rPr>
      </w:pPr>
    </w:p>
    <w:p w:rsidR="00C00D4C" w:rsidRDefault="00C00D4C" w:rsidP="00C00D4C">
      <w:pPr>
        <w:spacing w:after="0" w:line="240" w:lineRule="auto"/>
        <w:jc w:val="both"/>
        <w:rPr>
          <w:rFonts w:eastAsiaTheme="minorEastAsia"/>
          <w:lang w:eastAsia="pl-PL"/>
        </w:rPr>
      </w:pPr>
      <w:r>
        <w:rPr>
          <w:rFonts w:eastAsiaTheme="minorEastAsia"/>
          <w:noProof/>
          <w:lang w:eastAsia="pl-PL"/>
        </w:rPr>
        <w:drawing>
          <wp:inline distT="0" distB="0" distL="0" distR="0" wp14:anchorId="39903FA4" wp14:editId="6DE6495F">
            <wp:extent cx="4829175" cy="29051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C00D4C" w:rsidRDefault="00C00D4C" w:rsidP="00C00D4C">
      <w:pPr>
        <w:spacing w:after="0" w:line="240" w:lineRule="auto"/>
        <w:jc w:val="both"/>
        <w:rPr>
          <w:rFonts w:eastAsiaTheme="minorEastAsia"/>
          <w:color w:val="000000" w:themeColor="text1"/>
          <w:lang w:eastAsia="pl-PL"/>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heme="minorEastAsia"/>
          <w:color w:val="000000" w:themeColor="text1"/>
          <w:lang w:eastAsia="pl-PL"/>
        </w:rPr>
        <w:t xml:space="preserve">4,3607 zł. Dojście do oporu (szczyt z 26 grudnia 2014 roku) może osłabiło kursu euro (w złotych). W piątek 15 stycznia popyt zaatakował. Przebite zostało roczne maksimum. Można oczekiwać wzrostu w kierunku </w:t>
      </w:r>
      <w:r>
        <w:rPr>
          <w:rFonts w:eastAsiaTheme="minorEastAsia"/>
          <w:b/>
          <w:color w:val="FF0000"/>
          <w:lang w:eastAsia="pl-PL"/>
        </w:rPr>
        <w:t>4,5644</w:t>
      </w:r>
      <w:r>
        <w:rPr>
          <w:rFonts w:eastAsiaTheme="minorEastAsia"/>
          <w:color w:val="FF0000"/>
          <w:lang w:eastAsia="pl-PL"/>
        </w:rPr>
        <w:t xml:space="preserve"> </w:t>
      </w:r>
      <w:r>
        <w:rPr>
          <w:rFonts w:eastAsiaTheme="minorEastAsia"/>
          <w:color w:val="000000" w:themeColor="text1"/>
          <w:lang w:eastAsia="pl-PL"/>
        </w:rPr>
        <w:t xml:space="preserve">(szczyt z 13 grudnia 2011 roku). </w:t>
      </w:r>
    </w:p>
    <w:p w:rsidR="00C00D4C" w:rsidRPr="00C957EB" w:rsidRDefault="00C00D4C" w:rsidP="00C00D4C">
      <w:pPr>
        <w:pStyle w:val="Bezodstpw"/>
        <w:pBdr>
          <w:top w:val="single" w:sz="4" w:space="1" w:color="auto"/>
          <w:left w:val="single" w:sz="4" w:space="4" w:color="auto"/>
          <w:bottom w:val="single" w:sz="4" w:space="1" w:color="auto"/>
          <w:right w:val="single" w:sz="4" w:space="4" w:color="auto"/>
        </w:pBdr>
        <w:shd w:val="clear" w:color="auto" w:fill="FFFFFF" w:themeFill="background1"/>
        <w:jc w:val="center"/>
        <w:rPr>
          <w:b/>
          <w:color w:val="FF0000"/>
          <w:sz w:val="26"/>
          <w:szCs w:val="26"/>
        </w:rPr>
      </w:pPr>
      <w:r w:rsidRPr="00C957EB">
        <w:rPr>
          <w:b/>
          <w:color w:val="FF0000"/>
          <w:sz w:val="26"/>
          <w:szCs w:val="26"/>
        </w:rPr>
        <w:lastRenderedPageBreak/>
        <w:t xml:space="preserve">Bardzo </w:t>
      </w:r>
      <w:r w:rsidR="001B3FE9">
        <w:rPr>
          <w:b/>
          <w:color w:val="FF0000"/>
          <w:sz w:val="26"/>
          <w:szCs w:val="26"/>
        </w:rPr>
        <w:t>ważny</w:t>
      </w:r>
      <w:r w:rsidRPr="00C957EB">
        <w:rPr>
          <w:b/>
          <w:color w:val="FF0000"/>
          <w:sz w:val="26"/>
          <w:szCs w:val="26"/>
        </w:rPr>
        <w:t xml:space="preserve"> wywiad Eryka Łona </w:t>
      </w:r>
      <w:r>
        <w:rPr>
          <w:b/>
          <w:color w:val="FF0000"/>
          <w:sz w:val="26"/>
          <w:szCs w:val="26"/>
        </w:rPr>
        <w:t xml:space="preserve">z RPP </w:t>
      </w:r>
      <w:r w:rsidRPr="00C957EB">
        <w:rPr>
          <w:b/>
          <w:color w:val="FF0000"/>
          <w:sz w:val="26"/>
          <w:szCs w:val="26"/>
        </w:rPr>
        <w:t xml:space="preserve">dla </w:t>
      </w:r>
      <w:proofErr w:type="gramStart"/>
      <w:r w:rsidRPr="00C957EB">
        <w:rPr>
          <w:b/>
          <w:color w:val="FF0000"/>
          <w:sz w:val="26"/>
          <w:szCs w:val="26"/>
        </w:rPr>
        <w:t>PAP  – polecam</w:t>
      </w:r>
      <w:proofErr w:type="gramEnd"/>
      <w:r w:rsidRPr="00C957EB">
        <w:rPr>
          <w:b/>
          <w:color w:val="FF0000"/>
          <w:sz w:val="26"/>
          <w:szCs w:val="26"/>
        </w:rPr>
        <w:t xml:space="preserve"> do przemyślenia !</w:t>
      </w:r>
    </w:p>
    <w:p w:rsidR="00C00D4C" w:rsidRDefault="00C00D4C" w:rsidP="00C00D4C">
      <w:pPr>
        <w:pStyle w:val="Bezodstpw"/>
        <w:jc w:val="both"/>
        <w:rPr>
          <w:sz w:val="26"/>
          <w:szCs w:val="26"/>
        </w:rPr>
      </w:pPr>
    </w:p>
    <w:p w:rsidR="00C00D4C" w:rsidRDefault="00C00D4C" w:rsidP="00C00D4C">
      <w:pPr>
        <w:pStyle w:val="Bezodstpw"/>
        <w:jc w:val="both"/>
        <w:rPr>
          <w:sz w:val="26"/>
          <w:szCs w:val="26"/>
        </w:rPr>
      </w:pPr>
      <w:r w:rsidRPr="002C5ABF">
        <w:rPr>
          <w:sz w:val="26"/>
          <w:szCs w:val="26"/>
        </w:rPr>
        <w:t xml:space="preserve">11 </w:t>
      </w:r>
      <w:r w:rsidR="001B3FE9">
        <w:rPr>
          <w:sz w:val="26"/>
          <w:szCs w:val="26"/>
        </w:rPr>
        <w:t xml:space="preserve">kwietnia 2016 roku </w:t>
      </w:r>
      <w:r w:rsidRPr="002C5ABF">
        <w:rPr>
          <w:sz w:val="26"/>
          <w:szCs w:val="26"/>
        </w:rPr>
        <w:t xml:space="preserve">członek Rady Polityki Pieniężnej (a jednocześnie kierownik studium podyplomowego </w:t>
      </w:r>
      <w:proofErr w:type="gramStart"/>
      <w:r w:rsidRPr="002C5ABF">
        <w:rPr>
          <w:sz w:val="26"/>
          <w:szCs w:val="26"/>
        </w:rPr>
        <w:t>,,</w:t>
      </w:r>
      <w:proofErr w:type="gramEnd"/>
      <w:r w:rsidRPr="002C5ABF">
        <w:rPr>
          <w:sz w:val="26"/>
          <w:szCs w:val="26"/>
        </w:rPr>
        <w:t>Mistrzowie rynków finansowych”</w:t>
      </w:r>
      <w:r>
        <w:rPr>
          <w:sz w:val="26"/>
          <w:szCs w:val="26"/>
        </w:rPr>
        <w:t>)</w:t>
      </w:r>
      <w:r w:rsidRPr="002C5ABF">
        <w:rPr>
          <w:sz w:val="26"/>
          <w:szCs w:val="26"/>
        </w:rPr>
        <w:t xml:space="preserve"> Eryk Łon </w:t>
      </w:r>
      <w:r>
        <w:rPr>
          <w:sz w:val="26"/>
          <w:szCs w:val="26"/>
        </w:rPr>
        <w:t xml:space="preserve">udzielił bardzo </w:t>
      </w:r>
      <w:r w:rsidR="001B3FE9">
        <w:rPr>
          <w:sz w:val="26"/>
          <w:szCs w:val="26"/>
        </w:rPr>
        <w:t xml:space="preserve">ważnego </w:t>
      </w:r>
      <w:r>
        <w:rPr>
          <w:sz w:val="26"/>
          <w:szCs w:val="26"/>
        </w:rPr>
        <w:t xml:space="preserve">wywiadu Polskiej Agencji Prasowej. </w:t>
      </w:r>
    </w:p>
    <w:p w:rsidR="00C00D4C" w:rsidRDefault="00C00D4C" w:rsidP="00C00D4C">
      <w:pPr>
        <w:pStyle w:val="Bezodstpw"/>
        <w:jc w:val="both"/>
        <w:rPr>
          <w:sz w:val="26"/>
          <w:szCs w:val="26"/>
        </w:rPr>
      </w:pPr>
    </w:p>
    <w:p w:rsidR="00C00D4C" w:rsidRDefault="00C00D4C" w:rsidP="00C00D4C">
      <w:pPr>
        <w:pStyle w:val="Bezodstpw"/>
        <w:jc w:val="both"/>
        <w:rPr>
          <w:sz w:val="26"/>
          <w:szCs w:val="26"/>
        </w:rPr>
      </w:pPr>
      <w:r>
        <w:rPr>
          <w:noProof/>
          <w:lang w:eastAsia="pl-PL"/>
        </w:rPr>
        <w:drawing>
          <wp:inline distT="0" distB="0" distL="0" distR="0" wp14:anchorId="3699B6B3" wp14:editId="4202CE2A">
            <wp:extent cx="1581150" cy="1885950"/>
            <wp:effectExtent l="0" t="0" r="0" b="0"/>
            <wp:docPr id="10" name="Obraz 10" descr="Opis: http://eryklon.pl/wp-content/themes/eryk-lon/images/eryk-lon-fotografia-zdje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eryklon.pl/wp-content/themes/eryk-lon/images/eryk-lon-fotografia-zdjec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885950"/>
                    </a:xfrm>
                    <a:prstGeom prst="rect">
                      <a:avLst/>
                    </a:prstGeom>
                    <a:noFill/>
                    <a:ln>
                      <a:noFill/>
                    </a:ln>
                  </pic:spPr>
                </pic:pic>
              </a:graphicData>
            </a:graphic>
          </wp:inline>
        </w:drawing>
      </w:r>
    </w:p>
    <w:p w:rsidR="00C00D4C" w:rsidRDefault="00C00D4C" w:rsidP="00C00D4C">
      <w:pPr>
        <w:pStyle w:val="Bezodstpw"/>
        <w:jc w:val="both"/>
        <w:rPr>
          <w:sz w:val="26"/>
          <w:szCs w:val="26"/>
        </w:rPr>
      </w:pPr>
    </w:p>
    <w:p w:rsidR="00C00D4C" w:rsidRDefault="00C00D4C" w:rsidP="00C00D4C">
      <w:pPr>
        <w:pStyle w:val="Bezodstpw"/>
        <w:jc w:val="both"/>
        <w:rPr>
          <w:sz w:val="26"/>
          <w:szCs w:val="26"/>
        </w:rPr>
      </w:pPr>
      <w:r>
        <w:rPr>
          <w:sz w:val="26"/>
          <w:szCs w:val="26"/>
        </w:rPr>
        <w:t xml:space="preserve">Eryk Łon, członek Rady Polityki Pieniężnej, </w:t>
      </w:r>
      <w:r>
        <w:rPr>
          <w:i/>
          <w:sz w:val="26"/>
          <w:szCs w:val="26"/>
        </w:rPr>
        <w:t>zdjęcie pochodzi ze strony internetowej</w:t>
      </w:r>
      <w:r>
        <w:rPr>
          <w:sz w:val="26"/>
          <w:szCs w:val="26"/>
        </w:rPr>
        <w:t xml:space="preserve"> </w:t>
      </w:r>
      <w:hyperlink r:id="rId9" w:history="1">
        <w:r>
          <w:rPr>
            <w:rStyle w:val="Hipercze"/>
            <w:sz w:val="26"/>
            <w:szCs w:val="26"/>
          </w:rPr>
          <w:t>http://eryklon.pl/</w:t>
        </w:r>
      </w:hyperlink>
      <w:r>
        <w:rPr>
          <w:sz w:val="26"/>
          <w:szCs w:val="26"/>
        </w:rPr>
        <w:t>.</w:t>
      </w:r>
    </w:p>
    <w:p w:rsidR="00C00D4C" w:rsidRDefault="00C00D4C" w:rsidP="00C00D4C">
      <w:pPr>
        <w:pStyle w:val="Bezodstpw"/>
        <w:jc w:val="both"/>
        <w:rPr>
          <w:sz w:val="26"/>
          <w:szCs w:val="26"/>
        </w:rPr>
      </w:pPr>
    </w:p>
    <w:p w:rsidR="00C00D4C" w:rsidRDefault="00C00D4C" w:rsidP="00C00D4C">
      <w:pPr>
        <w:pStyle w:val="Bezodstpw"/>
        <w:jc w:val="both"/>
        <w:rPr>
          <w:sz w:val="26"/>
          <w:szCs w:val="26"/>
        </w:rPr>
      </w:pPr>
      <w:r>
        <w:rPr>
          <w:sz w:val="26"/>
          <w:szCs w:val="26"/>
        </w:rPr>
        <w:t xml:space="preserve">Eryk Łon Poruszył w wywiadzie szereg ważnych zagadnień: np. politykę stóp procentowych, kształtowanie się kursu walutowego, zasadność stosowanie w polityce pieniężnej instrumentów niestandardowych, problematykę społecznej odpowiedzialności biznesu w działalności banków. </w:t>
      </w:r>
      <w:r w:rsidR="001B3FE9" w:rsidRPr="001B3FE9">
        <w:rPr>
          <w:b/>
          <w:color w:val="C0504D" w:themeColor="accent2"/>
          <w:sz w:val="26"/>
          <w:szCs w:val="26"/>
        </w:rPr>
        <w:t>Oto link do wywiadu</w:t>
      </w:r>
      <w:r w:rsidR="001B3FE9" w:rsidRPr="001B3FE9">
        <w:rPr>
          <w:color w:val="C0504D" w:themeColor="accent2"/>
          <w:sz w:val="26"/>
          <w:szCs w:val="26"/>
        </w:rPr>
        <w:t xml:space="preserve"> </w:t>
      </w:r>
    </w:p>
    <w:p w:rsidR="00C00D4C" w:rsidRDefault="00C00D4C" w:rsidP="00C00D4C">
      <w:pPr>
        <w:pStyle w:val="Bezodstpw"/>
        <w:jc w:val="both"/>
        <w:rPr>
          <w:sz w:val="26"/>
          <w:szCs w:val="26"/>
        </w:rPr>
      </w:pPr>
    </w:p>
    <w:p w:rsidR="00C00D4C" w:rsidRDefault="00C00D4C" w:rsidP="00C00D4C">
      <w:pPr>
        <w:pStyle w:val="Bezodstpw"/>
        <w:jc w:val="both"/>
        <w:rPr>
          <w:sz w:val="26"/>
          <w:szCs w:val="26"/>
        </w:rPr>
      </w:pPr>
      <w:hyperlink r:id="rId10" w:history="1">
        <w:r w:rsidRPr="00452BEE">
          <w:rPr>
            <w:rStyle w:val="Hipercze"/>
            <w:sz w:val="26"/>
            <w:szCs w:val="26"/>
          </w:rPr>
          <w:t>http://biznes.pap.pl/pl/news/pap/info/1579696,w-sytuacji-uporczywej-presji-deflacyjnej-lon-gotow-poprzec-co-najmniej-jedna-obnizke-stop-(wywiad)</w:t>
        </w:r>
      </w:hyperlink>
    </w:p>
    <w:p w:rsidR="00C00D4C" w:rsidRDefault="00C00D4C" w:rsidP="00C00D4C">
      <w:pPr>
        <w:pStyle w:val="Bezodstpw"/>
        <w:jc w:val="both"/>
        <w:rPr>
          <w:sz w:val="26"/>
          <w:szCs w:val="26"/>
        </w:rPr>
      </w:pPr>
    </w:p>
    <w:p w:rsidR="00C00D4C" w:rsidRPr="00C957EB" w:rsidRDefault="00C00D4C" w:rsidP="00C00D4C">
      <w:pPr>
        <w:pStyle w:val="Bezodstpw"/>
        <w:jc w:val="both"/>
        <w:rPr>
          <w:b/>
          <w:sz w:val="26"/>
          <w:szCs w:val="26"/>
        </w:rPr>
      </w:pPr>
      <w:r w:rsidRPr="00C70388">
        <w:rPr>
          <w:sz w:val="26"/>
          <w:szCs w:val="26"/>
        </w:rPr>
        <w:t xml:space="preserve">W 2007 roku na stronie internetowej Narodowego Banku Polskiego dr (a obecnie dr hab.) Eryk Łon z Uniwersytetu Ekonomicznego w Poznaniu (zwanym wówczas Akademią Ekonomiczną) opublikował raport </w:t>
      </w:r>
      <w:proofErr w:type="gramStart"/>
      <w:r w:rsidRPr="00C957EB">
        <w:rPr>
          <w:b/>
          <w:sz w:val="26"/>
          <w:szCs w:val="26"/>
        </w:rPr>
        <w:t>,,</w:t>
      </w:r>
      <w:proofErr w:type="gramEnd"/>
      <w:r w:rsidRPr="00C957EB">
        <w:rPr>
          <w:b/>
          <w:sz w:val="26"/>
          <w:szCs w:val="26"/>
        </w:rPr>
        <w:t>Dlaczego Polska nie powinna wchodzić do strefy euro ?”.</w:t>
      </w:r>
    </w:p>
    <w:p w:rsidR="00C00D4C" w:rsidRPr="00C70388" w:rsidRDefault="00C00D4C" w:rsidP="00C00D4C">
      <w:pPr>
        <w:pStyle w:val="Bezodstpw"/>
        <w:jc w:val="both"/>
        <w:rPr>
          <w:sz w:val="26"/>
          <w:szCs w:val="26"/>
        </w:rPr>
      </w:pPr>
    </w:p>
    <w:p w:rsidR="00C00D4C" w:rsidRDefault="00C00D4C" w:rsidP="00C00D4C">
      <w:pPr>
        <w:pStyle w:val="Bezodstpw"/>
        <w:jc w:val="both"/>
        <w:rPr>
          <w:sz w:val="26"/>
          <w:szCs w:val="26"/>
        </w:rPr>
      </w:pPr>
      <w:hyperlink r:id="rId11" w:history="1">
        <w:r w:rsidRPr="00452BEE">
          <w:rPr>
            <w:rStyle w:val="Hipercze"/>
            <w:sz w:val="26"/>
            <w:szCs w:val="26"/>
          </w:rPr>
          <w:t>http://analizy-rynkowe.pl/raport/</w:t>
        </w:r>
      </w:hyperlink>
    </w:p>
    <w:p w:rsidR="00C00D4C" w:rsidRPr="00C70388" w:rsidRDefault="00C00D4C" w:rsidP="00C00D4C">
      <w:pPr>
        <w:pStyle w:val="Bezodstpw"/>
        <w:jc w:val="both"/>
        <w:rPr>
          <w:sz w:val="26"/>
          <w:szCs w:val="26"/>
        </w:rPr>
      </w:pPr>
    </w:p>
    <w:p w:rsidR="00C00D4C" w:rsidRPr="00C70388" w:rsidRDefault="00C00D4C" w:rsidP="00C00D4C">
      <w:pPr>
        <w:pStyle w:val="Bezodstpw"/>
        <w:jc w:val="both"/>
        <w:rPr>
          <w:sz w:val="26"/>
          <w:szCs w:val="26"/>
        </w:rPr>
      </w:pPr>
      <w:r w:rsidRPr="00C70388">
        <w:rPr>
          <w:sz w:val="26"/>
          <w:szCs w:val="26"/>
        </w:rPr>
        <w:t xml:space="preserve">Prof. </w:t>
      </w:r>
      <w:proofErr w:type="spellStart"/>
      <w:r w:rsidRPr="00C70388">
        <w:rPr>
          <w:sz w:val="26"/>
          <w:szCs w:val="26"/>
        </w:rPr>
        <w:t>nadzw</w:t>
      </w:r>
      <w:proofErr w:type="spellEnd"/>
      <w:r w:rsidRPr="00C70388">
        <w:rPr>
          <w:sz w:val="26"/>
          <w:szCs w:val="26"/>
        </w:rPr>
        <w:t>. UEP dr hab. Eryk Łon jest naukowcem specjalizującym się w tematyce rynku kapitałowego i bankowości.</w:t>
      </w:r>
    </w:p>
    <w:p w:rsidR="00C00D4C" w:rsidRPr="00C957EB" w:rsidRDefault="00C00D4C" w:rsidP="00C00D4C">
      <w:pPr>
        <w:pStyle w:val="Bezodstpw"/>
        <w:jc w:val="both"/>
        <w:rPr>
          <w:sz w:val="26"/>
          <w:szCs w:val="26"/>
        </w:rPr>
      </w:pPr>
    </w:p>
    <w:p w:rsidR="00C00D4C" w:rsidRPr="00C957EB" w:rsidRDefault="00C00D4C" w:rsidP="00C00D4C">
      <w:pPr>
        <w:pStyle w:val="Bezodstpw"/>
        <w:jc w:val="both"/>
        <w:rPr>
          <w:sz w:val="26"/>
          <w:szCs w:val="26"/>
        </w:rPr>
      </w:pPr>
      <w:r w:rsidRPr="00C957EB">
        <w:rPr>
          <w:sz w:val="26"/>
          <w:szCs w:val="26"/>
        </w:rPr>
        <w:t xml:space="preserve">Jest autorem 3 książek: </w:t>
      </w:r>
      <w:proofErr w:type="gramStart"/>
      <w:r w:rsidRPr="00C957EB">
        <w:rPr>
          <w:b/>
          <w:sz w:val="26"/>
          <w:szCs w:val="26"/>
        </w:rPr>
        <w:t>,,</w:t>
      </w:r>
      <w:proofErr w:type="gramEnd"/>
      <w:r w:rsidRPr="00C957EB">
        <w:rPr>
          <w:b/>
          <w:sz w:val="26"/>
          <w:szCs w:val="26"/>
        </w:rPr>
        <w:t>Makroekonomiczne uwarunkowania koniunktury na polskim rynku akcji w świetle doświadczeń międzynarodowych”</w:t>
      </w:r>
      <w:r w:rsidRPr="00C957EB">
        <w:rPr>
          <w:sz w:val="26"/>
          <w:szCs w:val="26"/>
        </w:rPr>
        <w:t xml:space="preserve"> (2006), „</w:t>
      </w:r>
      <w:r w:rsidRPr="00C957EB">
        <w:rPr>
          <w:b/>
          <w:sz w:val="26"/>
          <w:szCs w:val="26"/>
        </w:rPr>
        <w:t>Warto mieć polską walutę”</w:t>
      </w:r>
      <w:r w:rsidRPr="00C957EB">
        <w:rPr>
          <w:sz w:val="26"/>
          <w:szCs w:val="26"/>
        </w:rPr>
        <w:t xml:space="preserve"> (2008 r.) oraz </w:t>
      </w:r>
      <w:r w:rsidRPr="00C957EB">
        <w:rPr>
          <w:b/>
          <w:sz w:val="26"/>
          <w:szCs w:val="26"/>
        </w:rPr>
        <w:t>„Powiązania amerykańskiej polityki budżetowej i pieniężnej z sytuacją na dojrzałych i wschodzących rynkach akcji”</w:t>
      </w:r>
      <w:r w:rsidRPr="00C957EB">
        <w:rPr>
          <w:sz w:val="26"/>
          <w:szCs w:val="26"/>
        </w:rPr>
        <w:t xml:space="preserve"> (2011 r.)</w:t>
      </w:r>
    </w:p>
    <w:p w:rsidR="00C00D4C" w:rsidRPr="00C70388" w:rsidRDefault="00C00D4C" w:rsidP="00C00D4C">
      <w:pPr>
        <w:pStyle w:val="Bezodstpw"/>
        <w:jc w:val="both"/>
        <w:rPr>
          <w:sz w:val="26"/>
          <w:szCs w:val="26"/>
        </w:rPr>
      </w:pPr>
    </w:p>
    <w:p w:rsidR="00C00D4C" w:rsidRDefault="00C00D4C" w:rsidP="00C00D4C">
      <w:pPr>
        <w:pStyle w:val="Bezodstpw"/>
        <w:jc w:val="both"/>
        <w:rPr>
          <w:sz w:val="26"/>
          <w:szCs w:val="26"/>
        </w:rPr>
      </w:pPr>
      <w:hyperlink r:id="rId12" w:history="1">
        <w:r w:rsidRPr="00452BEE">
          <w:rPr>
            <w:rStyle w:val="Hipercze"/>
            <w:sz w:val="26"/>
            <w:szCs w:val="26"/>
          </w:rPr>
          <w:t>http://ue.poznan.pl/pl/uniwersytet,c13/wydzialy,c18/wydzial-ekonomii,c19/katedra-finansow-publicznych,c2955/kadra,c2957/pracownicy-naukowo-dydaktyczni,c2965/dr-hab-eryk-lon-prof-nadzw-uep,a21074.html</w:t>
        </w:r>
      </w:hyperlink>
    </w:p>
    <w:p w:rsidR="00C00D4C" w:rsidRDefault="00C00D4C" w:rsidP="00C00D4C">
      <w:pPr>
        <w:pStyle w:val="Bezodstpw"/>
        <w:jc w:val="both"/>
        <w:rPr>
          <w:sz w:val="26"/>
          <w:szCs w:val="26"/>
        </w:rPr>
      </w:pPr>
    </w:p>
    <w:p w:rsidR="00C00D4C" w:rsidRDefault="00C00D4C" w:rsidP="00C00D4C">
      <w:pPr>
        <w:pStyle w:val="Bezodstpw"/>
        <w:pBdr>
          <w:top w:val="single" w:sz="4" w:space="1" w:color="auto"/>
          <w:left w:val="single" w:sz="4" w:space="4" w:color="auto"/>
          <w:bottom w:val="single" w:sz="4" w:space="1" w:color="auto"/>
          <w:right w:val="single" w:sz="4" w:space="4" w:color="auto"/>
        </w:pBdr>
        <w:shd w:val="clear" w:color="auto" w:fill="66FFCC"/>
        <w:jc w:val="both"/>
        <w:rPr>
          <w:sz w:val="26"/>
          <w:szCs w:val="26"/>
        </w:rPr>
      </w:pPr>
      <w:r>
        <w:rPr>
          <w:sz w:val="26"/>
          <w:szCs w:val="26"/>
        </w:rPr>
        <w:t xml:space="preserve">Jako zwolennik analizy technicznej z dużą uwagę przeczytałem np. taką opinię Eryka Łona: </w:t>
      </w:r>
      <w:proofErr w:type="gramStart"/>
      <w:r w:rsidRPr="00C957EB">
        <w:rPr>
          <w:b/>
          <w:sz w:val="26"/>
          <w:szCs w:val="26"/>
        </w:rPr>
        <w:t>,,</w:t>
      </w:r>
      <w:proofErr w:type="gramEnd"/>
      <w:r w:rsidRPr="00C957EB">
        <w:rPr>
          <w:b/>
          <w:sz w:val="26"/>
          <w:szCs w:val="26"/>
        </w:rPr>
        <w:t xml:space="preserve">Dokonując własnej analizy technicznej kursu euro (w polskich złotych) w oparciu o metody bardzo popularnej od XVIII wieku techniki świec japońskich doszedłem do wniosku, że w perspektywie najbliższych kilku a może nawet kilkunastu tygodni dość prawdopodobne wydaje się pewne osłabienie kursu złotego”. Zastrzegł jednocześnie, że </w:t>
      </w:r>
      <w:proofErr w:type="gramStart"/>
      <w:r w:rsidRPr="00C957EB">
        <w:rPr>
          <w:b/>
          <w:sz w:val="26"/>
          <w:szCs w:val="26"/>
        </w:rPr>
        <w:t>,,</w:t>
      </w:r>
      <w:proofErr w:type="gramEnd"/>
      <w:r w:rsidRPr="00C957EB">
        <w:rPr>
          <w:b/>
          <w:sz w:val="26"/>
          <w:szCs w:val="26"/>
        </w:rPr>
        <w:t>nie jest to oczywiście pewne, gdyż dokonywanie wszelkich prognoz obarczone jest ryzykiem”.</w:t>
      </w:r>
      <w:r>
        <w:rPr>
          <w:sz w:val="26"/>
          <w:szCs w:val="26"/>
        </w:rPr>
        <w:t xml:space="preserve"> </w:t>
      </w:r>
    </w:p>
    <w:p w:rsidR="00C00D4C" w:rsidRDefault="00C00D4C" w:rsidP="00C00D4C">
      <w:pPr>
        <w:pStyle w:val="Bezodstpw"/>
        <w:jc w:val="both"/>
        <w:rPr>
          <w:sz w:val="26"/>
          <w:szCs w:val="26"/>
        </w:rPr>
      </w:pPr>
    </w:p>
    <w:p w:rsidR="00C00D4C" w:rsidRPr="001B3FE9" w:rsidRDefault="00C00D4C" w:rsidP="00C00D4C">
      <w:pPr>
        <w:pStyle w:val="Bezodstpw"/>
        <w:jc w:val="both"/>
        <w:rPr>
          <w:b/>
          <w:sz w:val="26"/>
          <w:szCs w:val="26"/>
        </w:rPr>
      </w:pPr>
      <w:r>
        <w:rPr>
          <w:sz w:val="26"/>
          <w:szCs w:val="26"/>
        </w:rPr>
        <w:t xml:space="preserve">W tym kontekście warto zauważyć, że na wykresie kursu EUR/PLN stworzonym w oparciu o dane tygodniowe ukształtowała się </w:t>
      </w:r>
      <w:r w:rsidRPr="001B3FE9">
        <w:rPr>
          <w:b/>
          <w:sz w:val="26"/>
          <w:szCs w:val="26"/>
        </w:rPr>
        <w:t>formacja objęcia hossy.</w:t>
      </w:r>
    </w:p>
    <w:p w:rsidR="00C00D4C" w:rsidRDefault="00C00D4C" w:rsidP="00C00D4C">
      <w:pPr>
        <w:pStyle w:val="Bezodstpw"/>
        <w:jc w:val="both"/>
        <w:rPr>
          <w:sz w:val="26"/>
          <w:szCs w:val="26"/>
        </w:rPr>
      </w:pPr>
    </w:p>
    <w:p w:rsidR="00C00D4C" w:rsidRDefault="00C00D4C" w:rsidP="00C00D4C">
      <w:pPr>
        <w:pStyle w:val="Bezodstpw"/>
        <w:jc w:val="both"/>
        <w:rPr>
          <w:sz w:val="26"/>
          <w:szCs w:val="26"/>
        </w:rPr>
      </w:pPr>
      <w:r>
        <w:rPr>
          <w:sz w:val="26"/>
          <w:szCs w:val="26"/>
        </w:rPr>
        <w:t xml:space="preserve">Oznaczać to może, że pojawiła się duża szasną na zmianę trwającego od stycznia tego roku trendu spadkowego. </w:t>
      </w:r>
    </w:p>
    <w:p w:rsidR="00C00D4C" w:rsidRDefault="00C00D4C" w:rsidP="00C00D4C">
      <w:pPr>
        <w:pStyle w:val="Bezodstpw"/>
        <w:jc w:val="both"/>
        <w:rPr>
          <w:sz w:val="26"/>
          <w:szCs w:val="26"/>
        </w:rPr>
      </w:pPr>
    </w:p>
    <w:p w:rsidR="00C00D4C" w:rsidRPr="001B3FE9" w:rsidRDefault="00C00D4C" w:rsidP="00C00D4C">
      <w:pPr>
        <w:pStyle w:val="Bezodstpw"/>
        <w:jc w:val="both"/>
        <w:rPr>
          <w:b/>
          <w:sz w:val="26"/>
          <w:szCs w:val="26"/>
        </w:rPr>
      </w:pPr>
      <w:r>
        <w:rPr>
          <w:sz w:val="26"/>
          <w:szCs w:val="26"/>
        </w:rPr>
        <w:t xml:space="preserve">Co szczególnie ciekawe do pojawienie się owej formacji doszło po tym, jak </w:t>
      </w:r>
      <w:r w:rsidRPr="001B3FE9">
        <w:rPr>
          <w:b/>
          <w:sz w:val="26"/>
          <w:szCs w:val="26"/>
        </w:rPr>
        <w:t xml:space="preserve">oscylator stochastyczny wszedł do strefy </w:t>
      </w:r>
      <w:proofErr w:type="gramStart"/>
      <w:r w:rsidRPr="001B3FE9">
        <w:rPr>
          <w:b/>
          <w:sz w:val="26"/>
          <w:szCs w:val="26"/>
        </w:rPr>
        <w:t xml:space="preserve">wyprzedania. </w:t>
      </w:r>
      <w:proofErr w:type="gramEnd"/>
    </w:p>
    <w:p w:rsidR="00C00D4C" w:rsidRDefault="00C00D4C" w:rsidP="00C00D4C">
      <w:pPr>
        <w:pStyle w:val="Bezodstpw"/>
        <w:jc w:val="both"/>
        <w:rPr>
          <w:sz w:val="26"/>
          <w:szCs w:val="26"/>
        </w:rPr>
      </w:pPr>
    </w:p>
    <w:p w:rsidR="00C00D4C" w:rsidRDefault="00C00D4C" w:rsidP="00C00D4C">
      <w:pPr>
        <w:pStyle w:val="Bezodstpw"/>
        <w:jc w:val="both"/>
        <w:rPr>
          <w:sz w:val="26"/>
          <w:szCs w:val="26"/>
        </w:rPr>
      </w:pPr>
      <w:r>
        <w:rPr>
          <w:sz w:val="26"/>
          <w:szCs w:val="26"/>
        </w:rPr>
        <w:t xml:space="preserve">Wprawdzie nie </w:t>
      </w:r>
      <w:proofErr w:type="gramStart"/>
      <w:r>
        <w:rPr>
          <w:sz w:val="26"/>
          <w:szCs w:val="26"/>
        </w:rPr>
        <w:t>wiem o jakiego</w:t>
      </w:r>
      <w:proofErr w:type="gramEnd"/>
      <w:r>
        <w:rPr>
          <w:sz w:val="26"/>
          <w:szCs w:val="26"/>
        </w:rPr>
        <w:t xml:space="preserve"> typu układ świec ruchomych chodziło Erykowi Łonowi w powyższym wywiadzie, ale z mojej analizy opartej o dane tygodniowe wynika, że faktycznie w horyzoncie czasowym o jakim Eryk Łon wspominał umocnienie kursu EUR/PLN jest wysoce prawdopodobne. Jak będzie </w:t>
      </w:r>
      <w:proofErr w:type="gramStart"/>
      <w:r>
        <w:rPr>
          <w:sz w:val="26"/>
          <w:szCs w:val="26"/>
        </w:rPr>
        <w:t xml:space="preserve">faktycznie ? </w:t>
      </w:r>
      <w:proofErr w:type="gramEnd"/>
      <w:r>
        <w:rPr>
          <w:sz w:val="26"/>
          <w:szCs w:val="26"/>
        </w:rPr>
        <w:t xml:space="preserve">Zobaczymy. </w:t>
      </w:r>
    </w:p>
    <w:p w:rsidR="00C00D4C" w:rsidRDefault="00C00D4C" w:rsidP="00C00D4C">
      <w:pPr>
        <w:pStyle w:val="Bezodstpw"/>
        <w:jc w:val="both"/>
        <w:rPr>
          <w:sz w:val="26"/>
          <w:szCs w:val="26"/>
        </w:rPr>
      </w:pPr>
    </w:p>
    <w:p w:rsidR="00C00D4C" w:rsidRPr="00603180" w:rsidRDefault="00C00D4C" w:rsidP="00C00D4C">
      <w:pPr>
        <w:pStyle w:val="Bezodstpw"/>
        <w:jc w:val="both"/>
        <w:rPr>
          <w:b/>
          <w:sz w:val="26"/>
          <w:szCs w:val="26"/>
          <w:u w:val="single"/>
        </w:rPr>
      </w:pPr>
      <w:r w:rsidRPr="00603180">
        <w:rPr>
          <w:b/>
          <w:sz w:val="26"/>
          <w:szCs w:val="26"/>
          <w:u w:val="single"/>
        </w:rPr>
        <w:t>EUR/PLN</w:t>
      </w:r>
    </w:p>
    <w:p w:rsidR="00C00D4C" w:rsidRDefault="00C00D4C" w:rsidP="00C00D4C">
      <w:pPr>
        <w:pStyle w:val="Bezodstpw"/>
        <w:jc w:val="both"/>
        <w:rPr>
          <w:sz w:val="26"/>
          <w:szCs w:val="26"/>
        </w:rPr>
      </w:pPr>
    </w:p>
    <w:p w:rsidR="00C00D4C" w:rsidRDefault="00C00D4C" w:rsidP="00C00D4C">
      <w:pPr>
        <w:pStyle w:val="Bezodstpw"/>
        <w:jc w:val="both"/>
        <w:rPr>
          <w:rFonts w:ascii="Calibri" w:eastAsia="Times New Roman" w:hAnsi="Calibri" w:cs="Times New Roman"/>
          <w:b/>
          <w:color w:val="000000" w:themeColor="text1"/>
          <w:sz w:val="58"/>
          <w:szCs w:val="58"/>
          <w:u w:val="single"/>
          <w:lang w:eastAsia="pl-PL"/>
        </w:rPr>
      </w:pPr>
      <w:r>
        <w:rPr>
          <w:noProof/>
          <w:sz w:val="26"/>
          <w:szCs w:val="26"/>
          <w:lang w:eastAsia="pl-PL"/>
        </w:rPr>
        <w:drawing>
          <wp:inline distT="0" distB="0" distL="0" distR="0" wp14:anchorId="00ABF2A2" wp14:editId="5F87EE5E">
            <wp:extent cx="4238625" cy="2533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2533650"/>
                    </a:xfrm>
                    <a:prstGeom prst="rect">
                      <a:avLst/>
                    </a:prstGeom>
                    <a:noFill/>
                  </pic:spPr>
                </pic:pic>
              </a:graphicData>
            </a:graphic>
          </wp:inline>
        </w:drawing>
      </w:r>
    </w:p>
    <w:p w:rsidR="00C00D4C" w:rsidRDefault="00C00D4C" w:rsidP="00C00D4C">
      <w:pPr>
        <w:pStyle w:val="Bezodstpw"/>
        <w:jc w:val="both"/>
        <w:rPr>
          <w:rFonts w:ascii="Calibri" w:eastAsia="Times New Roman" w:hAnsi="Calibri" w:cs="Times New Roman"/>
          <w:b/>
          <w:color w:val="000000" w:themeColor="text1"/>
          <w:sz w:val="58"/>
          <w:szCs w:val="58"/>
          <w:u w:val="single"/>
          <w:lang w:eastAsia="pl-PL"/>
        </w:rPr>
      </w:pPr>
    </w:p>
    <w:p w:rsidR="001B3FE9" w:rsidRPr="006F2813" w:rsidRDefault="001B3FE9" w:rsidP="001B3FE9">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6F2813">
        <w:rPr>
          <w:sz w:val="26"/>
          <w:szCs w:val="26"/>
        </w:rPr>
        <w:lastRenderedPageBreak/>
        <w:t>Cena ropy naftowej w kluczowym momencie. Jej zachowanie może zdecydować o średnioterminowym zachowaniu indeksu WIG20</w:t>
      </w:r>
    </w:p>
    <w:p w:rsidR="001B3FE9" w:rsidRDefault="001B3FE9" w:rsidP="001B3FE9">
      <w:pPr>
        <w:pStyle w:val="Bezodstpw"/>
        <w:jc w:val="center"/>
      </w:pPr>
    </w:p>
    <w:p w:rsidR="001B3FE9" w:rsidRDefault="001B3FE9" w:rsidP="001B3FE9">
      <w:pPr>
        <w:pStyle w:val="Bezodstpw"/>
        <w:jc w:val="both"/>
        <w:rPr>
          <w:sz w:val="26"/>
          <w:szCs w:val="26"/>
        </w:rPr>
      </w:pPr>
      <w:r>
        <w:rPr>
          <w:sz w:val="26"/>
          <w:szCs w:val="26"/>
        </w:rPr>
        <w:t xml:space="preserve">W swoich publikacjach prezentowanych na stronie internetowej </w:t>
      </w:r>
      <w:hyperlink r:id="rId14" w:history="1">
        <w:r w:rsidRPr="00BE36DB">
          <w:rPr>
            <w:rStyle w:val="Hipercze"/>
            <w:sz w:val="26"/>
            <w:szCs w:val="26"/>
          </w:rPr>
          <w:t>http://analizy-rynkowe.pl/</w:t>
        </w:r>
      </w:hyperlink>
      <w:r>
        <w:rPr>
          <w:sz w:val="26"/>
          <w:szCs w:val="26"/>
        </w:rPr>
        <w:t xml:space="preserve"> wskazywałem na to, że pomiędzy zachowaniem cen kontraktów terminowych na </w:t>
      </w:r>
      <w:r w:rsidRPr="001B3FE9">
        <w:rPr>
          <w:b/>
          <w:sz w:val="26"/>
          <w:szCs w:val="26"/>
        </w:rPr>
        <w:t>ropę naftową</w:t>
      </w:r>
      <w:r>
        <w:rPr>
          <w:sz w:val="26"/>
          <w:szCs w:val="26"/>
        </w:rPr>
        <w:t xml:space="preserve"> a zachowaniem indeksu </w:t>
      </w:r>
      <w:r w:rsidRPr="001B3FE9">
        <w:rPr>
          <w:b/>
          <w:sz w:val="26"/>
          <w:szCs w:val="26"/>
        </w:rPr>
        <w:t>WIG20</w:t>
      </w:r>
      <w:r>
        <w:rPr>
          <w:sz w:val="26"/>
          <w:szCs w:val="26"/>
        </w:rPr>
        <w:t xml:space="preserve"> występuje silny związek.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sz w:val="26"/>
          <w:szCs w:val="26"/>
        </w:rPr>
        <w:t xml:space="preserve">Dziś pragnę nawiązać do tego zagadnienia. W tym kontekście warto zwrócić uwagę na wykres cen kontraktów terminowych na ropę naftową oraz wykres indeksu WIG20 na przestrzeni ostatnich kilkunastu lat. </w:t>
      </w:r>
    </w:p>
    <w:p w:rsidR="001B3FE9" w:rsidRDefault="001B3FE9" w:rsidP="001B3FE9">
      <w:pPr>
        <w:pStyle w:val="Bezodstpw"/>
        <w:jc w:val="both"/>
        <w:rPr>
          <w:sz w:val="26"/>
          <w:szCs w:val="26"/>
        </w:rPr>
      </w:pPr>
    </w:p>
    <w:p w:rsidR="001B3FE9" w:rsidRDefault="001B3FE9" w:rsidP="001B3FE9">
      <w:pPr>
        <w:pStyle w:val="Bezodstpw"/>
        <w:jc w:val="both"/>
        <w:rPr>
          <w:b/>
          <w:sz w:val="26"/>
          <w:szCs w:val="26"/>
          <w:u w:val="single"/>
        </w:rPr>
      </w:pPr>
      <w:r w:rsidRPr="006F2813">
        <w:rPr>
          <w:b/>
          <w:sz w:val="26"/>
          <w:szCs w:val="26"/>
          <w:u w:val="single"/>
        </w:rPr>
        <w:t>ROPA NAFTOWA ORAZ WIG20</w:t>
      </w:r>
    </w:p>
    <w:p w:rsidR="001B3FE9" w:rsidRDefault="001B3FE9" w:rsidP="001B3FE9">
      <w:pPr>
        <w:pStyle w:val="Bezodstpw"/>
        <w:jc w:val="both"/>
        <w:rPr>
          <w:b/>
          <w:sz w:val="26"/>
          <w:szCs w:val="26"/>
          <w:u w:val="single"/>
        </w:rPr>
      </w:pPr>
    </w:p>
    <w:p w:rsidR="001B3FE9" w:rsidRPr="006F2813" w:rsidRDefault="001B3FE9" w:rsidP="001B3FE9">
      <w:pPr>
        <w:pStyle w:val="Bezodstpw"/>
        <w:jc w:val="both"/>
        <w:rPr>
          <w:b/>
          <w:sz w:val="26"/>
          <w:szCs w:val="26"/>
          <w:u w:val="single"/>
        </w:rPr>
      </w:pPr>
      <w:r>
        <w:rPr>
          <w:b/>
          <w:noProof/>
          <w:sz w:val="26"/>
          <w:szCs w:val="26"/>
          <w:u w:val="single"/>
          <w:lang w:eastAsia="pl-PL"/>
        </w:rPr>
        <w:drawing>
          <wp:inline distT="0" distB="0" distL="0" distR="0" wp14:anchorId="0DDEF652" wp14:editId="3D9C6947">
            <wp:extent cx="5438775" cy="32670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3267075"/>
                    </a:xfrm>
                    <a:prstGeom prst="rect">
                      <a:avLst/>
                    </a:prstGeom>
                    <a:noFill/>
                  </pic:spPr>
                </pic:pic>
              </a:graphicData>
            </a:graphic>
          </wp:inline>
        </w:drawing>
      </w:r>
    </w:p>
    <w:p w:rsidR="001B3FE9" w:rsidRDefault="001B3FE9" w:rsidP="001B3FE9">
      <w:pPr>
        <w:pStyle w:val="Bezodstpw"/>
        <w:jc w:val="both"/>
      </w:pPr>
    </w:p>
    <w:p w:rsidR="001B3FE9" w:rsidRPr="00DB3EF8" w:rsidRDefault="001B3FE9" w:rsidP="001B3FE9">
      <w:pPr>
        <w:pStyle w:val="Bezodstpw"/>
        <w:jc w:val="both"/>
        <w:rPr>
          <w:sz w:val="26"/>
          <w:szCs w:val="26"/>
        </w:rPr>
      </w:pPr>
      <w:r w:rsidRPr="00DB3EF8">
        <w:rPr>
          <w:sz w:val="26"/>
          <w:szCs w:val="26"/>
        </w:rPr>
        <w:t xml:space="preserve">Z wykresu wynika, że falom wzrostu cen kontraktów terminowych na ropę </w:t>
      </w:r>
      <w:proofErr w:type="gramStart"/>
      <w:r w:rsidRPr="00DB3EF8">
        <w:rPr>
          <w:sz w:val="26"/>
          <w:szCs w:val="26"/>
        </w:rPr>
        <w:t>naftową (czyli</w:t>
      </w:r>
      <w:proofErr w:type="gramEnd"/>
      <w:r w:rsidRPr="00DB3EF8">
        <w:rPr>
          <w:sz w:val="26"/>
          <w:szCs w:val="26"/>
        </w:rPr>
        <w:t xml:space="preserve"> mówiąc w uproszczeniu falom wzrostu cen ropy naftowej) towarzyszyły wzrosty indeksu WIG20. </w:t>
      </w:r>
      <w:r>
        <w:rPr>
          <w:sz w:val="26"/>
          <w:szCs w:val="26"/>
        </w:rPr>
        <w:t xml:space="preserve">Z kolei spadkom cen ropy naftowej towarzyszyły spadki indeksu WIG20.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sz w:val="26"/>
          <w:szCs w:val="26"/>
        </w:rPr>
        <w:t xml:space="preserve">Popatrzmy teraz na wykres cen ropy naftowej. Opublikowałem go na stronie następnej. Generalnie można zauważyć, że cena ropy naftowej znalazła się w kluczowym momencie.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sz w:val="26"/>
          <w:szCs w:val="26"/>
        </w:rPr>
        <w:t xml:space="preserve">Doszliśmy właśnie do szczytu z połowy marca tego roku. Teraz stoimy przed 2 możliwościami, albo kurs cen ropy naftowej pokona opor z marca i zacznie dalej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proofErr w:type="gramStart"/>
      <w:r>
        <w:rPr>
          <w:sz w:val="26"/>
          <w:szCs w:val="26"/>
        </w:rPr>
        <w:lastRenderedPageBreak/>
        <w:t>rosnąć</w:t>
      </w:r>
      <w:proofErr w:type="gramEnd"/>
      <w:r>
        <w:rPr>
          <w:sz w:val="26"/>
          <w:szCs w:val="26"/>
        </w:rPr>
        <w:t xml:space="preserve">, albo dochodząc do wspomnianego oporu, albo po dojściu do tego oporu zacznie spadać. </w:t>
      </w:r>
    </w:p>
    <w:p w:rsidR="001B3FE9" w:rsidRDefault="001B3FE9" w:rsidP="001B3FE9">
      <w:pPr>
        <w:pStyle w:val="Bezodstpw"/>
        <w:jc w:val="both"/>
        <w:rPr>
          <w:sz w:val="26"/>
          <w:szCs w:val="26"/>
        </w:rPr>
      </w:pPr>
    </w:p>
    <w:p w:rsidR="001B3FE9" w:rsidRPr="00DB3EF8" w:rsidRDefault="001B3FE9" w:rsidP="001B3FE9">
      <w:pPr>
        <w:pStyle w:val="Bezodstpw"/>
        <w:jc w:val="both"/>
        <w:rPr>
          <w:b/>
          <w:sz w:val="26"/>
          <w:szCs w:val="26"/>
          <w:u w:val="single"/>
        </w:rPr>
      </w:pPr>
      <w:r w:rsidRPr="00DB3EF8">
        <w:rPr>
          <w:b/>
          <w:sz w:val="26"/>
          <w:szCs w:val="26"/>
          <w:u w:val="single"/>
        </w:rPr>
        <w:t xml:space="preserve">ROPA NAFTOWA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noProof/>
          <w:sz w:val="26"/>
          <w:szCs w:val="26"/>
          <w:lang w:eastAsia="pl-PL"/>
        </w:rPr>
        <w:drawing>
          <wp:inline distT="0" distB="0" distL="0" distR="0" wp14:anchorId="347F9931" wp14:editId="1E24C2D2">
            <wp:extent cx="5429250" cy="32575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sz w:val="26"/>
          <w:szCs w:val="26"/>
        </w:rPr>
        <w:t xml:space="preserve">Co jest bardziej </w:t>
      </w:r>
      <w:proofErr w:type="gramStart"/>
      <w:r>
        <w:rPr>
          <w:sz w:val="26"/>
          <w:szCs w:val="26"/>
        </w:rPr>
        <w:t xml:space="preserve">prawdopodobne ? </w:t>
      </w:r>
      <w:proofErr w:type="gramEnd"/>
      <w:r>
        <w:rPr>
          <w:sz w:val="26"/>
          <w:szCs w:val="26"/>
        </w:rPr>
        <w:t xml:space="preserve">Generalnie uważam, że chyba jednak bardziej prawdopodobny jest spadek. Warto zauważyć, że na wykresie cen ropy naftowej w długim horyzoncie czasowym </w:t>
      </w:r>
      <w:r w:rsidRPr="001B3FE9">
        <w:rPr>
          <w:b/>
          <w:sz w:val="26"/>
          <w:szCs w:val="26"/>
        </w:rPr>
        <w:t xml:space="preserve">układ średnich ruchomych jest wciąż typowy dla trendu </w:t>
      </w:r>
      <w:proofErr w:type="gramStart"/>
      <w:r w:rsidRPr="001B3FE9">
        <w:rPr>
          <w:b/>
          <w:sz w:val="26"/>
          <w:szCs w:val="26"/>
        </w:rPr>
        <w:t>spadkowego</w:t>
      </w:r>
      <w:r>
        <w:rPr>
          <w:sz w:val="26"/>
          <w:szCs w:val="26"/>
        </w:rPr>
        <w:t xml:space="preserve"> (ale</w:t>
      </w:r>
      <w:proofErr w:type="gramEnd"/>
      <w:r>
        <w:rPr>
          <w:sz w:val="26"/>
          <w:szCs w:val="26"/>
        </w:rPr>
        <w:t xml:space="preserve"> oczywiście pewności nie ma). </w:t>
      </w:r>
    </w:p>
    <w:p w:rsidR="001B3FE9" w:rsidRDefault="001B3FE9" w:rsidP="001B3FE9">
      <w:pPr>
        <w:pStyle w:val="Bezodstpw"/>
        <w:jc w:val="both"/>
        <w:rPr>
          <w:sz w:val="26"/>
          <w:szCs w:val="26"/>
        </w:rPr>
      </w:pPr>
    </w:p>
    <w:p w:rsidR="001B3FE9" w:rsidRDefault="001B3FE9" w:rsidP="001B3FE9">
      <w:pPr>
        <w:pStyle w:val="Bezodstpw"/>
        <w:jc w:val="both"/>
        <w:rPr>
          <w:b/>
          <w:sz w:val="26"/>
          <w:szCs w:val="26"/>
          <w:u w:val="single"/>
        </w:rPr>
      </w:pPr>
      <w:r w:rsidRPr="00C60799">
        <w:rPr>
          <w:b/>
          <w:sz w:val="26"/>
          <w:szCs w:val="26"/>
          <w:u w:val="single"/>
        </w:rPr>
        <w:t xml:space="preserve">ROPA NAFTOWA </w:t>
      </w:r>
    </w:p>
    <w:p w:rsidR="001B3FE9" w:rsidRDefault="001B3FE9" w:rsidP="001B3FE9">
      <w:pPr>
        <w:pStyle w:val="Bezodstpw"/>
        <w:jc w:val="both"/>
        <w:rPr>
          <w:b/>
          <w:sz w:val="26"/>
          <w:szCs w:val="26"/>
          <w:u w:val="single"/>
        </w:rPr>
      </w:pPr>
    </w:p>
    <w:p w:rsidR="001B3FE9" w:rsidRDefault="001B3FE9" w:rsidP="001B3FE9">
      <w:pPr>
        <w:pStyle w:val="Bezodstpw"/>
        <w:jc w:val="both"/>
        <w:rPr>
          <w:sz w:val="26"/>
          <w:szCs w:val="26"/>
        </w:rPr>
      </w:pPr>
      <w:r>
        <w:rPr>
          <w:b/>
          <w:noProof/>
          <w:sz w:val="26"/>
          <w:szCs w:val="26"/>
          <w:u w:val="single"/>
          <w:lang w:eastAsia="pl-PL"/>
        </w:rPr>
        <w:drawing>
          <wp:inline distT="0" distB="0" distL="0" distR="0" wp14:anchorId="0352B9DA" wp14:editId="17B07F38">
            <wp:extent cx="4838700" cy="28956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2895600"/>
                    </a:xfrm>
                    <a:prstGeom prst="rect">
                      <a:avLst/>
                    </a:prstGeom>
                    <a:noFill/>
                  </pic:spPr>
                </pic:pic>
              </a:graphicData>
            </a:graphic>
          </wp:inline>
        </w:drawing>
      </w:r>
    </w:p>
    <w:p w:rsidR="001B3FE9" w:rsidRDefault="001B3FE9" w:rsidP="001B3FE9">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Pr>
          <w:sz w:val="26"/>
          <w:szCs w:val="26"/>
        </w:rPr>
        <w:lastRenderedPageBreak/>
        <w:t>Wykres indeksu materiałów budowlanych przed szasną na dalsze wzrosty</w:t>
      </w:r>
    </w:p>
    <w:p w:rsidR="001B3FE9" w:rsidRDefault="001B3FE9" w:rsidP="001B3FE9">
      <w:pPr>
        <w:pStyle w:val="Bezodstpw"/>
        <w:jc w:val="center"/>
        <w:rPr>
          <w:sz w:val="26"/>
          <w:szCs w:val="26"/>
        </w:rPr>
      </w:pPr>
    </w:p>
    <w:p w:rsidR="001B3FE9" w:rsidRDefault="001B3FE9" w:rsidP="001B3FE9">
      <w:pPr>
        <w:pStyle w:val="Bezodstpw"/>
        <w:jc w:val="both"/>
        <w:rPr>
          <w:sz w:val="26"/>
          <w:szCs w:val="26"/>
        </w:rPr>
      </w:pPr>
      <w:proofErr w:type="gramStart"/>
      <w:r w:rsidRPr="00DD731E">
        <w:rPr>
          <w:sz w:val="26"/>
          <w:szCs w:val="26"/>
        </w:rPr>
        <w:t>Nawet jeżeli</w:t>
      </w:r>
      <w:proofErr w:type="gramEnd"/>
      <w:r w:rsidRPr="00DD731E">
        <w:rPr>
          <w:sz w:val="26"/>
          <w:szCs w:val="26"/>
        </w:rPr>
        <w:t xml:space="preserve"> założymy, że indeks WIG20 (z uwagi choćby na przytoczone wcześniej ryzyko spadków cen ropy naftowej)</w:t>
      </w:r>
      <w:r>
        <w:rPr>
          <w:sz w:val="26"/>
          <w:szCs w:val="26"/>
        </w:rPr>
        <w:t xml:space="preserve"> będzie zniżkował to nie znaczy, że taki sam spadkowy los czekać musi wszystkie indeksy branżowe. Przykładem indeksu </w:t>
      </w:r>
      <w:proofErr w:type="gramStart"/>
      <w:r>
        <w:rPr>
          <w:sz w:val="26"/>
          <w:szCs w:val="26"/>
        </w:rPr>
        <w:t>branżowego o którym</w:t>
      </w:r>
      <w:proofErr w:type="gramEnd"/>
      <w:r>
        <w:rPr>
          <w:sz w:val="26"/>
          <w:szCs w:val="26"/>
        </w:rPr>
        <w:t xml:space="preserve"> można powiedzieć, że stoi przed szasną na wzrost jest (moim zdaniem) indeks branży materiałów budowlanych. </w:t>
      </w:r>
    </w:p>
    <w:p w:rsidR="001B3FE9" w:rsidRDefault="001B3FE9" w:rsidP="001B3FE9">
      <w:pPr>
        <w:pStyle w:val="Bezodstpw"/>
        <w:jc w:val="both"/>
        <w:rPr>
          <w:sz w:val="26"/>
          <w:szCs w:val="26"/>
        </w:rPr>
      </w:pPr>
    </w:p>
    <w:p w:rsidR="001B3FE9" w:rsidRPr="008C5682" w:rsidRDefault="001B3FE9" w:rsidP="001B3FE9">
      <w:pPr>
        <w:pStyle w:val="Bezodstpw"/>
        <w:jc w:val="both"/>
        <w:rPr>
          <w:b/>
          <w:sz w:val="26"/>
          <w:szCs w:val="26"/>
        </w:rPr>
      </w:pPr>
      <w:r>
        <w:rPr>
          <w:sz w:val="26"/>
          <w:szCs w:val="26"/>
        </w:rPr>
        <w:t xml:space="preserve">Na wykresie tego indeksu można dostrzec bardzo ciekawe zjawisko </w:t>
      </w:r>
      <w:proofErr w:type="gramStart"/>
      <w:r>
        <w:rPr>
          <w:sz w:val="26"/>
          <w:szCs w:val="26"/>
        </w:rPr>
        <w:t>,,</w:t>
      </w:r>
      <w:proofErr w:type="gramEnd"/>
      <w:r>
        <w:rPr>
          <w:sz w:val="26"/>
          <w:szCs w:val="26"/>
        </w:rPr>
        <w:t xml:space="preserve">pęku średnich”. </w:t>
      </w:r>
      <w:r w:rsidRPr="008C5682">
        <w:rPr>
          <w:b/>
          <w:sz w:val="26"/>
          <w:szCs w:val="26"/>
        </w:rPr>
        <w:t xml:space="preserve">Przyznam, że kiedy dostrzegam na wykresie kursu jakiegoś instrumentu finansowego </w:t>
      </w:r>
      <w:proofErr w:type="gramStart"/>
      <w:r w:rsidRPr="008C5682">
        <w:rPr>
          <w:b/>
          <w:sz w:val="26"/>
          <w:szCs w:val="26"/>
        </w:rPr>
        <w:t>,,</w:t>
      </w:r>
      <w:proofErr w:type="gramEnd"/>
      <w:r w:rsidRPr="008C5682">
        <w:rPr>
          <w:b/>
          <w:sz w:val="26"/>
          <w:szCs w:val="26"/>
        </w:rPr>
        <w:t xml:space="preserve">pęk średnich” w połączeniu z wybiciem z formacji (typowego lub nietypowego) podwójnego dna moja ekscytacja takich układem technicznym sięga zenitu.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sz w:val="26"/>
          <w:szCs w:val="26"/>
        </w:rPr>
        <w:t xml:space="preserve">Czym jest ów </w:t>
      </w:r>
      <w:proofErr w:type="gramStart"/>
      <w:r>
        <w:rPr>
          <w:sz w:val="26"/>
          <w:szCs w:val="26"/>
        </w:rPr>
        <w:t>,,</w:t>
      </w:r>
      <w:proofErr w:type="gramEnd"/>
      <w:r>
        <w:rPr>
          <w:sz w:val="26"/>
          <w:szCs w:val="26"/>
        </w:rPr>
        <w:t xml:space="preserve">pęk średnich” ?. </w:t>
      </w:r>
      <w:r w:rsidRPr="00374776">
        <w:rPr>
          <w:sz w:val="26"/>
          <w:szCs w:val="26"/>
        </w:rPr>
        <w:t>Jego istotą jest silne zbliżenie się do siebie średnich ruchomych oraz samego kursu, który przecież jest też swoistą średnią (średnią z 1 sesji).</w:t>
      </w:r>
      <w:r>
        <w:rPr>
          <w:sz w:val="26"/>
          <w:szCs w:val="26"/>
        </w:rPr>
        <w:t xml:space="preserve"> </w:t>
      </w:r>
      <w:r w:rsidRPr="00374776">
        <w:rPr>
          <w:sz w:val="26"/>
          <w:szCs w:val="26"/>
        </w:rPr>
        <w:t xml:space="preserve">Szczególne znaczenie przywiązuje do </w:t>
      </w:r>
      <w:proofErr w:type="gramStart"/>
      <w:r w:rsidRPr="00374776">
        <w:rPr>
          <w:sz w:val="26"/>
          <w:szCs w:val="26"/>
        </w:rPr>
        <w:t>,,</w:t>
      </w:r>
      <w:proofErr w:type="gramEnd"/>
      <w:r w:rsidRPr="00374776">
        <w:rPr>
          <w:sz w:val="26"/>
          <w:szCs w:val="26"/>
        </w:rPr>
        <w:t>pęku średnich” ze 100, 200 oraz 500 sesji.</w:t>
      </w:r>
      <w:r>
        <w:rPr>
          <w:sz w:val="26"/>
          <w:szCs w:val="26"/>
        </w:rPr>
        <w:t xml:space="preserve"> </w:t>
      </w:r>
      <w:r w:rsidRPr="00374776">
        <w:rPr>
          <w:sz w:val="26"/>
          <w:szCs w:val="26"/>
        </w:rPr>
        <w:t xml:space="preserve">Kiedy średnie ruchome: z 500 sesji (czerwona przerywana), z 200 sesji (niebieska) oraz ze 100 sesji (żółta) znajdują się bardzo blisko siebie (a dodatkowo jeszcze kurs akcji, czy też indeks znajduje się blisko owych średnich ruchomych) wówczas można oczekiwać rozpoczęcia się bardzo silnego </w:t>
      </w:r>
      <w:proofErr w:type="gramStart"/>
      <w:r w:rsidRPr="00374776">
        <w:rPr>
          <w:sz w:val="26"/>
          <w:szCs w:val="26"/>
        </w:rPr>
        <w:t>ruchu.</w:t>
      </w:r>
      <w:r>
        <w:rPr>
          <w:sz w:val="26"/>
          <w:szCs w:val="26"/>
        </w:rPr>
        <w:t xml:space="preserve"> </w:t>
      </w:r>
      <w:proofErr w:type="gramEnd"/>
      <w:r>
        <w:rPr>
          <w:sz w:val="26"/>
          <w:szCs w:val="26"/>
        </w:rPr>
        <w:t xml:space="preserve">Uwaga w przypadku indeksu branży materiałów budowlanych mamy do czynienia ze szczególnym układem </w:t>
      </w:r>
      <w:proofErr w:type="gramStart"/>
      <w:r>
        <w:rPr>
          <w:sz w:val="26"/>
          <w:szCs w:val="26"/>
        </w:rPr>
        <w:t>,,</w:t>
      </w:r>
      <w:proofErr w:type="gramEnd"/>
      <w:r>
        <w:rPr>
          <w:sz w:val="26"/>
          <w:szCs w:val="26"/>
        </w:rPr>
        <w:t xml:space="preserve">pęku średnich”, kiedy do siebie zbliżyły się nie tylko średnie ze 100, 200 i 500 sesji, ale także jeszcze średnia z 1000 sesji. </w:t>
      </w:r>
    </w:p>
    <w:p w:rsidR="001B3FE9" w:rsidRDefault="001B3FE9" w:rsidP="001B3FE9">
      <w:pPr>
        <w:pStyle w:val="Bezodstpw"/>
        <w:jc w:val="both"/>
        <w:rPr>
          <w:sz w:val="26"/>
          <w:szCs w:val="26"/>
        </w:rPr>
      </w:pPr>
    </w:p>
    <w:p w:rsidR="001B3FE9" w:rsidRDefault="001B3FE9" w:rsidP="001B3FE9">
      <w:pPr>
        <w:pStyle w:val="Bezodstpw"/>
        <w:jc w:val="both"/>
        <w:rPr>
          <w:b/>
          <w:sz w:val="26"/>
          <w:szCs w:val="26"/>
          <w:u w:val="single"/>
        </w:rPr>
      </w:pPr>
      <w:r w:rsidRPr="00AB7E94">
        <w:rPr>
          <w:b/>
          <w:sz w:val="26"/>
          <w:szCs w:val="26"/>
          <w:u w:val="single"/>
        </w:rPr>
        <w:t>INDEKS MATERIAŁÓW BUDOWLANYCH</w:t>
      </w:r>
    </w:p>
    <w:p w:rsidR="001B3FE9" w:rsidRDefault="001B3FE9" w:rsidP="001B3FE9">
      <w:pPr>
        <w:pStyle w:val="Bezodstpw"/>
        <w:jc w:val="both"/>
        <w:rPr>
          <w:b/>
          <w:sz w:val="26"/>
          <w:szCs w:val="26"/>
          <w:u w:val="single"/>
        </w:rPr>
      </w:pPr>
    </w:p>
    <w:p w:rsidR="001B3FE9" w:rsidRDefault="001B3FE9" w:rsidP="001B3FE9">
      <w:pPr>
        <w:pStyle w:val="Bezodstpw"/>
        <w:jc w:val="both"/>
        <w:rPr>
          <w:b/>
          <w:sz w:val="26"/>
          <w:szCs w:val="26"/>
          <w:u w:val="single"/>
        </w:rPr>
      </w:pPr>
      <w:r>
        <w:rPr>
          <w:b/>
          <w:noProof/>
          <w:sz w:val="26"/>
          <w:szCs w:val="26"/>
          <w:u w:val="single"/>
          <w:lang w:eastAsia="pl-PL"/>
        </w:rPr>
        <w:drawing>
          <wp:inline distT="0" distB="0" distL="0" distR="0" wp14:anchorId="690D4276" wp14:editId="3CBBA5C6">
            <wp:extent cx="5419725" cy="32575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3257550"/>
                    </a:xfrm>
                    <a:prstGeom prst="rect">
                      <a:avLst/>
                    </a:prstGeom>
                    <a:noFill/>
                  </pic:spPr>
                </pic:pic>
              </a:graphicData>
            </a:graphic>
          </wp:inline>
        </w:drawing>
      </w:r>
    </w:p>
    <w:p w:rsidR="001B3FE9" w:rsidRDefault="001B3FE9" w:rsidP="001B3FE9">
      <w:pPr>
        <w:pStyle w:val="Bezodstpw"/>
        <w:jc w:val="both"/>
        <w:rPr>
          <w:sz w:val="26"/>
          <w:szCs w:val="26"/>
        </w:rPr>
      </w:pPr>
      <w:r w:rsidRPr="008C5682">
        <w:rPr>
          <w:sz w:val="26"/>
          <w:szCs w:val="26"/>
        </w:rPr>
        <w:lastRenderedPageBreak/>
        <w:t xml:space="preserve">Na </w:t>
      </w:r>
      <w:r>
        <w:rPr>
          <w:sz w:val="26"/>
          <w:szCs w:val="26"/>
        </w:rPr>
        <w:t xml:space="preserve">wykresie indeksu materiałów budowlanych doszło do wybicia z formacji nietypowego podwójnego dna. Gdyby formacja ta się wypełniła indeks ten powinien wzrosnąć o 20,8 %. Co ciekawe doszło także do przebicia spadkowej linii </w:t>
      </w:r>
      <w:proofErr w:type="gramStart"/>
      <w:r>
        <w:rPr>
          <w:sz w:val="26"/>
          <w:szCs w:val="26"/>
        </w:rPr>
        <w:t xml:space="preserve">trendu. </w:t>
      </w:r>
      <w:proofErr w:type="gramEnd"/>
    </w:p>
    <w:p w:rsidR="001B3FE9" w:rsidRDefault="001B3FE9" w:rsidP="001B3FE9">
      <w:pPr>
        <w:pStyle w:val="Bezodstpw"/>
        <w:jc w:val="both"/>
        <w:rPr>
          <w:sz w:val="26"/>
          <w:szCs w:val="26"/>
        </w:rPr>
      </w:pPr>
    </w:p>
    <w:p w:rsidR="001B3FE9" w:rsidRDefault="001B3FE9" w:rsidP="001B3FE9">
      <w:pPr>
        <w:pStyle w:val="Bezodstpw"/>
        <w:jc w:val="both"/>
        <w:rPr>
          <w:b/>
          <w:sz w:val="26"/>
          <w:szCs w:val="26"/>
          <w:u w:val="single"/>
        </w:rPr>
      </w:pPr>
      <w:r w:rsidRPr="008C5682">
        <w:rPr>
          <w:b/>
          <w:sz w:val="26"/>
          <w:szCs w:val="26"/>
          <w:u w:val="single"/>
        </w:rPr>
        <w:t xml:space="preserve">MATERIAŁY BUDOWLANE </w:t>
      </w:r>
    </w:p>
    <w:p w:rsidR="001B3FE9" w:rsidRDefault="001B3FE9" w:rsidP="001B3FE9">
      <w:pPr>
        <w:pStyle w:val="Bezodstpw"/>
        <w:jc w:val="both"/>
        <w:rPr>
          <w:b/>
          <w:sz w:val="26"/>
          <w:szCs w:val="26"/>
          <w:u w:val="single"/>
        </w:rPr>
      </w:pPr>
    </w:p>
    <w:p w:rsidR="001B3FE9" w:rsidRPr="008C5682" w:rsidRDefault="001B3FE9" w:rsidP="001B3FE9">
      <w:pPr>
        <w:pStyle w:val="Bezodstpw"/>
        <w:jc w:val="both"/>
        <w:rPr>
          <w:b/>
          <w:sz w:val="26"/>
          <w:szCs w:val="26"/>
          <w:u w:val="single"/>
        </w:rPr>
      </w:pPr>
      <w:r>
        <w:rPr>
          <w:b/>
          <w:noProof/>
          <w:sz w:val="26"/>
          <w:szCs w:val="26"/>
          <w:u w:val="single"/>
          <w:lang w:eastAsia="pl-PL"/>
        </w:rPr>
        <w:drawing>
          <wp:inline distT="0" distB="0" distL="0" distR="0" wp14:anchorId="05D36EE8" wp14:editId="1B5262D2">
            <wp:extent cx="5429250" cy="32575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1B3FE9" w:rsidRDefault="001B3FE9" w:rsidP="001B3FE9">
      <w:pPr>
        <w:pStyle w:val="Bezodstpw"/>
        <w:jc w:val="both"/>
        <w:rPr>
          <w:b/>
          <w:sz w:val="26"/>
          <w:szCs w:val="26"/>
          <w:u w:val="single"/>
        </w:rPr>
      </w:pPr>
    </w:p>
    <w:p w:rsidR="001B3FE9" w:rsidRPr="00240724" w:rsidRDefault="001B3FE9" w:rsidP="001B3FE9">
      <w:pPr>
        <w:pStyle w:val="Bezodstpw"/>
        <w:jc w:val="both"/>
        <w:rPr>
          <w:sz w:val="26"/>
          <w:szCs w:val="26"/>
          <w:u w:val="single"/>
        </w:rPr>
      </w:pPr>
      <w:r w:rsidRPr="00511D23">
        <w:rPr>
          <w:sz w:val="26"/>
          <w:szCs w:val="26"/>
        </w:rPr>
        <w:t xml:space="preserve">Chciałbym przypomnieć, w jaki sposób można obliczyć </w:t>
      </w:r>
      <w:r w:rsidRPr="00240724">
        <w:rPr>
          <w:sz w:val="26"/>
          <w:szCs w:val="26"/>
          <w:u w:val="single"/>
        </w:rPr>
        <w:t>minimalny docelowy poziom kursu po wybicia z formacji podwójnego dna.</w:t>
      </w:r>
    </w:p>
    <w:p w:rsidR="001B3FE9" w:rsidRPr="00511D23" w:rsidRDefault="001B3FE9" w:rsidP="001B3FE9">
      <w:pPr>
        <w:pStyle w:val="Bezodstpw"/>
        <w:jc w:val="both"/>
        <w:rPr>
          <w:sz w:val="26"/>
          <w:szCs w:val="26"/>
        </w:rPr>
      </w:pPr>
    </w:p>
    <w:p w:rsidR="001B3FE9" w:rsidRPr="00511D23" w:rsidRDefault="001B3FE9" w:rsidP="001B3FE9">
      <w:pPr>
        <w:pStyle w:val="Bezodstpw"/>
        <w:jc w:val="both"/>
        <w:rPr>
          <w:sz w:val="26"/>
          <w:szCs w:val="26"/>
        </w:rPr>
      </w:pPr>
      <w:r w:rsidRPr="00511D23">
        <w:rPr>
          <w:sz w:val="26"/>
          <w:szCs w:val="26"/>
        </w:rPr>
        <w:t>Sposób postępowania jest następujący:</w:t>
      </w:r>
    </w:p>
    <w:p w:rsidR="001B3FE9" w:rsidRPr="00511D23" w:rsidRDefault="001B3FE9" w:rsidP="001B3FE9">
      <w:pPr>
        <w:pStyle w:val="Bezodstpw"/>
        <w:jc w:val="both"/>
        <w:rPr>
          <w:sz w:val="26"/>
          <w:szCs w:val="26"/>
          <w:u w:val="single"/>
        </w:rPr>
      </w:pP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r w:rsidRPr="0097637E">
        <w:rPr>
          <w:b/>
          <w:color w:val="FFFFFF" w:themeColor="background1"/>
          <w:sz w:val="26"/>
          <w:szCs w:val="26"/>
        </w:rPr>
        <w:t>1.Ustalamy poziom wyższego dołka (z dołków D1 oraz D2)</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r w:rsidRPr="0097637E">
        <w:rPr>
          <w:b/>
          <w:color w:val="FFFFFF" w:themeColor="background1"/>
          <w:sz w:val="26"/>
          <w:szCs w:val="26"/>
        </w:rPr>
        <w:t>2.Ustalamy poziom szczytu (S) pomiędzy dołkami</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r w:rsidRPr="0097637E">
        <w:rPr>
          <w:b/>
          <w:color w:val="FFFFFF" w:themeColor="background1"/>
          <w:sz w:val="26"/>
          <w:szCs w:val="26"/>
        </w:rPr>
        <w:t>3.Dzielimy poziom szczytu (S) przez poziom wyższego dołka</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r w:rsidRPr="0097637E">
        <w:rPr>
          <w:b/>
          <w:color w:val="FFFFFF" w:themeColor="background1"/>
          <w:sz w:val="26"/>
          <w:szCs w:val="26"/>
        </w:rPr>
        <w:t>4.W wyniku tego dzielenia otrzymujemy mnożnik podwójnego dna</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r w:rsidRPr="0097637E">
        <w:rPr>
          <w:b/>
          <w:color w:val="FFFFFF" w:themeColor="background1"/>
          <w:sz w:val="26"/>
          <w:szCs w:val="26"/>
        </w:rPr>
        <w:t>5.Mnożnik podwójnego dna mnożymy przez poziom szczytu (S)</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r w:rsidRPr="0097637E">
        <w:rPr>
          <w:b/>
          <w:color w:val="FFFFFF" w:themeColor="background1"/>
          <w:sz w:val="26"/>
          <w:szCs w:val="26"/>
        </w:rPr>
        <w:t xml:space="preserve">6.W wyniku tego mnożenia otrzymujemy pewną liczbę, którą </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roofErr w:type="gramStart"/>
      <w:r w:rsidRPr="0097637E">
        <w:rPr>
          <w:b/>
          <w:color w:val="FFFFFF" w:themeColor="background1"/>
          <w:sz w:val="26"/>
          <w:szCs w:val="26"/>
        </w:rPr>
        <w:t>zaokrąglamy</w:t>
      </w:r>
      <w:proofErr w:type="gramEnd"/>
      <w:r w:rsidRPr="0097637E">
        <w:rPr>
          <w:b/>
          <w:color w:val="FFFFFF" w:themeColor="background1"/>
          <w:sz w:val="26"/>
          <w:szCs w:val="26"/>
        </w:rPr>
        <w:t xml:space="preserve"> do 2 miejsc po przecinku</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r w:rsidRPr="0097637E">
        <w:rPr>
          <w:b/>
          <w:color w:val="FFFFFF" w:themeColor="background1"/>
          <w:sz w:val="26"/>
          <w:szCs w:val="26"/>
        </w:rPr>
        <w:t xml:space="preserve">7.Liczba ta to minimalny docelowy poziom kursu po wybicia </w:t>
      </w:r>
    </w:p>
    <w:p w:rsidR="001B3FE9" w:rsidRPr="0097637E" w:rsidRDefault="001B3FE9" w:rsidP="001B3FE9">
      <w:pPr>
        <w:pStyle w:val="Bezodstpw"/>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26"/>
          <w:szCs w:val="26"/>
        </w:rPr>
      </w:pPr>
      <w:proofErr w:type="gramStart"/>
      <w:r w:rsidRPr="0097637E">
        <w:rPr>
          <w:b/>
          <w:color w:val="FFFFFF" w:themeColor="background1"/>
          <w:sz w:val="26"/>
          <w:szCs w:val="26"/>
        </w:rPr>
        <w:t>z</w:t>
      </w:r>
      <w:proofErr w:type="gramEnd"/>
      <w:r w:rsidRPr="0097637E">
        <w:rPr>
          <w:b/>
          <w:color w:val="FFFFFF" w:themeColor="background1"/>
          <w:sz w:val="26"/>
          <w:szCs w:val="26"/>
        </w:rPr>
        <w:t xml:space="preserve"> formacji podwójnego dna</w:t>
      </w:r>
    </w:p>
    <w:p w:rsidR="001B3FE9" w:rsidRDefault="001B3FE9" w:rsidP="001B3FE9">
      <w:pPr>
        <w:pStyle w:val="Bezodstpw"/>
        <w:jc w:val="both"/>
        <w:rPr>
          <w:sz w:val="26"/>
          <w:szCs w:val="26"/>
        </w:rPr>
      </w:pPr>
      <w:r>
        <w:rPr>
          <w:sz w:val="26"/>
          <w:szCs w:val="26"/>
        </w:rPr>
        <w:lastRenderedPageBreak/>
        <w:t xml:space="preserve">Warto zauważyć, że spośród spółek wchodzących w skład indeksu materiałów budowlanych na przestrzeni ostatnich 12 miesięcy w rubryce </w:t>
      </w:r>
      <w:proofErr w:type="gramStart"/>
      <w:r>
        <w:rPr>
          <w:sz w:val="26"/>
          <w:szCs w:val="26"/>
        </w:rPr>
        <w:t>,,</w:t>
      </w:r>
      <w:proofErr w:type="gramEnd"/>
      <w:r>
        <w:rPr>
          <w:sz w:val="26"/>
          <w:szCs w:val="26"/>
        </w:rPr>
        <w:t xml:space="preserve">Wykres do przemyślenia” znalazły się Ropczyce oraz </w:t>
      </w:r>
      <w:proofErr w:type="spellStart"/>
      <w:r>
        <w:rPr>
          <w:sz w:val="26"/>
          <w:szCs w:val="26"/>
        </w:rPr>
        <w:t>Mercor</w:t>
      </w:r>
      <w:proofErr w:type="spellEnd"/>
      <w:r>
        <w:rPr>
          <w:sz w:val="26"/>
          <w:szCs w:val="26"/>
        </w:rPr>
        <w:t xml:space="preserve">.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sidRPr="00606222">
        <w:rPr>
          <w:b/>
          <w:sz w:val="26"/>
          <w:szCs w:val="26"/>
          <w:u w:val="single"/>
        </w:rPr>
        <w:t>ROPCZYCE</w:t>
      </w:r>
    </w:p>
    <w:p w:rsidR="001B3FE9" w:rsidRDefault="001B3FE9" w:rsidP="001B3FE9">
      <w:pPr>
        <w:pStyle w:val="Bezodstpw"/>
        <w:jc w:val="both"/>
        <w:rPr>
          <w:sz w:val="26"/>
          <w:szCs w:val="26"/>
        </w:rPr>
      </w:pPr>
      <w:r>
        <w:rPr>
          <w:noProof/>
          <w:sz w:val="26"/>
          <w:szCs w:val="26"/>
          <w:lang w:eastAsia="pl-PL"/>
        </w:rPr>
        <w:drawing>
          <wp:inline distT="0" distB="0" distL="0" distR="0" wp14:anchorId="42A5D008" wp14:editId="6E2A9028">
            <wp:extent cx="4829175" cy="28956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sz w:val="26"/>
          <w:szCs w:val="26"/>
        </w:rPr>
        <w:t xml:space="preserve">Na wykresie kursu akcji spółki Ropczyce doszło do wybicia z formacji nietypowego podwójnego dna. Gdyby formacja ta miała się wypełnić kurs akcji spółki Ropczyce powinien wzrosnąć </w:t>
      </w:r>
      <w:r w:rsidRPr="004E3BE4">
        <w:rPr>
          <w:b/>
          <w:sz w:val="26"/>
          <w:szCs w:val="26"/>
        </w:rPr>
        <w:t>do 38 złotych i 21 groszy.</w:t>
      </w:r>
      <w:r>
        <w:rPr>
          <w:sz w:val="26"/>
          <w:szCs w:val="26"/>
        </w:rPr>
        <w:t xml:space="preserve">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sidRPr="00606222">
        <w:rPr>
          <w:b/>
          <w:sz w:val="26"/>
          <w:szCs w:val="26"/>
          <w:u w:val="single"/>
        </w:rPr>
        <w:t xml:space="preserve">MERCOR </w:t>
      </w:r>
    </w:p>
    <w:p w:rsidR="001B3FE9" w:rsidRDefault="001B3FE9" w:rsidP="001B3FE9">
      <w:pPr>
        <w:pStyle w:val="Bezodstpw"/>
        <w:jc w:val="both"/>
        <w:rPr>
          <w:sz w:val="26"/>
          <w:szCs w:val="26"/>
        </w:rPr>
      </w:pPr>
      <w:r>
        <w:rPr>
          <w:sz w:val="26"/>
          <w:szCs w:val="26"/>
        </w:rPr>
        <w:t xml:space="preserve">Na wykresie kursu akcji spółki </w:t>
      </w:r>
      <w:proofErr w:type="spellStart"/>
      <w:r>
        <w:rPr>
          <w:sz w:val="26"/>
          <w:szCs w:val="26"/>
        </w:rPr>
        <w:t>Mercor</w:t>
      </w:r>
      <w:proofErr w:type="spellEnd"/>
      <w:r>
        <w:rPr>
          <w:sz w:val="26"/>
          <w:szCs w:val="26"/>
        </w:rPr>
        <w:t xml:space="preserve"> doszło do wybicia z formacji nietypowego podwójnego dna. Gdyby formacja ta miała się wypełnić kurs akcji spółki Ropczyce powinien wzrosnąć do 17 złotych i 8 groszy. </w:t>
      </w:r>
    </w:p>
    <w:p w:rsidR="001B3FE9" w:rsidRDefault="001B3FE9" w:rsidP="001B3FE9">
      <w:pPr>
        <w:pStyle w:val="Bezodstpw"/>
        <w:jc w:val="both"/>
        <w:rPr>
          <w:sz w:val="26"/>
          <w:szCs w:val="26"/>
        </w:rPr>
      </w:pPr>
    </w:p>
    <w:p w:rsidR="001B3FE9" w:rsidRDefault="001B3FE9" w:rsidP="001B3FE9">
      <w:pPr>
        <w:pStyle w:val="Bezodstpw"/>
        <w:jc w:val="both"/>
        <w:rPr>
          <w:sz w:val="26"/>
          <w:szCs w:val="26"/>
        </w:rPr>
      </w:pPr>
      <w:r>
        <w:rPr>
          <w:noProof/>
          <w:sz w:val="26"/>
          <w:szCs w:val="26"/>
          <w:lang w:eastAsia="pl-PL"/>
        </w:rPr>
        <w:drawing>
          <wp:inline distT="0" distB="0" distL="0" distR="0" wp14:anchorId="71E932C8" wp14:editId="1A4E245C">
            <wp:extent cx="4829175" cy="29051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1B3FE9" w:rsidRDefault="001B3FE9" w:rsidP="001B3FE9">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lastRenderedPageBreak/>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1B3FE9" w:rsidRDefault="001B3FE9" w:rsidP="001B3FE9">
      <w:pPr>
        <w:spacing w:after="0" w:line="240" w:lineRule="auto"/>
        <w:jc w:val="both"/>
        <w:rPr>
          <w:rFonts w:eastAsia="Times New Roman" w:cs="Times New Roman"/>
          <w:b/>
          <w:sz w:val="26"/>
          <w:szCs w:val="26"/>
          <w:lang w:eastAsia="pl-PL"/>
        </w:rPr>
      </w:pPr>
    </w:p>
    <w:p w:rsidR="001B3FE9" w:rsidRDefault="001B3FE9" w:rsidP="001B3FE9">
      <w:pPr>
        <w:spacing w:after="0" w:line="240" w:lineRule="auto"/>
        <w:jc w:val="both"/>
        <w:rPr>
          <w:rFonts w:eastAsia="Times New Roman" w:cs="Times New Roman"/>
          <w:b/>
          <w:sz w:val="26"/>
          <w:szCs w:val="26"/>
          <w:lang w:eastAsia="pl-PL"/>
        </w:rPr>
      </w:pPr>
    </w:p>
    <w:p w:rsidR="001B3FE9" w:rsidRDefault="001B3FE9" w:rsidP="001B3FE9">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 xml:space="preserve">Obliczenia według stanu na </w:t>
      </w:r>
      <w:r w:rsidR="00B479C4">
        <w:rPr>
          <w:rFonts w:eastAsia="Times New Roman" w:cs="Times New Roman"/>
          <w:b/>
          <w:sz w:val="32"/>
          <w:szCs w:val="32"/>
          <w:u w:val="single"/>
          <w:lang w:eastAsia="pl-PL"/>
        </w:rPr>
        <w:t>15</w:t>
      </w:r>
      <w:r>
        <w:rPr>
          <w:rFonts w:eastAsia="Times New Roman" w:cs="Times New Roman"/>
          <w:b/>
          <w:sz w:val="32"/>
          <w:szCs w:val="32"/>
          <w:u w:val="single"/>
          <w:lang w:eastAsia="pl-PL"/>
        </w:rPr>
        <w:t xml:space="preserve"> kwietnia 2016 roku</w:t>
      </w:r>
    </w:p>
    <w:p w:rsidR="001B3FE9" w:rsidRDefault="001B3FE9" w:rsidP="001B3FE9">
      <w:pPr>
        <w:spacing w:after="0" w:line="240" w:lineRule="auto"/>
        <w:jc w:val="center"/>
        <w:rPr>
          <w:rFonts w:eastAsia="Times New Roman" w:cs="Times New Roman"/>
          <w:b/>
          <w:sz w:val="32"/>
          <w:szCs w:val="32"/>
          <w:u w:val="single"/>
          <w:lang w:eastAsia="pl-PL"/>
        </w:rPr>
      </w:pPr>
    </w:p>
    <w:p w:rsidR="001B3FE9" w:rsidRDefault="001B3FE9" w:rsidP="001B3FE9">
      <w:pPr>
        <w:spacing w:after="0" w:line="240" w:lineRule="auto"/>
        <w:jc w:val="both"/>
        <w:rPr>
          <w:rFonts w:eastAsia="Times New Roman" w:cs="Times New Roman"/>
          <w:b/>
          <w:sz w:val="26"/>
          <w:szCs w:val="26"/>
          <w:lang w:eastAsia="pl-PL"/>
        </w:rPr>
      </w:pPr>
    </w:p>
    <w:p w:rsidR="001B3FE9" w:rsidRDefault="001B3FE9" w:rsidP="001B3FE9">
      <w:pPr>
        <w:spacing w:after="0" w:line="240" w:lineRule="auto"/>
        <w:jc w:val="both"/>
        <w:rPr>
          <w:rFonts w:eastAsia="Times New Roman" w:cs="Times New Roman"/>
          <w:b/>
          <w:sz w:val="26"/>
          <w:szCs w:val="26"/>
          <w:lang w:eastAsia="pl-PL"/>
        </w:rPr>
      </w:pPr>
      <w:r>
        <w:rPr>
          <w:rFonts w:eastAsia="Times New Roman" w:cs="Times New Roman"/>
          <w:b/>
          <w:sz w:val="26"/>
          <w:szCs w:val="26"/>
          <w:lang w:eastAsia="pl-PL"/>
        </w:rPr>
        <w:lastRenderedPageBreak/>
        <w:t xml:space="preserve">Wprowadzenie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Strona internetowa </w:t>
      </w:r>
      <w:hyperlink r:id="rId22" w:history="1">
        <w:r>
          <w:rPr>
            <w:rStyle w:val="Hipercze"/>
            <w:rFonts w:eastAsia="Times New Roman" w:cs="Times New Roman"/>
            <w:sz w:val="26"/>
            <w:szCs w:val="26"/>
            <w:lang w:eastAsia="pl-PL"/>
          </w:rPr>
          <w:t>http://analizy-rynkowe.pl/</w:t>
        </w:r>
      </w:hyperlink>
      <w:r>
        <w:rPr>
          <w:rFonts w:eastAsia="Times New Roman" w:cs="Times New Roman"/>
          <w:sz w:val="26"/>
          <w:szCs w:val="26"/>
          <w:lang w:eastAsia="pl-PL"/>
        </w:rPr>
        <w:t xml:space="preserve"> prowadzona jest od września 2014 roku.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Co tydzień publikowany jest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Raport Tygodniowy”</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Od czasu do czasu umieszczam wybrane spółki w rubryce </w:t>
      </w:r>
      <w:proofErr w:type="gramStart"/>
      <w:r>
        <w:rPr>
          <w:rFonts w:eastAsia="Times New Roman" w:cs="Times New Roman"/>
          <w:b/>
          <w:color w:val="FF0000"/>
          <w:sz w:val="26"/>
          <w:szCs w:val="26"/>
          <w:lang w:eastAsia="pl-PL"/>
        </w:rPr>
        <w:t>,,</w:t>
      </w:r>
      <w:proofErr w:type="gramEnd"/>
      <w:r>
        <w:rPr>
          <w:rFonts w:eastAsia="Times New Roman" w:cs="Times New Roman"/>
          <w:b/>
          <w:color w:val="FF0000"/>
          <w:sz w:val="26"/>
          <w:szCs w:val="26"/>
          <w:lang w:eastAsia="pl-PL"/>
        </w:rPr>
        <w:t xml:space="preserve">Wykres do przemyślenia”.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Umieszczane są tam te przykładowe spółki, których kurs </w:t>
      </w:r>
      <w:r>
        <w:rPr>
          <w:rFonts w:eastAsia="Times New Roman" w:cs="Times New Roman"/>
          <w:b/>
          <w:color w:val="FF0000"/>
          <w:sz w:val="26"/>
          <w:szCs w:val="26"/>
          <w:lang w:eastAsia="pl-PL"/>
        </w:rPr>
        <w:t xml:space="preserve">wybił się z formacji podwójnego dna.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Formacja podwójnego dna ma </w:t>
      </w:r>
      <w:r>
        <w:rPr>
          <w:rFonts w:eastAsia="Times New Roman" w:cs="Times New Roman"/>
          <w:b/>
          <w:sz w:val="26"/>
          <w:szCs w:val="26"/>
          <w:lang w:eastAsia="pl-PL"/>
        </w:rPr>
        <w:t xml:space="preserve">2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 xml:space="preserve">zadania”.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Podstawowym, minimalnym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jej wypełnienie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Drugim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doprowadzenie do zmiany trendu ze spadkowego na wzrostowy.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Osobiście wyróżniam </w:t>
      </w:r>
      <w:r>
        <w:rPr>
          <w:rFonts w:eastAsia="Times New Roman" w:cs="Times New Roman"/>
          <w:b/>
          <w:sz w:val="26"/>
          <w:szCs w:val="26"/>
          <w:lang w:eastAsia="pl-PL"/>
        </w:rPr>
        <w:t>typowe oraz nietypowe podwójne dno.</w:t>
      </w:r>
      <w:r>
        <w:rPr>
          <w:rFonts w:eastAsia="Times New Roman" w:cs="Times New Roman"/>
          <w:sz w:val="26"/>
          <w:szCs w:val="26"/>
          <w:lang w:eastAsia="pl-PL"/>
        </w:rPr>
        <w:t xml:space="preserve">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Typowa formacja podwójnego dna charakteryzuje się tym, że dołki w formacji kształtują się na poziomie identycznym, bądź prawie identycznym.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Natomiast w przypadku nietypowej formacji podwójnego dna kształtują się one na poziomie zupełnie odmiennym.</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Od pierwszego numeru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postanowiłem, że będę </w:t>
      </w:r>
      <w:r>
        <w:rPr>
          <w:rFonts w:eastAsia="Times New Roman" w:cs="Times New Roman"/>
          <w:b/>
          <w:sz w:val="26"/>
          <w:szCs w:val="26"/>
          <w:lang w:eastAsia="pl-PL"/>
        </w:rPr>
        <w:t>porównywał</w:t>
      </w:r>
      <w:r>
        <w:rPr>
          <w:rFonts w:eastAsia="Times New Roman" w:cs="Times New Roman"/>
          <w:sz w:val="26"/>
          <w:szCs w:val="26"/>
          <w:lang w:eastAsia="pl-PL"/>
        </w:rPr>
        <w:t xml:space="preserve"> zachowanie kursu akcji spółki po wprowadzeniu jej do rubryki ,,Wykres do przemyślenia” </w:t>
      </w:r>
      <w:r>
        <w:rPr>
          <w:rFonts w:eastAsia="Times New Roman" w:cs="Times New Roman"/>
          <w:b/>
          <w:sz w:val="26"/>
          <w:szCs w:val="26"/>
          <w:lang w:eastAsia="pl-PL"/>
        </w:rPr>
        <w:t xml:space="preserve">z zachowaniem indeksu WIG20.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Mam świadomość, że podejście to może budzić kontrowersje, sprzeciw. Dobrze. Tak być musi.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Postanowiłem odpowiedzieć na pytanie: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Ile wynosiła średnia procentowa zmiana kursu akcji spółki po wprowadzeniu jej do rubryki ,,Wykres do przemyślenia” w okresie 12 pierwszych miesięcy po jej wprowadzeniu do tej rubryki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W związku z powyższym postanowiłem odpowiedzieć </w:t>
      </w:r>
      <w:r>
        <w:rPr>
          <w:rFonts w:eastAsia="Times New Roman" w:cs="Times New Roman"/>
          <w:b/>
          <w:sz w:val="26"/>
          <w:szCs w:val="26"/>
          <w:lang w:eastAsia="pl-PL"/>
        </w:rPr>
        <w:t>także</w:t>
      </w:r>
      <w:r>
        <w:rPr>
          <w:rFonts w:eastAsia="Times New Roman" w:cs="Times New Roman"/>
          <w:sz w:val="26"/>
          <w:szCs w:val="26"/>
          <w:lang w:eastAsia="pl-PL"/>
        </w:rPr>
        <w:t xml:space="preserve"> na pytanie: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Ile wynosiła średnia procentowa zmiana indeksu WIG 20 w tym okresie ?”. Odpowiedź na te pytania przedstawiłem w tabeli na następnej stronie. </w:t>
      </w: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1B3FE9" w:rsidRDefault="001B3FE9" w:rsidP="001B3FE9">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+15,2 %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+11,3 %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+55,4 %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+58,1 %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+35,0 %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-15,5 %</w:t>
            </w:r>
          </w:p>
        </w:tc>
      </w:tr>
    </w:tbl>
    <w:p w:rsidR="001B3FE9" w:rsidRDefault="001B3FE9" w:rsidP="001B3FE9">
      <w:pPr>
        <w:spacing w:after="0" w:line="240" w:lineRule="auto"/>
        <w:jc w:val="both"/>
        <w:rPr>
          <w:rFonts w:ascii="Calibri" w:eastAsia="Times New Roman" w:hAnsi="Calibri" w:cs="Times New Roman"/>
          <w:sz w:val="36"/>
          <w:szCs w:val="36"/>
          <w:u w:val="single"/>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1B3FE9" w:rsidRDefault="001B3FE9" w:rsidP="001B3FE9">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-20,8 %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-20,8 %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-12,5 %</w:t>
            </w:r>
          </w:p>
        </w:tc>
      </w:tr>
    </w:tbl>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23"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1B3FE9" w:rsidRDefault="001B3FE9" w:rsidP="001B3FE9">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24,2 %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24,2 %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-12,2 %</w:t>
            </w:r>
          </w:p>
        </w:tc>
      </w:tr>
    </w:tbl>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1B3FE9" w:rsidRDefault="001B3FE9" w:rsidP="001B3FE9">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2,3 %</w:t>
            </w:r>
          </w:p>
        </w:tc>
      </w:tr>
      <w:tr w:rsidR="001B3FE9" w:rsidTr="00ED3C83">
        <w:trPr>
          <w:trHeight w:val="310"/>
        </w:trPr>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2,3 %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-13,2 %</w:t>
            </w:r>
          </w:p>
        </w:tc>
      </w:tr>
    </w:tbl>
    <w:p w:rsidR="001B3FE9" w:rsidRDefault="001B3FE9" w:rsidP="001B3FE9">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25 września na stronie internetowej </w:t>
      </w:r>
      <w:hyperlink r:id="rId24"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1B3FE9" w:rsidRDefault="001B3FE9" w:rsidP="001B3FE9">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+29,7 %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+29,7 %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-15,8 %</w:t>
            </w:r>
          </w:p>
        </w:tc>
      </w:tr>
    </w:tbl>
    <w:p w:rsidR="001B3FE9" w:rsidRDefault="001B3FE9" w:rsidP="001B3FE9">
      <w:pPr>
        <w:spacing w:after="0" w:line="240" w:lineRule="auto"/>
        <w:jc w:val="both"/>
        <w:rPr>
          <w:rFonts w:eastAsiaTheme="minorEastAsia" w:cs="Times New Roman"/>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1B3FE9" w:rsidRDefault="001B3FE9" w:rsidP="001B3FE9">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+19,9 %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+61,5 %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- 49,9 %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+10,5%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- 15,8 %</w:t>
            </w:r>
          </w:p>
        </w:tc>
      </w:tr>
    </w:tbl>
    <w:p w:rsidR="001B3FE9" w:rsidRDefault="001B3FE9" w:rsidP="001B3FE9">
      <w:pPr>
        <w:spacing w:after="0" w:line="240" w:lineRule="auto"/>
        <w:rPr>
          <w:rFonts w:ascii="Calibri" w:eastAsia="Times New Roman" w:hAnsi="Calibri" w:cs="Times New Roman"/>
          <w:sz w:val="26"/>
          <w:szCs w:val="26"/>
          <w:u w:val="single"/>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1B3FE9" w:rsidRDefault="001B3FE9" w:rsidP="001B3FE9">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+13,9 %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+13,9 %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-16,7 %</w:t>
            </w:r>
          </w:p>
        </w:tc>
      </w:tr>
    </w:tbl>
    <w:p w:rsidR="001B3FE9" w:rsidRDefault="001B3FE9" w:rsidP="001B3FE9">
      <w:pPr>
        <w:spacing w:after="0" w:line="240" w:lineRule="auto"/>
        <w:rPr>
          <w:rFonts w:ascii="Calibri" w:eastAsia="Times New Roman" w:hAnsi="Calibri" w:cs="Times New Roman"/>
          <w:sz w:val="26"/>
          <w:szCs w:val="26"/>
          <w:u w:val="single"/>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1B3FE9" w:rsidRDefault="001B3FE9" w:rsidP="001B3FE9">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-38,0 %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-38,0 %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-11,6 %</w:t>
            </w:r>
          </w:p>
        </w:tc>
      </w:tr>
    </w:tbl>
    <w:p w:rsidR="001B3FE9" w:rsidRDefault="001B3FE9" w:rsidP="001B3FE9">
      <w:pPr>
        <w:spacing w:after="0" w:line="240" w:lineRule="auto"/>
        <w:rPr>
          <w:rFonts w:ascii="Calibri" w:eastAsia="Times New Roman" w:hAnsi="Calibri" w:cs="Times New Roman"/>
          <w:sz w:val="42"/>
          <w:szCs w:val="42"/>
          <w:u w:val="single"/>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22 października na stronie internetowej </w:t>
      </w:r>
      <w:hyperlink r:id="rId25"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1B3FE9" w:rsidRDefault="001B3FE9" w:rsidP="001B3FE9">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+ 114,5 %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1B3FE9" w:rsidRDefault="001B3FE9" w:rsidP="00ED3C83">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1B3FE9" w:rsidRDefault="001B3FE9" w:rsidP="00ED3C83">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+ 55,6 %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-13,1 %</w:t>
            </w:r>
          </w:p>
        </w:tc>
      </w:tr>
    </w:tbl>
    <w:p w:rsidR="001B3FE9" w:rsidRDefault="001B3FE9" w:rsidP="001B3FE9">
      <w:pPr>
        <w:spacing w:after="0" w:line="240" w:lineRule="auto"/>
        <w:jc w:val="both"/>
        <w:rPr>
          <w:rFonts w:eastAsiaTheme="minorEastAsia" w:cs="Times New Roman"/>
          <w:lang w:eastAsia="pl-PL"/>
        </w:rPr>
      </w:pP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1B3FE9" w:rsidRDefault="001B3FE9" w:rsidP="001B3FE9">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-14,4 %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-14,4 %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-13,1 %</w:t>
            </w:r>
          </w:p>
        </w:tc>
      </w:tr>
    </w:tbl>
    <w:p w:rsidR="001B3FE9" w:rsidRDefault="001B3FE9" w:rsidP="001B3FE9">
      <w:pPr>
        <w:spacing w:after="0" w:line="240" w:lineRule="auto"/>
        <w:jc w:val="both"/>
        <w:rPr>
          <w:rFonts w:ascii="Calibri" w:eastAsia="Times New Roman" w:hAnsi="Calibri" w:cs="Times New Roman"/>
          <w:sz w:val="30"/>
          <w:szCs w:val="30"/>
          <w:u w:val="single"/>
          <w:lang w:eastAsia="pl-PL"/>
        </w:rPr>
      </w:pPr>
    </w:p>
    <w:p w:rsidR="001B3FE9" w:rsidRDefault="001B3FE9" w:rsidP="001B3FE9">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1B3FE9" w:rsidRDefault="001B3FE9" w:rsidP="001B3FE9">
      <w:pPr>
        <w:spacing w:after="0" w:line="240" w:lineRule="auto"/>
        <w:jc w:val="both"/>
        <w:rPr>
          <w:rFonts w:eastAsia="Times New Roman" w:cs="Times New Roman"/>
          <w:sz w:val="28"/>
          <w:szCs w:val="28"/>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-19,8 %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-19,8 %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-16,4 %</w:t>
            </w:r>
          </w:p>
        </w:tc>
      </w:tr>
    </w:tbl>
    <w:p w:rsidR="001B3FE9" w:rsidRDefault="001B3FE9" w:rsidP="001B3FE9">
      <w:pPr>
        <w:spacing w:after="0" w:line="240" w:lineRule="auto"/>
        <w:jc w:val="both"/>
        <w:rPr>
          <w:rFonts w:ascii="Calibri" w:eastAsia="Times New Roman" w:hAnsi="Calibri" w:cs="Times New Roman"/>
          <w:sz w:val="26"/>
          <w:szCs w:val="26"/>
          <w:u w:val="single"/>
          <w:lang w:eastAsia="pl-PL"/>
        </w:rPr>
      </w:pPr>
    </w:p>
    <w:p w:rsidR="001B3FE9" w:rsidRDefault="001B3FE9" w:rsidP="001B3FE9">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1B3FE9" w:rsidRDefault="001B3FE9" w:rsidP="001B3FE9">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+73,6 %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+73,6 %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-19,9 %</w:t>
            </w:r>
          </w:p>
        </w:tc>
      </w:tr>
    </w:tbl>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p>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2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-27,8 %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-27,8 %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-20,4 %</w:t>
            </w:r>
          </w:p>
        </w:tc>
      </w:tr>
    </w:tbl>
    <w:p w:rsidR="001B3FE9" w:rsidRDefault="001B3FE9" w:rsidP="001B3FE9">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+5,7 %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 xml:space="preserve">  +5,7 %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  25,5 %</w:t>
            </w:r>
          </w:p>
        </w:tc>
      </w:tr>
    </w:tbl>
    <w:p w:rsidR="001B3FE9" w:rsidRDefault="001B3FE9" w:rsidP="001B3FE9">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7"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-1,3 %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-1,3 %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-19,7  %</w:t>
            </w:r>
          </w:p>
        </w:tc>
      </w:tr>
    </w:tbl>
    <w:p w:rsidR="001B3FE9" w:rsidRDefault="001B3FE9" w:rsidP="001B3FE9">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8" w:history="1">
        <w:r>
          <w:rPr>
            <w:rStyle w:val="Hipercze"/>
            <w:rFonts w:eastAsia="Times New Roman" w:cs="Times New Roman"/>
            <w:lang w:eastAsia="pl-PL"/>
          </w:rPr>
          <w:t>www.analizy-rynkowe.</w:t>
        </w:r>
        <w:proofErr w:type="gramStart"/>
        <w:r>
          <w:rPr>
            <w:rStyle w:val="Hipercze"/>
            <w:rFonts w:eastAsia="Times New Roman" w:cs="Times New Roman"/>
            <w:lang w:eastAsia="pl-PL"/>
          </w:rPr>
          <w:t>pl</w:t>
        </w:r>
      </w:hyperlink>
      <w:r>
        <w:rPr>
          <w:rFonts w:eastAsia="Times New Roman" w:cs="Times New Roman"/>
          <w:lang w:eastAsia="pl-PL"/>
        </w:rPr>
        <w:t>na  stronie</w:t>
      </w:r>
      <w:proofErr w:type="gramEnd"/>
      <w:r>
        <w:rPr>
          <w:rFonts w:eastAsia="Times New Roman" w:cs="Times New Roman"/>
          <w:lang w:eastAsia="pl-PL"/>
        </w:rPr>
        <w:t xml:space="preserve"> internetowej </w:t>
      </w:r>
      <w:hyperlink r:id="rId29"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08.012016</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2,84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 -15,0 %0</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-15,0 %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1 725,14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-28,6 %</w:t>
            </w:r>
          </w:p>
        </w:tc>
      </w:tr>
    </w:tbl>
    <w:p w:rsidR="001B3FE9" w:rsidRDefault="001B3FE9" w:rsidP="001B3FE9">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0"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2015 roku </w:t>
      </w:r>
      <w:r>
        <w:rPr>
          <w:rFonts w:eastAsia="Times New Roman" w:cs="Times New Roman"/>
          <w:lang w:eastAsia="pl-PL"/>
        </w:rPr>
        <w:t xml:space="preserve">do 29 stycznia 2016 roku  </w:t>
      </w:r>
      <w:r>
        <w:rPr>
          <w:rFonts w:eastAsia="Times New Roman" w:cs="Times New Roman"/>
          <w:sz w:val="26"/>
          <w:szCs w:val="26"/>
          <w:lang w:eastAsia="pl-PL"/>
        </w:rPr>
        <w:t xml:space="preserve">oraz procentowa zmiana indeksu WIG 20 w tym okresie. </w:t>
      </w:r>
    </w:p>
    <w:p w:rsidR="001B3FE9" w:rsidRDefault="001B3FE9" w:rsidP="001B3FE9">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29.01.2016</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0,78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-29,7 %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-29,7 %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lang w:eastAsia="pl-PL"/>
              </w:rPr>
            </w:pPr>
            <w:r>
              <w:rPr>
                <w:rFonts w:eastAsiaTheme="minorEastAsia"/>
                <w:lang w:eastAsia="pl-PL"/>
              </w:rPr>
              <w:t>1 780,25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-26,3 %</w:t>
            </w:r>
          </w:p>
        </w:tc>
      </w:tr>
    </w:tbl>
    <w:p w:rsidR="001B3FE9" w:rsidRDefault="001B3FE9" w:rsidP="001B3FE9">
      <w:pPr>
        <w:spacing w:after="0" w:line="240" w:lineRule="auto"/>
        <w:jc w:val="both"/>
        <w:rPr>
          <w:rFonts w:eastAsiaTheme="minorEastAsia" w:cs="Times New Roman"/>
          <w:lang w:eastAsia="pl-PL"/>
        </w:rPr>
      </w:pPr>
    </w:p>
    <w:p w:rsidR="001B3FE9" w:rsidRDefault="001B3FE9" w:rsidP="001B3FE9">
      <w:pPr>
        <w:spacing w:after="0" w:line="240" w:lineRule="auto"/>
        <w:jc w:val="both"/>
        <w:rPr>
          <w:rFonts w:eastAsiaTheme="minorEastAsia" w:cs="Times New Roman"/>
          <w:lang w:eastAsia="pl-PL"/>
        </w:rPr>
      </w:pPr>
    </w:p>
    <w:p w:rsidR="001B3FE9" w:rsidRDefault="001B3FE9" w:rsidP="001B3FE9">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10 lutego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31"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9 lutego 2015 roku do 9 lutego 2016 roku  oraz procentowa zmiana indeksu WIG 20 w tym okresie. </w:t>
      </w:r>
    </w:p>
    <w:p w:rsidR="001B3FE9" w:rsidRDefault="001B3FE9" w:rsidP="001B3FE9">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09.02.2016</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4,00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-11,1 %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-11,1 %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1 790,87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-24,5%</w:t>
            </w:r>
          </w:p>
        </w:tc>
      </w:tr>
    </w:tbl>
    <w:p w:rsidR="001B3FE9" w:rsidRDefault="001B3FE9" w:rsidP="001B3FE9">
      <w:pPr>
        <w:spacing w:after="0" w:line="240" w:lineRule="auto"/>
        <w:jc w:val="both"/>
        <w:rPr>
          <w:rFonts w:eastAsiaTheme="minorEastAsia" w:cs="Times New Roman"/>
          <w:lang w:eastAsia="pl-PL"/>
        </w:rPr>
      </w:pPr>
    </w:p>
    <w:p w:rsidR="001B3FE9" w:rsidRDefault="001B3FE9" w:rsidP="001B3FE9">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3 marca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32"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2 marca 2015 roku do 2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02.03.2016</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14,38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+90,0 %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+90,0 %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1 844,57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-21,8 %</w:t>
            </w:r>
          </w:p>
        </w:tc>
      </w:tr>
    </w:tbl>
    <w:p w:rsidR="001B3FE9" w:rsidRDefault="001B3FE9" w:rsidP="001B3FE9">
      <w:pPr>
        <w:spacing w:after="0" w:line="240" w:lineRule="auto"/>
        <w:jc w:val="both"/>
        <w:rPr>
          <w:rFonts w:eastAsia="Times New Roman" w:cs="Times New Roman"/>
          <w:lang w:eastAsia="pl-PL"/>
        </w:rPr>
      </w:pPr>
      <w:r>
        <w:rPr>
          <w:rFonts w:eastAsia="Times New Roman" w:cs="Times New Roman"/>
          <w:sz w:val="30"/>
          <w:szCs w:val="30"/>
          <w:lang w:eastAsia="pl-PL"/>
        </w:rPr>
        <w:lastRenderedPageBreak/>
        <w:t xml:space="preserve">Tabela: Procentowa zmiana ceny akcji spółki, której akcje zostały umieszczone 9 kwietnia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33"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kwietnia 2015 roku do 8 kwietnia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lang w:eastAsia="pl-PL"/>
              </w:rPr>
            </w:pPr>
            <w:r>
              <w:rPr>
                <w:rFonts w:eastAsiaTheme="minorEastAsia"/>
                <w:lang w:eastAsia="pl-PL"/>
              </w:rPr>
              <w:t>Poziom – 08.04.2016</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Zmiana (w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1,44 zł.</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+15,2 %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1B3FE9" w:rsidRDefault="001B3FE9" w:rsidP="00ED3C83">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1B3FE9" w:rsidRDefault="001B3FE9" w:rsidP="00ED3C83">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b/>
                <w:color w:val="FF0000"/>
                <w:lang w:eastAsia="pl-PL"/>
              </w:rPr>
            </w:pPr>
            <w:r>
              <w:rPr>
                <w:rFonts w:eastAsiaTheme="minorEastAsia"/>
                <w:b/>
                <w:color w:val="FF0000"/>
                <w:lang w:eastAsia="pl-PL"/>
              </w:rPr>
              <w:t>+15,2 %</w:t>
            </w:r>
          </w:p>
        </w:tc>
      </w:tr>
      <w:tr w:rsidR="001B3FE9" w:rsidTr="00ED3C83">
        <w:tc>
          <w:tcPr>
            <w:tcW w:w="34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1 919,42 pkt.</w:t>
            </w:r>
          </w:p>
        </w:tc>
        <w:tc>
          <w:tcPr>
            <w:tcW w:w="1134" w:type="dxa"/>
            <w:tcBorders>
              <w:top w:val="single" w:sz="4" w:space="0" w:color="auto"/>
              <w:left w:val="single" w:sz="4" w:space="0" w:color="auto"/>
              <w:bottom w:val="single" w:sz="4" w:space="0" w:color="auto"/>
              <w:right w:val="single" w:sz="4" w:space="0" w:color="auto"/>
            </w:tcBorders>
            <w:hideMark/>
          </w:tcPr>
          <w:p w:rsidR="001B3FE9" w:rsidRDefault="001B3FE9" w:rsidP="00ED3C83">
            <w:pPr>
              <w:jc w:val="center"/>
              <w:rPr>
                <w:rFonts w:eastAsiaTheme="minorEastAsia"/>
                <w:lang w:eastAsia="pl-PL"/>
              </w:rPr>
            </w:pPr>
            <w:r>
              <w:rPr>
                <w:rFonts w:eastAsiaTheme="minorEastAsia"/>
                <w:lang w:eastAsia="pl-PL"/>
              </w:rPr>
              <w:t>-20,8 %</w:t>
            </w:r>
          </w:p>
        </w:tc>
      </w:tr>
    </w:tbl>
    <w:p w:rsidR="001B3FE9" w:rsidRDefault="001B3FE9" w:rsidP="001B3FE9">
      <w:pPr>
        <w:spacing w:after="0" w:line="240" w:lineRule="auto"/>
        <w:jc w:val="both"/>
        <w:rPr>
          <w:rFonts w:ascii="Calibri" w:eastAsia="Times New Roman" w:hAnsi="Calibri" w:cs="Times New Roman"/>
          <w:sz w:val="90"/>
          <w:szCs w:val="90"/>
          <w:u w:val="single"/>
          <w:lang w:eastAsia="pl-PL"/>
        </w:rPr>
      </w:pPr>
    </w:p>
    <w:p w:rsidR="001B3FE9" w:rsidRDefault="001B3FE9" w:rsidP="001B3FE9">
      <w:pPr>
        <w:spacing w:after="0" w:line="240" w:lineRule="auto"/>
        <w:jc w:val="both"/>
        <w:rPr>
          <w:rFonts w:ascii="Calibri" w:eastAsia="Times New Roman" w:hAnsi="Calibri" w:cs="Times New Roman"/>
          <w:sz w:val="60"/>
          <w:szCs w:val="60"/>
          <w:u w:val="single"/>
          <w:lang w:eastAsia="pl-PL"/>
        </w:rPr>
      </w:pPr>
      <w:r>
        <w:rPr>
          <w:rFonts w:ascii="Calibri" w:eastAsia="Times New Roman" w:hAnsi="Calibri" w:cs="Times New Roman"/>
          <w:sz w:val="60"/>
          <w:szCs w:val="60"/>
          <w:u w:val="single"/>
          <w:lang w:eastAsia="pl-PL"/>
        </w:rPr>
        <w:t>Wniosek końcowy z powyższych rozważań brzmi następująco:</w:t>
      </w:r>
    </w:p>
    <w:p w:rsidR="001B3FE9" w:rsidRDefault="001B3FE9" w:rsidP="001B3FE9">
      <w:pPr>
        <w:spacing w:after="0" w:line="240" w:lineRule="auto"/>
        <w:jc w:val="both"/>
        <w:rPr>
          <w:rFonts w:ascii="Calibri" w:eastAsia="Times New Roman" w:hAnsi="Calibri" w:cs="Times New Roman"/>
          <w:color w:val="FF0000"/>
          <w:sz w:val="90"/>
          <w:szCs w:val="90"/>
          <w:u w:val="single"/>
          <w:lang w:eastAsia="pl-PL"/>
        </w:rPr>
      </w:pPr>
    </w:p>
    <w:p w:rsidR="001B3FE9" w:rsidRDefault="001B3FE9" w:rsidP="001B3FE9">
      <w:pPr>
        <w:spacing w:after="0" w:line="240" w:lineRule="auto"/>
        <w:jc w:val="both"/>
        <w:rPr>
          <w:rFonts w:ascii="Calibri" w:eastAsia="Times New Roman" w:hAnsi="Calibri" w:cs="Times New Roman"/>
          <w:b/>
          <w:color w:val="000000" w:themeColor="text1"/>
          <w:sz w:val="58"/>
          <w:szCs w:val="58"/>
          <w:u w:val="single"/>
          <w:lang w:eastAsia="pl-PL"/>
        </w:rPr>
      </w:pPr>
      <w:r>
        <w:rPr>
          <w:rFonts w:ascii="Calibri" w:eastAsia="Times New Roman" w:hAnsi="Calibri" w:cs="Times New Roman"/>
          <w:color w:val="000000"/>
          <w:sz w:val="58"/>
          <w:szCs w:val="58"/>
          <w:lang w:eastAsia="pl-PL"/>
        </w:rPr>
        <w:t xml:space="preserve">Średnia procentowa zmiana kursu akcji spółki po wprowadzeniu jej do rubryki </w:t>
      </w:r>
      <w:proofErr w:type="gramStart"/>
      <w:r>
        <w:rPr>
          <w:rFonts w:ascii="Calibri" w:eastAsia="Times New Roman" w:hAnsi="Calibri" w:cs="Times New Roman"/>
          <w:b/>
          <w:color w:val="FF0000"/>
          <w:sz w:val="58"/>
          <w:szCs w:val="58"/>
          <w:lang w:eastAsia="pl-PL"/>
        </w:rPr>
        <w:t>,,</w:t>
      </w:r>
      <w:proofErr w:type="gramEnd"/>
      <w:r>
        <w:rPr>
          <w:rFonts w:ascii="Calibri" w:eastAsia="Times New Roman" w:hAnsi="Calibri" w:cs="Times New Roman"/>
          <w:b/>
          <w:color w:val="FF0000"/>
          <w:sz w:val="58"/>
          <w:szCs w:val="58"/>
          <w:lang w:eastAsia="pl-PL"/>
        </w:rPr>
        <w:t>Wykres do przemyślenia”</w:t>
      </w:r>
      <w:r>
        <w:rPr>
          <w:rFonts w:ascii="Calibri" w:eastAsia="Times New Roman" w:hAnsi="Calibri" w:cs="Times New Roman"/>
          <w:color w:val="000000"/>
          <w:sz w:val="58"/>
          <w:szCs w:val="58"/>
          <w:lang w:eastAsia="pl-PL"/>
        </w:rPr>
        <w:t xml:space="preserve"> w okresie 12 pierwszych miesięcy po jej wprowadzeniu do tej rubryki wynosiła </w:t>
      </w:r>
      <w:r>
        <w:rPr>
          <w:rFonts w:ascii="Calibri" w:eastAsia="Times New Roman" w:hAnsi="Calibri" w:cs="Times New Roman"/>
          <w:b/>
          <w:color w:val="FF0000"/>
          <w:sz w:val="58"/>
          <w:szCs w:val="58"/>
          <w:lang w:eastAsia="pl-PL"/>
        </w:rPr>
        <w:t>plus 14,2 %.</w:t>
      </w:r>
      <w:r>
        <w:rPr>
          <w:rFonts w:ascii="Calibri" w:eastAsia="Times New Roman" w:hAnsi="Calibri" w:cs="Times New Roman"/>
          <w:color w:val="FF0000"/>
          <w:sz w:val="58"/>
          <w:szCs w:val="58"/>
          <w:lang w:eastAsia="pl-PL"/>
        </w:rPr>
        <w:t xml:space="preserve"> </w:t>
      </w:r>
      <w:r>
        <w:rPr>
          <w:rFonts w:ascii="Calibri" w:eastAsia="Times New Roman" w:hAnsi="Calibri" w:cs="Times New Roman"/>
          <w:color w:val="000000" w:themeColor="text1"/>
          <w:sz w:val="58"/>
          <w:szCs w:val="58"/>
          <w:lang w:eastAsia="pl-PL"/>
        </w:rPr>
        <w:t xml:space="preserve">Średnia procentowa zmiana indeksu </w:t>
      </w:r>
      <w:r>
        <w:rPr>
          <w:rFonts w:ascii="Calibri" w:eastAsia="Times New Roman" w:hAnsi="Calibri" w:cs="Times New Roman"/>
          <w:color w:val="000000" w:themeColor="text1"/>
          <w:sz w:val="58"/>
          <w:szCs w:val="58"/>
          <w:u w:val="single"/>
          <w:lang w:eastAsia="pl-PL"/>
        </w:rPr>
        <w:t xml:space="preserve">WIG20 </w:t>
      </w:r>
      <w:r>
        <w:rPr>
          <w:rFonts w:ascii="Calibri" w:eastAsia="Times New Roman" w:hAnsi="Calibri" w:cs="Times New Roman"/>
          <w:color w:val="000000" w:themeColor="text1"/>
          <w:sz w:val="58"/>
          <w:szCs w:val="58"/>
          <w:lang w:eastAsia="pl-PL"/>
        </w:rPr>
        <w:t xml:space="preserve">w tym okresie wynosiła </w:t>
      </w:r>
      <w:r>
        <w:rPr>
          <w:rFonts w:ascii="Calibri" w:eastAsia="Times New Roman" w:hAnsi="Calibri" w:cs="Times New Roman"/>
          <w:b/>
          <w:color w:val="000000" w:themeColor="text1"/>
          <w:sz w:val="58"/>
          <w:szCs w:val="58"/>
          <w:u w:val="single"/>
          <w:lang w:eastAsia="pl-PL"/>
        </w:rPr>
        <w:t xml:space="preserve">minus 17,5 %. </w:t>
      </w:r>
    </w:p>
    <w:p w:rsidR="00C00D4C" w:rsidRDefault="00C00D4C" w:rsidP="00C00D4C">
      <w:pPr>
        <w:spacing w:after="0" w:line="240" w:lineRule="auto"/>
        <w:jc w:val="both"/>
        <w:rPr>
          <w:rFonts w:eastAsia="Times New Roman" w:cs="Times New Roman"/>
          <w:b/>
          <w:lang w:eastAsia="pl-PL"/>
        </w:rPr>
      </w:pPr>
    </w:p>
    <w:p w:rsidR="00C00D4C" w:rsidRDefault="00C00D4C" w:rsidP="00C00D4C">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C00D4C" w:rsidRDefault="00C00D4C" w:rsidP="00C00D4C">
      <w:pPr>
        <w:spacing w:after="0" w:line="240" w:lineRule="auto"/>
        <w:jc w:val="both"/>
        <w:rPr>
          <w:rFonts w:eastAsia="Times New Roman" w:cs="Times New Roman"/>
          <w:lang w:eastAsia="pl-PL"/>
        </w:rPr>
      </w:pPr>
    </w:p>
    <w:p w:rsidR="00C00D4C" w:rsidRDefault="00C00D4C" w:rsidP="00C00D4C">
      <w:pPr>
        <w:numPr>
          <w:ilvl w:val="0"/>
          <w:numId w:val="1"/>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C00D4C" w:rsidRDefault="00C00D4C" w:rsidP="00C00D4C">
      <w:pPr>
        <w:spacing w:after="0" w:line="240" w:lineRule="auto"/>
        <w:contextualSpacing/>
        <w:jc w:val="both"/>
        <w:rPr>
          <w:rFonts w:eastAsia="Times New Roman" w:cs="Times New Roman"/>
          <w:b/>
          <w:color w:val="FF0000"/>
          <w:lang w:eastAsia="pl-PL"/>
        </w:rPr>
      </w:pPr>
    </w:p>
    <w:p w:rsidR="00C00D4C" w:rsidRDefault="00C00D4C" w:rsidP="00C00D4C">
      <w:pPr>
        <w:numPr>
          <w:ilvl w:val="0"/>
          <w:numId w:val="1"/>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lang w:eastAsia="pl-PL"/>
        </w:rPr>
        <w:t>4,5644</w:t>
      </w:r>
      <w:r>
        <w:rPr>
          <w:rFonts w:eastAsia="Times New Roman" w:cs="Times New Roman"/>
          <w:color w:val="FF0000"/>
          <w:lang w:eastAsia="pl-PL"/>
        </w:rPr>
        <w:t xml:space="preserve"> </w:t>
      </w:r>
      <w:r>
        <w:rPr>
          <w:rFonts w:eastAsia="Times New Roman" w:cs="Times New Roman"/>
          <w:lang w:eastAsia="pl-PL"/>
        </w:rPr>
        <w:t>(szczyt z 13 grudnia 2011 roku).</w:t>
      </w:r>
    </w:p>
    <w:p w:rsidR="00C00D4C" w:rsidRDefault="00C00D4C" w:rsidP="00C00D4C">
      <w:pPr>
        <w:spacing w:after="0" w:line="240" w:lineRule="auto"/>
        <w:contextualSpacing/>
        <w:jc w:val="both"/>
        <w:rPr>
          <w:rFonts w:eastAsia="Times New Roman" w:cs="Times New Roman"/>
          <w:color w:val="000000" w:themeColor="text1"/>
          <w:lang w:eastAsia="pl-PL"/>
        </w:rPr>
      </w:pPr>
    </w:p>
    <w:p w:rsidR="00C00D4C" w:rsidRPr="00BD7EDA" w:rsidRDefault="00C00D4C" w:rsidP="00C00D4C">
      <w:pPr>
        <w:numPr>
          <w:ilvl w:val="0"/>
          <w:numId w:val="1"/>
        </w:numPr>
        <w:spacing w:after="0" w:line="240" w:lineRule="auto"/>
        <w:contextualSpacing/>
        <w:jc w:val="both"/>
        <w:rPr>
          <w:rFonts w:eastAsia="Times New Roman" w:cs="Times New Roman"/>
          <w:lang w:eastAsia="pl-PL"/>
        </w:rPr>
      </w:pPr>
      <w:r w:rsidRPr="00BD7EDA">
        <w:rPr>
          <w:rFonts w:eastAsia="Times New Roman" w:cs="Times New Roman"/>
          <w:color w:val="000000" w:themeColor="text1"/>
          <w:lang w:eastAsia="pl-PL"/>
        </w:rPr>
        <w:t xml:space="preserve">Na wykresie cen kontraktów terminowych na ropę naftową nastąpiło dojście do ważnego oporu, co stwarza ryzyko spadków. Z uwagi na silne powiązanie pomiędzy zachowaniem cen ropy naftowej a zachowaniem indeksu WIG20 możliwe są spadki indeksu WIG20. Załóżmy, że faktycznie z uwagi na wyżej wymienione czynniki doszłoby do spadków indeksu WIG20, który to indeks jest szczególnie silnie powiązany z zachowaniem indeksów zagranicznych. Pomimo to można spodziewać się, że będzie można znaleźć grupę spółek, która w ewentualnym okresie spadków indeksu WIG20 zachowa się stosunkowo mocno. Na wykresie indeksu materiałów budowlanych doszło do wybicia z formacji nietypowego podwójnego dna. Gdyby formacja ta się wypełniła indeks ten powinien wzrosnąć o 20,8 %. Warto zauważyć, że spośród spółek wchodzących w skład indeksu materiałów budowlanych na przestrzeni ostatnich 12 miesięcy w rubryce </w:t>
      </w:r>
      <w:proofErr w:type="gramStart"/>
      <w:r w:rsidRPr="00BD7EDA">
        <w:rPr>
          <w:rFonts w:eastAsia="Times New Roman" w:cs="Times New Roman"/>
          <w:color w:val="000000" w:themeColor="text1"/>
          <w:lang w:eastAsia="pl-PL"/>
        </w:rPr>
        <w:t>,,</w:t>
      </w:r>
      <w:proofErr w:type="gramEnd"/>
      <w:r w:rsidRPr="00BD7EDA">
        <w:rPr>
          <w:rFonts w:eastAsia="Times New Roman" w:cs="Times New Roman"/>
          <w:color w:val="000000" w:themeColor="text1"/>
          <w:lang w:eastAsia="pl-PL"/>
        </w:rPr>
        <w:t xml:space="preserve">Wykres do przemyślenia” znalazły się </w:t>
      </w:r>
      <w:r w:rsidRPr="00BD7EDA">
        <w:rPr>
          <w:rFonts w:eastAsia="Times New Roman" w:cs="Times New Roman"/>
          <w:b/>
          <w:color w:val="FF0000"/>
          <w:lang w:eastAsia="pl-PL"/>
        </w:rPr>
        <w:t>Ropczyce</w:t>
      </w:r>
      <w:r w:rsidRPr="00BD7EDA">
        <w:rPr>
          <w:rFonts w:eastAsia="Times New Roman" w:cs="Times New Roman"/>
          <w:color w:val="000000" w:themeColor="text1"/>
          <w:lang w:eastAsia="pl-PL"/>
        </w:rPr>
        <w:t xml:space="preserve"> oraz </w:t>
      </w:r>
      <w:proofErr w:type="spellStart"/>
      <w:r w:rsidRPr="00BD7EDA">
        <w:rPr>
          <w:rFonts w:eastAsia="Times New Roman" w:cs="Times New Roman"/>
          <w:b/>
          <w:color w:val="FF0000"/>
          <w:lang w:eastAsia="pl-PL"/>
        </w:rPr>
        <w:t>Mercor</w:t>
      </w:r>
      <w:proofErr w:type="spellEnd"/>
      <w:r w:rsidRPr="00BD7EDA">
        <w:rPr>
          <w:rFonts w:eastAsia="Times New Roman" w:cs="Times New Roman"/>
          <w:color w:val="000000" w:themeColor="text1"/>
          <w:lang w:eastAsia="pl-PL"/>
        </w:rPr>
        <w:t>.</w:t>
      </w:r>
    </w:p>
    <w:p w:rsidR="00C00D4C" w:rsidRDefault="00C00D4C" w:rsidP="00C00D4C">
      <w:pPr>
        <w:spacing w:after="0" w:line="240" w:lineRule="auto"/>
        <w:ind w:left="720"/>
        <w:contextualSpacing/>
        <w:jc w:val="both"/>
        <w:rPr>
          <w:rFonts w:eastAsia="Times New Roman" w:cs="Times New Roman"/>
          <w:lang w:eastAsia="pl-PL"/>
        </w:rPr>
      </w:pPr>
    </w:p>
    <w:p w:rsidR="00C00D4C" w:rsidRDefault="00C00D4C" w:rsidP="00C00D4C">
      <w:pPr>
        <w:spacing w:after="0" w:line="240" w:lineRule="auto"/>
        <w:jc w:val="both"/>
        <w:rPr>
          <w:rFonts w:eastAsia="Times New Roman" w:cs="Times New Roman"/>
          <w:lang w:eastAsia="pl-PL"/>
        </w:rPr>
      </w:pPr>
      <w:r>
        <w:rPr>
          <w:rFonts w:eastAsia="Times New Roman" w:cs="Times New Roman"/>
          <w:lang w:eastAsia="pl-PL"/>
        </w:rPr>
        <w:t>Opracował: Sławomir Kłusek, 18 kwietnia 2016 roku</w:t>
      </w:r>
    </w:p>
    <w:p w:rsidR="00C00D4C" w:rsidRDefault="00C00D4C" w:rsidP="00C00D4C">
      <w:pPr>
        <w:spacing w:after="0" w:line="240" w:lineRule="auto"/>
        <w:jc w:val="both"/>
        <w:rPr>
          <w:rFonts w:eastAsia="Times New Roman" w:cs="Times New Roman"/>
          <w:lang w:eastAsia="pl-PL"/>
        </w:rPr>
      </w:pPr>
    </w:p>
    <w:p w:rsidR="00C00D4C" w:rsidRDefault="00C00D4C" w:rsidP="00C00D4C">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C00D4C" w:rsidRDefault="00C00D4C" w:rsidP="00C00D4C">
      <w:pPr>
        <w:spacing w:after="0" w:line="240" w:lineRule="auto"/>
        <w:jc w:val="both"/>
        <w:rPr>
          <w:rFonts w:eastAsia="Times New Roman" w:cs="Times New Roman"/>
          <w:lang w:eastAsia="pl-PL"/>
        </w:rPr>
      </w:pPr>
    </w:p>
    <w:p w:rsidR="00C00D4C" w:rsidRDefault="00C00D4C" w:rsidP="00C00D4C">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34"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C00D4C" w:rsidRDefault="00C00D4C" w:rsidP="00C00D4C">
      <w:pPr>
        <w:spacing w:after="0" w:line="240" w:lineRule="auto"/>
        <w:jc w:val="both"/>
        <w:rPr>
          <w:rFonts w:eastAsia="Times New Roman" w:cs="Times New Roman"/>
          <w:lang w:eastAsia="pl-PL"/>
        </w:rPr>
      </w:pPr>
    </w:p>
    <w:p w:rsidR="00C00D4C" w:rsidRDefault="00C00D4C" w:rsidP="00C00D4C">
      <w:pPr>
        <w:spacing w:after="0" w:line="240" w:lineRule="auto"/>
        <w:jc w:val="both"/>
        <w:rPr>
          <w:rFonts w:ascii="Calibri" w:eastAsia="Times New Roman" w:hAnsi="Calibri" w:cs="Times New Roman"/>
          <w:b/>
          <w:color w:val="000000" w:themeColor="text1"/>
          <w:sz w:val="58"/>
          <w:szCs w:val="58"/>
          <w:u w:val="single"/>
          <w:lang w:eastAsia="pl-PL"/>
        </w:rPr>
      </w:pPr>
      <w:r>
        <w:rPr>
          <w:rFonts w:eastAsia="Times New Roman" w:cs="Times New Roman"/>
          <w:lang w:eastAsia="pl-PL"/>
        </w:rPr>
        <w:t xml:space="preserve">Autor nie ponosi odpowiedzialności za jakiekolwiek decyzje inwestycyjne podjęte na podstawie treści zawartych na stronie internetowej </w:t>
      </w:r>
      <w:hyperlink r:id="rId35" w:history="1">
        <w:r>
          <w:rPr>
            <w:rStyle w:val="Hipercze"/>
            <w:rFonts w:eastAsia="Times New Roman" w:cs="Times New Roman"/>
            <w:lang w:eastAsia="pl-PL"/>
          </w:rPr>
          <w:t>www.analizy-rynkowe.pl</w:t>
        </w:r>
      </w:hyperlink>
    </w:p>
    <w:p w:rsidR="00C00D4C" w:rsidRDefault="00C00D4C" w:rsidP="00C00D4C">
      <w:pPr>
        <w:pStyle w:val="Bezodstpw"/>
        <w:jc w:val="both"/>
        <w:rPr>
          <w:rFonts w:ascii="Calibri" w:eastAsia="Times New Roman" w:hAnsi="Calibri" w:cs="Times New Roman"/>
          <w:b/>
          <w:color w:val="000000" w:themeColor="text1"/>
          <w:sz w:val="58"/>
          <w:szCs w:val="58"/>
          <w:u w:val="single"/>
          <w:lang w:eastAsia="pl-PL"/>
        </w:rPr>
      </w:pPr>
    </w:p>
    <w:p w:rsidR="00941FB1" w:rsidRDefault="00941FB1"/>
    <w:sectPr w:rsidR="00941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4C"/>
    <w:rsid w:val="001B3FE9"/>
    <w:rsid w:val="00941FB1"/>
    <w:rsid w:val="00B479C4"/>
    <w:rsid w:val="00C00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D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D4C"/>
    <w:pPr>
      <w:spacing w:after="0" w:line="240" w:lineRule="auto"/>
    </w:pPr>
  </w:style>
  <w:style w:type="character" w:styleId="Hipercze">
    <w:name w:val="Hyperlink"/>
    <w:basedOn w:val="Domylnaczcionkaakapitu"/>
    <w:uiPriority w:val="99"/>
    <w:unhideWhenUsed/>
    <w:rsid w:val="00C00D4C"/>
    <w:rPr>
      <w:color w:val="0000FF" w:themeColor="hyperlink"/>
      <w:u w:val="single"/>
    </w:rPr>
  </w:style>
  <w:style w:type="paragraph" w:styleId="Tekstdymka">
    <w:name w:val="Balloon Text"/>
    <w:basedOn w:val="Normalny"/>
    <w:link w:val="TekstdymkaZnak"/>
    <w:uiPriority w:val="99"/>
    <w:semiHidden/>
    <w:unhideWhenUsed/>
    <w:rsid w:val="00C00D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D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D4C"/>
    <w:pPr>
      <w:spacing w:after="0" w:line="240" w:lineRule="auto"/>
    </w:pPr>
  </w:style>
  <w:style w:type="character" w:styleId="Hipercze">
    <w:name w:val="Hyperlink"/>
    <w:basedOn w:val="Domylnaczcionkaakapitu"/>
    <w:uiPriority w:val="99"/>
    <w:unhideWhenUsed/>
    <w:rsid w:val="00C00D4C"/>
    <w:rPr>
      <w:color w:val="0000FF" w:themeColor="hyperlink"/>
      <w:u w:val="single"/>
    </w:rPr>
  </w:style>
  <w:style w:type="paragraph" w:styleId="Tekstdymka">
    <w:name w:val="Balloon Text"/>
    <w:basedOn w:val="Normalny"/>
    <w:link w:val="TekstdymkaZnak"/>
    <w:uiPriority w:val="99"/>
    <w:semiHidden/>
    <w:unhideWhenUsed/>
    <w:rsid w:val="00C00D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gif"/><Relationship Id="rId18" Type="http://schemas.openxmlformats.org/officeDocument/2006/relationships/image" Target="media/image8.gif"/><Relationship Id="rId26" Type="http://schemas.openxmlformats.org/officeDocument/2006/relationships/hyperlink" Target="http://www.analizy-rynkowe.pl" TargetMode="External"/><Relationship Id="rId3" Type="http://schemas.microsoft.com/office/2007/relationships/stylesWithEffects" Target="stylesWithEffects.xml"/><Relationship Id="rId21" Type="http://schemas.openxmlformats.org/officeDocument/2006/relationships/image" Target="media/image11.gif"/><Relationship Id="rId34" Type="http://schemas.openxmlformats.org/officeDocument/2006/relationships/hyperlink" Target="http://www.analizy-rynkowe.pl" TargetMode="External"/><Relationship Id="rId7" Type="http://schemas.openxmlformats.org/officeDocument/2006/relationships/image" Target="media/image2.gif"/><Relationship Id="rId12" Type="http://schemas.openxmlformats.org/officeDocument/2006/relationships/hyperlink" Target="http://ue.poznan.pl/pl/uniwersytet,c13/wydzialy,c18/wydzial-ekonomii,c19/katedra-finansow-publicznych,c2955/kadra,c2957/pracownicy-naukowo-dydaktyczni,c2965/dr-hab-eryk-lon-prof-nadzw-uep,a21074.html" TargetMode="External"/><Relationship Id="rId17" Type="http://schemas.openxmlformats.org/officeDocument/2006/relationships/image" Target="media/image7.gif"/><Relationship Id="rId25" Type="http://schemas.openxmlformats.org/officeDocument/2006/relationships/hyperlink" Target="http://www.analizy-rynkowe.pl" TargetMode="External"/><Relationship Id="rId33"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nalizy-rynkowe.pl/raport/" TargetMode="External"/><Relationship Id="rId24" Type="http://schemas.openxmlformats.org/officeDocument/2006/relationships/hyperlink" Target="http://www.analizy-rynkowe.pl" TargetMode="External"/><Relationship Id="rId32" Type="http://schemas.openxmlformats.org/officeDocument/2006/relationships/hyperlink" Target="http://www.analizy-rynkowe.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36" Type="http://schemas.openxmlformats.org/officeDocument/2006/relationships/fontTable" Target="fontTable.xml"/><Relationship Id="rId10" Type="http://schemas.openxmlformats.org/officeDocument/2006/relationships/hyperlink" Target="http://biznes.pap.pl/pl/news/pap/info/1579696,w-sytuacji-uporczywej-presji-deflacyjnej-lon-gotow-poprzec-co-najmniej-jedna-obnizke-stop-(wywiad)" TargetMode="External"/><Relationship Id="rId19" Type="http://schemas.openxmlformats.org/officeDocument/2006/relationships/image" Target="media/image9.gif"/><Relationship Id="rId31" Type="http://schemas.openxmlformats.org/officeDocument/2006/relationships/hyperlink" Target="http://www.analizy-rynkowe.pl" TargetMode="External"/><Relationship Id="rId4" Type="http://schemas.openxmlformats.org/officeDocument/2006/relationships/settings" Target="settings.xml"/><Relationship Id="rId9" Type="http://schemas.openxmlformats.org/officeDocument/2006/relationships/hyperlink" Target="http://eryklon.pl/" TargetMode="External"/><Relationship Id="rId14" Type="http://schemas.openxmlformats.org/officeDocument/2006/relationships/hyperlink" Target="http://analizy-rynkowe.pl/" TargetMode="External"/><Relationship Id="rId22" Type="http://schemas.openxmlformats.org/officeDocument/2006/relationships/hyperlink" Target="http://analizy-rynkowe.pl/" TargetMode="External"/><Relationship Id="rId27" Type="http://schemas.openxmlformats.org/officeDocument/2006/relationships/hyperlink" Target="http://www.analizy-rynkowe.pl" TargetMode="External"/><Relationship Id="rId30" Type="http://schemas.openxmlformats.org/officeDocument/2006/relationships/hyperlink" Target="http://www.analizy-rynkowe.pl" TargetMode="External"/><Relationship Id="rId35"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3552</Words>
  <Characters>21314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3</cp:revision>
  <dcterms:created xsi:type="dcterms:W3CDTF">2016-04-17T12:38:00Z</dcterms:created>
  <dcterms:modified xsi:type="dcterms:W3CDTF">2016-04-17T12:38:00Z</dcterms:modified>
</cp:coreProperties>
</file>