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2" w:rsidRDefault="00C02D52" w:rsidP="00C02D5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C02D52" w:rsidRDefault="00C02D52" w:rsidP="00C02D52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2D52" w:rsidRDefault="00C02D52" w:rsidP="00C02D52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C02D52" w:rsidRDefault="00C02D52" w:rsidP="00C02D5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2D52" w:rsidRDefault="00C02D52" w:rsidP="00C02D5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2D52" w:rsidRDefault="00C02D52" w:rsidP="00C02D52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kwietnia 2016 roku</w:t>
      </w:r>
    </w:p>
    <w:p w:rsidR="00C02D52" w:rsidRDefault="00C02D52" w:rsidP="00C0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Kurs USD/PLN – perspektywa długoterminowa, kurs z </w:t>
      </w:r>
      <w:r>
        <w:rPr>
          <w:rFonts w:eastAsiaTheme="minorEastAsia"/>
          <w:lang w:eastAsia="pl-PL"/>
        </w:rPr>
        <w:t>8</w:t>
      </w:r>
      <w:r>
        <w:rPr>
          <w:rFonts w:eastAsiaTheme="minorEastAsia"/>
          <w:lang w:eastAsia="pl-PL"/>
        </w:rPr>
        <w:t xml:space="preserve"> kwietnia 2016 roku = 3,7355</w:t>
      </w:r>
    </w:p>
    <w:p w:rsidR="00C02D52" w:rsidRDefault="00C02D52" w:rsidP="00C02D5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C02D52" w:rsidRDefault="00C02D52" w:rsidP="00C02D5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51A2005A">
            <wp:extent cx="4829175" cy="2905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D52" w:rsidRDefault="00C02D52" w:rsidP="00C02D52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C02D52" w:rsidRDefault="00C02D52" w:rsidP="00C02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Kurs EUR/PLN – perspektywa średniookresowa, kurs z </w:t>
      </w:r>
      <w:r>
        <w:rPr>
          <w:rFonts w:eastAsiaTheme="minorEastAsia"/>
          <w:lang w:eastAsia="pl-PL"/>
        </w:rPr>
        <w:t>8</w:t>
      </w:r>
      <w:r>
        <w:rPr>
          <w:rFonts w:eastAsiaTheme="minorEastAsia"/>
          <w:lang w:eastAsia="pl-PL"/>
        </w:rPr>
        <w:t xml:space="preserve"> kwietnia 2016 roku = 4,2550</w:t>
      </w:r>
    </w:p>
    <w:p w:rsidR="00C02D52" w:rsidRDefault="00C02D52" w:rsidP="00C02D52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501D62B1">
            <wp:extent cx="4829175" cy="2905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D52" w:rsidRDefault="00C02D52" w:rsidP="00C02D52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C02D52" w:rsidRDefault="00C02D52" w:rsidP="00D4343F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217363" w:rsidRPr="002F03D8" w:rsidRDefault="00217363" w:rsidP="0021736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2F03D8">
        <w:rPr>
          <w:sz w:val="26"/>
          <w:szCs w:val="26"/>
        </w:rPr>
        <w:lastRenderedPageBreak/>
        <w:t>Indeks S&amp;P 500 przy ważnym op</w:t>
      </w:r>
      <w:r>
        <w:rPr>
          <w:sz w:val="26"/>
          <w:szCs w:val="26"/>
        </w:rPr>
        <w:t>o</w:t>
      </w:r>
      <w:r w:rsidRPr="002F03D8">
        <w:rPr>
          <w:sz w:val="26"/>
          <w:szCs w:val="26"/>
        </w:rPr>
        <w:t>rze. Z psychologicznego punktu widzenia dostrzegam ryzyko spadków nie tylko indeksu S&amp;P 500, lecz także indeksu WIG20</w:t>
      </w:r>
    </w:p>
    <w:p w:rsidR="00217363" w:rsidRPr="002F03D8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 w:rsidRPr="002F03D8">
        <w:rPr>
          <w:sz w:val="26"/>
          <w:szCs w:val="26"/>
        </w:rPr>
        <w:t xml:space="preserve">W poprzednim tygodniu byliśmy świadkami spadków indeksów: amerykańskiego S&amp;P500, francuskiego CAC40, niemieckiego DAX40 oraz japońskiego NIKEI225. W rezultacie powyższych uwarunkowań międzynarodowych zniżkował także nasz polski indeks </w:t>
      </w:r>
      <w:r w:rsidR="001A55D3">
        <w:rPr>
          <w:sz w:val="26"/>
          <w:szCs w:val="26"/>
        </w:rPr>
        <w:t xml:space="preserve">dużych spółek </w:t>
      </w:r>
      <w:r w:rsidRPr="002F03D8">
        <w:rPr>
          <w:sz w:val="26"/>
          <w:szCs w:val="26"/>
        </w:rPr>
        <w:t xml:space="preserve">WIG20.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Pr="00876F81" w:rsidRDefault="00217363" w:rsidP="0021736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 początku warto spojrzeć na wykres indeksu amerykańskiego S&amp;P500. Nastąpiło </w:t>
      </w:r>
      <w:r w:rsidRPr="00876F81">
        <w:rPr>
          <w:b/>
          <w:sz w:val="26"/>
          <w:szCs w:val="26"/>
        </w:rPr>
        <w:t>dojście do lekko spadkowej linii trendu</w:t>
      </w:r>
      <w:r>
        <w:rPr>
          <w:sz w:val="26"/>
          <w:szCs w:val="26"/>
        </w:rPr>
        <w:t xml:space="preserve">. Ponadto utworzyła się </w:t>
      </w:r>
      <w:r w:rsidRPr="00876F81">
        <w:rPr>
          <w:b/>
          <w:sz w:val="26"/>
          <w:szCs w:val="26"/>
        </w:rPr>
        <w:t>formacja przenika</w:t>
      </w:r>
      <w:r>
        <w:rPr>
          <w:b/>
          <w:sz w:val="26"/>
          <w:szCs w:val="26"/>
        </w:rPr>
        <w:t>nia bessy zapowiadająca spadki indeksu S&amp;P500.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ważne z ostatniego badania przeprowadzonego wśród amerykańskich inwestorów indywidualnych wynika, że </w:t>
      </w:r>
      <w:r w:rsidRPr="00876F81">
        <w:rPr>
          <w:b/>
          <w:sz w:val="26"/>
          <w:szCs w:val="26"/>
        </w:rPr>
        <w:t xml:space="preserve">odsetek </w:t>
      </w:r>
      <w:proofErr w:type="gramStart"/>
      <w:r w:rsidRPr="00876F81">
        <w:rPr>
          <w:b/>
          <w:sz w:val="26"/>
          <w:szCs w:val="26"/>
        </w:rPr>
        <w:t>,,</w:t>
      </w:r>
      <w:proofErr w:type="gramEnd"/>
      <w:r w:rsidRPr="00876F81">
        <w:rPr>
          <w:b/>
          <w:sz w:val="26"/>
          <w:szCs w:val="26"/>
        </w:rPr>
        <w:t>byków”,</w:t>
      </w:r>
      <w:r>
        <w:rPr>
          <w:sz w:val="26"/>
          <w:szCs w:val="26"/>
        </w:rPr>
        <w:t xml:space="preserve"> czyli odsetek spodziewających się zwyżek cen akcji na giełdzie amerykańskiej w okresie kolejnych 6 miesięcy </w:t>
      </w:r>
      <w:r w:rsidRPr="00876F81">
        <w:rPr>
          <w:b/>
          <w:sz w:val="26"/>
          <w:szCs w:val="26"/>
        </w:rPr>
        <w:t>był wyższy od odsetka ,,niedźwiedzi”</w:t>
      </w:r>
      <w:r>
        <w:rPr>
          <w:sz w:val="26"/>
          <w:szCs w:val="26"/>
        </w:rPr>
        <w:t xml:space="preserve">, czyli odsetka osób oczekujących spadków cen amerykańskich akcji w tym okresie.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zasadą </w:t>
      </w:r>
      <w:proofErr w:type="gramStart"/>
      <w:r w:rsidRPr="00876F81">
        <w:rPr>
          <w:b/>
          <w:sz w:val="26"/>
          <w:szCs w:val="26"/>
        </w:rPr>
        <w:t>,,</w:t>
      </w:r>
      <w:proofErr w:type="gramEnd"/>
      <w:r w:rsidRPr="00876F81">
        <w:rPr>
          <w:b/>
          <w:sz w:val="26"/>
          <w:szCs w:val="26"/>
        </w:rPr>
        <w:t>kupuj pesymizm, sprzedawaj pesymizm”</w:t>
      </w:r>
      <w:r>
        <w:rPr>
          <w:sz w:val="26"/>
          <w:szCs w:val="26"/>
        </w:rPr>
        <w:t xml:space="preserve"> może to wszystko prowadzić do spadków cen akcji w USA a w konsekwencji także na innych rynkach dojrzałych i wschodzących, w tym na polskim rynku akcji.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Pr="002F03D8" w:rsidRDefault="00217363" w:rsidP="00217363">
      <w:pPr>
        <w:pStyle w:val="Bezodstpw"/>
        <w:jc w:val="both"/>
        <w:rPr>
          <w:b/>
          <w:sz w:val="26"/>
          <w:szCs w:val="26"/>
          <w:u w:val="single"/>
        </w:rPr>
      </w:pPr>
      <w:r w:rsidRPr="002F03D8">
        <w:rPr>
          <w:b/>
          <w:sz w:val="26"/>
          <w:szCs w:val="26"/>
          <w:u w:val="single"/>
        </w:rPr>
        <w:t>S&amp;P500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4C128C9" wp14:editId="61468F78">
            <wp:extent cx="5448300" cy="3267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 tej sytuacji pojawia się możliwość spadków także w przypadku indeksu WIG20. W przypadku tego indeksu szczególnie narażony na spadki może być kurs akcji KGHM.</w:t>
      </w:r>
    </w:p>
    <w:p w:rsidR="00217363" w:rsidRPr="00D43BDC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Obserwując poniższy wykres kursu akcji </w:t>
      </w:r>
      <w:r w:rsidRPr="00D43BDC">
        <w:rPr>
          <w:b/>
          <w:sz w:val="26"/>
          <w:szCs w:val="26"/>
        </w:rPr>
        <w:t>KGHM</w:t>
      </w:r>
      <w:r>
        <w:rPr>
          <w:sz w:val="26"/>
          <w:szCs w:val="26"/>
        </w:rPr>
        <w:t xml:space="preserve"> można dostrzec, że kurs akcji tej spółki </w:t>
      </w:r>
      <w:r w:rsidRPr="00D43BDC">
        <w:rPr>
          <w:b/>
          <w:sz w:val="26"/>
          <w:szCs w:val="26"/>
        </w:rPr>
        <w:t xml:space="preserve">doszedł do spadkowej linii trendu </w:t>
      </w:r>
      <w:r w:rsidRPr="00D43BDC">
        <w:rPr>
          <w:sz w:val="26"/>
          <w:szCs w:val="26"/>
        </w:rPr>
        <w:t xml:space="preserve">I zaczął spadać.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Pr="00876F81" w:rsidRDefault="00217363" w:rsidP="00217363">
      <w:pPr>
        <w:pStyle w:val="Bezodstpw"/>
        <w:jc w:val="both"/>
        <w:rPr>
          <w:b/>
          <w:sz w:val="26"/>
          <w:szCs w:val="26"/>
          <w:u w:val="single"/>
        </w:rPr>
      </w:pPr>
      <w:r w:rsidRPr="00876F81">
        <w:rPr>
          <w:b/>
          <w:sz w:val="26"/>
          <w:szCs w:val="26"/>
          <w:u w:val="single"/>
        </w:rPr>
        <w:t>KGHM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 w:rsidRPr="002F03D8">
        <w:rPr>
          <w:sz w:val="26"/>
          <w:szCs w:val="26"/>
        </w:rPr>
        <w:t xml:space="preserve">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AFAD05F" wp14:editId="3318CE4A">
            <wp:extent cx="5429250" cy="3257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3" w:rsidRPr="002F03D8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 w:rsidRPr="00D43BDC">
        <w:rPr>
          <w:sz w:val="26"/>
          <w:szCs w:val="26"/>
        </w:rPr>
        <w:t xml:space="preserve">Na wykresie kontraktów terminowych na </w:t>
      </w:r>
      <w:r w:rsidRPr="00D43BDC">
        <w:rPr>
          <w:b/>
          <w:sz w:val="26"/>
          <w:szCs w:val="26"/>
        </w:rPr>
        <w:t>miedź</w:t>
      </w:r>
      <w:r w:rsidRPr="00D43BDC">
        <w:rPr>
          <w:sz w:val="26"/>
          <w:szCs w:val="26"/>
        </w:rPr>
        <w:t xml:space="preserve"> doszło do </w:t>
      </w:r>
      <w:r w:rsidRPr="00D43BDC">
        <w:rPr>
          <w:b/>
          <w:sz w:val="26"/>
          <w:szCs w:val="26"/>
        </w:rPr>
        <w:t xml:space="preserve">przebicia wzrostowej linii trendu, </w:t>
      </w:r>
      <w:r w:rsidRPr="00D43BDC">
        <w:rPr>
          <w:sz w:val="26"/>
          <w:szCs w:val="26"/>
        </w:rPr>
        <w:t xml:space="preserve">co stwarza ryzyko spadów będąc pewnym zagrożeniem dla notowań wspomnianego KGHM-u.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b/>
          <w:sz w:val="26"/>
          <w:szCs w:val="26"/>
          <w:u w:val="single"/>
        </w:rPr>
      </w:pPr>
      <w:r w:rsidRPr="00D43BDC">
        <w:rPr>
          <w:b/>
          <w:sz w:val="26"/>
          <w:szCs w:val="26"/>
          <w:u w:val="single"/>
        </w:rPr>
        <w:t xml:space="preserve">MIEDŹ </w:t>
      </w:r>
    </w:p>
    <w:p w:rsidR="00217363" w:rsidRDefault="00217363" w:rsidP="00217363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59AEB76F" wp14:editId="1EC01344">
            <wp:extent cx="5419725" cy="32575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 w:rsidRPr="00266592">
        <w:rPr>
          <w:sz w:val="26"/>
          <w:szCs w:val="26"/>
        </w:rPr>
        <w:lastRenderedPageBreak/>
        <w:t xml:space="preserve">Załóżmy, że </w:t>
      </w:r>
      <w:r>
        <w:rPr>
          <w:sz w:val="26"/>
          <w:szCs w:val="26"/>
        </w:rPr>
        <w:t xml:space="preserve">faktycznie z uwagi na wyżej wymienione czynniki doszłoby do spadków indeksu WIG20, który to indeks jest szczególnie silnie powiązany z zachowaniem indeksów zagranicznych.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Pomimo to można spodziewać się, że będzie można znaleźć grupę spółek, która w ewentualnym okresie spadków indeksu WIG20 zachowa się stosunkowo mocno. Oczywiście trudno </w:t>
      </w:r>
      <w:proofErr w:type="gramStart"/>
      <w:r>
        <w:rPr>
          <w:sz w:val="26"/>
          <w:szCs w:val="26"/>
        </w:rPr>
        <w:t>powiedzieć jakie</w:t>
      </w:r>
      <w:proofErr w:type="gramEnd"/>
      <w:r>
        <w:rPr>
          <w:sz w:val="26"/>
          <w:szCs w:val="26"/>
        </w:rPr>
        <w:t xml:space="preserve"> spółki będą do tej grupy należeć, tym niemniej warto zwrócić uwagę na wykres siły względnej </w:t>
      </w:r>
      <w:proofErr w:type="spellStart"/>
      <w:r>
        <w:rPr>
          <w:sz w:val="26"/>
          <w:szCs w:val="26"/>
        </w:rPr>
        <w:t>Tesgas</w:t>
      </w:r>
      <w:proofErr w:type="spellEnd"/>
      <w:r>
        <w:rPr>
          <w:sz w:val="26"/>
          <w:szCs w:val="26"/>
        </w:rPr>
        <w:t xml:space="preserve">/KGHM.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Pr="00C82E4A" w:rsidRDefault="00217363" w:rsidP="0021736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>Jak wynika z dotychczasowych rozważań kurs KGHM znajdować się może pod szczególnie silną presją spadkową i dlatego warto zastanowić się nad tym</w:t>
      </w:r>
      <w:r w:rsidRPr="00C82E4A">
        <w:rPr>
          <w:b/>
          <w:sz w:val="26"/>
          <w:szCs w:val="26"/>
        </w:rPr>
        <w:t xml:space="preserve">, które akcje spółek zachować się mogą lepiej od kursu </w:t>
      </w:r>
      <w:proofErr w:type="gramStart"/>
      <w:r w:rsidRPr="00C82E4A">
        <w:rPr>
          <w:b/>
          <w:sz w:val="26"/>
          <w:szCs w:val="26"/>
        </w:rPr>
        <w:t xml:space="preserve">KGHM. </w:t>
      </w:r>
      <w:proofErr w:type="gramEnd"/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wykresie siły względnej </w:t>
      </w:r>
      <w:proofErr w:type="spellStart"/>
      <w:r w:rsidRPr="00C82E4A">
        <w:rPr>
          <w:b/>
          <w:sz w:val="26"/>
          <w:szCs w:val="26"/>
        </w:rPr>
        <w:t>Tesgas</w:t>
      </w:r>
      <w:proofErr w:type="spellEnd"/>
      <w:r w:rsidRPr="00C82E4A">
        <w:rPr>
          <w:b/>
          <w:sz w:val="26"/>
          <w:szCs w:val="26"/>
        </w:rPr>
        <w:t>/KGHM</w:t>
      </w:r>
      <w:r>
        <w:rPr>
          <w:sz w:val="26"/>
          <w:szCs w:val="26"/>
        </w:rPr>
        <w:t xml:space="preserve"> doszło do </w:t>
      </w:r>
      <w:r w:rsidRPr="00C82E4A">
        <w:rPr>
          <w:b/>
          <w:sz w:val="26"/>
          <w:szCs w:val="26"/>
        </w:rPr>
        <w:t>wybicia z formacji nietypowego podwójnego dna</w:t>
      </w:r>
      <w:r>
        <w:rPr>
          <w:sz w:val="26"/>
          <w:szCs w:val="26"/>
        </w:rPr>
        <w:t xml:space="preserve">, co zapowiada wzrost, czyli wyraźnie lepsze zachowanie kursu akcji spółki </w:t>
      </w:r>
      <w:proofErr w:type="spellStart"/>
      <w:r>
        <w:rPr>
          <w:sz w:val="26"/>
          <w:szCs w:val="26"/>
        </w:rPr>
        <w:t>Tesgas</w:t>
      </w:r>
      <w:proofErr w:type="spellEnd"/>
      <w:r>
        <w:rPr>
          <w:sz w:val="26"/>
          <w:szCs w:val="26"/>
        </w:rPr>
        <w:t xml:space="preserve">, niż kursu KGHM.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Pr="00266592" w:rsidRDefault="00217363" w:rsidP="00217363">
      <w:pPr>
        <w:pStyle w:val="Bezodstpw"/>
        <w:jc w:val="both"/>
        <w:rPr>
          <w:b/>
          <w:sz w:val="26"/>
          <w:szCs w:val="26"/>
          <w:u w:val="single"/>
        </w:rPr>
      </w:pPr>
      <w:r w:rsidRPr="00266592">
        <w:rPr>
          <w:b/>
          <w:sz w:val="26"/>
          <w:szCs w:val="26"/>
          <w:u w:val="single"/>
        </w:rPr>
        <w:t>TESGAS/KGHM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9AFC76F" wp14:editId="7782BBD9">
            <wp:extent cx="5429250" cy="3257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3" w:rsidRPr="00266592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 w:rsidRPr="00C82E4A">
        <w:rPr>
          <w:sz w:val="26"/>
          <w:szCs w:val="26"/>
        </w:rPr>
        <w:t xml:space="preserve">Naturalnie </w:t>
      </w:r>
      <w:r>
        <w:rPr>
          <w:sz w:val="26"/>
          <w:szCs w:val="26"/>
        </w:rPr>
        <w:t xml:space="preserve">nie wiemy, czy faktycznie kurs akcji spółki </w:t>
      </w:r>
      <w:proofErr w:type="spellStart"/>
      <w:r>
        <w:rPr>
          <w:sz w:val="26"/>
          <w:szCs w:val="26"/>
        </w:rPr>
        <w:t>Tesgas</w:t>
      </w:r>
      <w:proofErr w:type="spellEnd"/>
      <w:r>
        <w:rPr>
          <w:sz w:val="26"/>
          <w:szCs w:val="26"/>
        </w:rPr>
        <w:t xml:space="preserve"> zachowa się stosunkowo mocno, ale w każdym razie wygląd siły względnej </w:t>
      </w:r>
      <w:proofErr w:type="spellStart"/>
      <w:r>
        <w:rPr>
          <w:sz w:val="26"/>
          <w:szCs w:val="26"/>
        </w:rPr>
        <w:t>Tesgas</w:t>
      </w:r>
      <w:proofErr w:type="spellEnd"/>
      <w:r>
        <w:rPr>
          <w:sz w:val="26"/>
          <w:szCs w:val="26"/>
        </w:rPr>
        <w:t xml:space="preserve">/KGHM może skłaniać do pewnej refleksji.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zauważyć, że </w:t>
      </w:r>
      <w:proofErr w:type="spellStart"/>
      <w:r>
        <w:rPr>
          <w:sz w:val="26"/>
          <w:szCs w:val="26"/>
        </w:rPr>
        <w:t>Tesgas</w:t>
      </w:r>
      <w:proofErr w:type="spellEnd"/>
      <w:r>
        <w:rPr>
          <w:sz w:val="26"/>
          <w:szCs w:val="26"/>
        </w:rPr>
        <w:t xml:space="preserve"> został zaliczony do spółek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atrakcyjnych </w:t>
      </w:r>
      <w:r w:rsidRPr="00C82E4A">
        <w:rPr>
          <w:b/>
          <w:sz w:val="26"/>
          <w:szCs w:val="26"/>
        </w:rPr>
        <w:t>fundamentalnie</w:t>
      </w:r>
      <w:r>
        <w:rPr>
          <w:sz w:val="26"/>
          <w:szCs w:val="26"/>
        </w:rPr>
        <w:t xml:space="preserve">” </w:t>
      </w:r>
    </w:p>
    <w:p w:rsidR="00217363" w:rsidRDefault="00217363" w:rsidP="00217363">
      <w:pPr>
        <w:pStyle w:val="Bezodstpw"/>
        <w:jc w:val="both"/>
        <w:rPr>
          <w:sz w:val="26"/>
          <w:szCs w:val="26"/>
        </w:rPr>
      </w:pPr>
    </w:p>
    <w:p w:rsidR="00217363" w:rsidRDefault="00217363" w:rsidP="00217363">
      <w:pPr>
        <w:pStyle w:val="Bezodstpw"/>
        <w:jc w:val="both"/>
        <w:rPr>
          <w:rStyle w:val="Hipercze"/>
          <w:sz w:val="26"/>
          <w:szCs w:val="26"/>
        </w:rPr>
      </w:pPr>
      <w:hyperlink r:id="rId13" w:history="1">
        <w:r w:rsidRPr="00CA2DF3">
          <w:rPr>
            <w:rStyle w:val="Hipercze"/>
            <w:sz w:val="26"/>
            <w:szCs w:val="26"/>
          </w:rPr>
          <w:t>http://analizy-rynkowe.pl/lista-6-spolek-atrakcyjnych-fundamentalnie/</w:t>
        </w:r>
      </w:hyperlink>
    </w:p>
    <w:p w:rsidR="00217363" w:rsidRDefault="00217363" w:rsidP="00217363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8 kwietnia 2016 roku</w:t>
      </w:r>
    </w:p>
    <w:p w:rsidR="00217363" w:rsidRDefault="00217363" w:rsidP="0021736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Ile wynosiła średnia procentowa zmiana indeksu WIG 20 w tym okresie ?”. Odpowiedź na te pytania przedstawiłem w tabeli na następnej stronie.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217363" w:rsidTr="00B41088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217363" w:rsidRDefault="00217363" w:rsidP="0021736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217363" w:rsidRDefault="00217363" w:rsidP="0021736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217363" w:rsidRDefault="00217363" w:rsidP="00217363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9 lutego 2015 roku do 9 lutego 2016 roku 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kwietnia 2015 roku do 8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+15,2 %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+15,2 %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-20,8 %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</w:pPr>
    </w:p>
    <w:p w:rsidR="00217363" w:rsidRPr="00B129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sz w:val="60"/>
          <w:szCs w:val="60"/>
          <w:u w:val="single"/>
          <w:lang w:eastAsia="pl-PL"/>
        </w:rPr>
      </w:pPr>
      <w:r w:rsidRPr="00B12963">
        <w:rPr>
          <w:rFonts w:ascii="Calibri" w:eastAsia="Times New Roman" w:hAnsi="Calibri" w:cs="Times New Roman"/>
          <w:sz w:val="60"/>
          <w:szCs w:val="60"/>
          <w:u w:val="single"/>
          <w:lang w:eastAsia="pl-PL"/>
        </w:rPr>
        <w:t>Wniosek końcowy z powyższych rozważań brzmi następująco:</w:t>
      </w:r>
    </w:p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90"/>
          <w:szCs w:val="90"/>
          <w:u w:val="single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</w:pPr>
      <w:r w:rsidRPr="00B12963">
        <w:rPr>
          <w:rFonts w:ascii="Calibri" w:eastAsia="Times New Roman" w:hAnsi="Calibri" w:cs="Times New Roman"/>
          <w:color w:val="000000"/>
          <w:sz w:val="58"/>
          <w:szCs w:val="58"/>
          <w:lang w:eastAsia="pl-PL"/>
        </w:rPr>
        <w:t xml:space="preserve">Średnia procentowa zmiana kursu akcji spółki po wprowadzeniu jej do rubryki </w:t>
      </w:r>
      <w:proofErr w:type="gramStart"/>
      <w:r w:rsidRPr="00B12963"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,,</w:t>
      </w:r>
      <w:proofErr w:type="gramEnd"/>
      <w:r w:rsidRPr="00B12963"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Wykres do przemyślenia”</w:t>
      </w:r>
      <w:r w:rsidRPr="00B12963">
        <w:rPr>
          <w:rFonts w:ascii="Calibri" w:eastAsia="Times New Roman" w:hAnsi="Calibri" w:cs="Times New Roman"/>
          <w:color w:val="000000"/>
          <w:sz w:val="58"/>
          <w:szCs w:val="58"/>
          <w:lang w:eastAsia="pl-PL"/>
        </w:rPr>
        <w:t xml:space="preserve"> w okresie 12 pierwszych miesięcy po jej wprowadzeniu do tej rubryki wynosiła </w:t>
      </w:r>
      <w:r w:rsidRPr="00B12963"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plus 14,2 %.</w:t>
      </w:r>
      <w:r w:rsidRPr="00B12963">
        <w:rPr>
          <w:rFonts w:ascii="Calibri" w:eastAsia="Times New Roman" w:hAnsi="Calibri" w:cs="Times New Roman"/>
          <w:color w:val="FF0000"/>
          <w:sz w:val="58"/>
          <w:szCs w:val="58"/>
          <w:lang w:eastAsia="pl-PL"/>
        </w:rPr>
        <w:t xml:space="preserve"> </w:t>
      </w:r>
      <w:r w:rsidRPr="00B12963"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</w:rPr>
        <w:t xml:space="preserve">Średnia procentowa zmiana indeksu </w:t>
      </w:r>
      <w:r w:rsidRPr="00B12963">
        <w:rPr>
          <w:rFonts w:ascii="Calibri" w:eastAsia="Times New Roman" w:hAnsi="Calibri" w:cs="Times New Roman"/>
          <w:color w:val="000000" w:themeColor="text1"/>
          <w:sz w:val="58"/>
          <w:szCs w:val="58"/>
          <w:u w:val="single"/>
          <w:lang w:eastAsia="pl-PL"/>
        </w:rPr>
        <w:t xml:space="preserve">WIG20 </w:t>
      </w:r>
      <w:r w:rsidRPr="00B12963"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</w:rPr>
        <w:t xml:space="preserve">w tym okresie wynosiła </w:t>
      </w:r>
      <w:r w:rsidRPr="00B12963"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  <w:t>minus 17,</w:t>
      </w:r>
      <w:r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  <w:t>5</w:t>
      </w:r>
      <w:r w:rsidRPr="00B12963"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  <w:t xml:space="preserve"> %. </w:t>
      </w:r>
    </w:p>
    <w:p w:rsidR="00217363" w:rsidRDefault="00217363" w:rsidP="001A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217363" w:rsidRDefault="00217363" w:rsidP="0021736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8 kwietnia 2016 roku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6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4 maja 2015 roku do 1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+18,3  %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+18,3  %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 akcji trzech spółek, których akcje zostały umieszczone w dniu 1 lipca na stronie internetowej </w:t>
      </w:r>
      <w:hyperlink r:id="rId27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http://analizy-rynkowe.pl/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rubryce ,,Wykres do przemyślenia” w okresie od 30 czerwca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 xml:space="preserve">roku  </w:t>
      </w:r>
      <w:r>
        <w:rPr>
          <w:rFonts w:eastAsia="Times New Roman" w:cs="Times New Roman"/>
          <w:sz w:val="32"/>
          <w:szCs w:val="32"/>
          <w:lang w:eastAsia="pl-PL"/>
        </w:rPr>
        <w:t>oraz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8,53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-10,1 %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-7,8 %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-7,7  %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-17,2 %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na  stronie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sz w:val="28"/>
            <w:szCs w:val="28"/>
            <w:lang w:eastAsia="pl-PL"/>
          </w:rPr>
          <w:t>www.analizy-rynkowe.pl</w:t>
        </w:r>
      </w:hyperlink>
      <w:r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rubryce  ,,Wykres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 do przemyślenia” w okresie od 21 lipca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  </w:t>
      </w:r>
      <w:r>
        <w:rPr>
          <w:rFonts w:eastAsia="Times New Roman" w:cs="Times New Roman"/>
          <w:sz w:val="28"/>
          <w:szCs w:val="28"/>
          <w:lang w:eastAsia="pl-PL"/>
        </w:rPr>
        <w:t xml:space="preserve">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21,94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+5,5 %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+5,5 %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-14,5  %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lastRenderedPageBreak/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29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22 lipca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+31,1 %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+31,1%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-12,2 %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0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2 września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12,59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+12,4 %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+12,4 %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-8,9 %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1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3 września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297,35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-3,8 %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-3,8 %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9 października na stronie internetowej </w:t>
      </w:r>
      <w:hyperlink r:id="rId32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października 2015 roku do 1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+7,2 %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290,00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-7,3 %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0,0 %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-9,7 %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23,47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-5,9 %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-5,9 %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-9,6 %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+1,7 %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-9,5 %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18 marca 2016 roku  </w:t>
      </w:r>
      <w:r>
        <w:rPr>
          <w:rFonts w:eastAsia="Times New Roman" w:cs="Times New Roman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4,16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+90,0%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+90,0 %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-6,9 %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C22AC">
        <w:rPr>
          <w:rFonts w:eastAsia="Times New Roman" w:cs="Times New Roman"/>
          <w:sz w:val="24"/>
          <w:szCs w:val="24"/>
          <w:lang w:eastAsia="pl-PL"/>
        </w:rPr>
        <w:t xml:space="preserve">Tabela: Procentowa zmiana ceny akcji spółki, której akcje zostały umieszczone 30 listopada 2015 roku </w:t>
      </w:r>
      <w:proofErr w:type="gramStart"/>
      <w:r w:rsidRPr="00BC22AC">
        <w:rPr>
          <w:rFonts w:eastAsia="Times New Roman" w:cs="Times New Roman"/>
          <w:sz w:val="24"/>
          <w:szCs w:val="24"/>
          <w:lang w:eastAsia="pl-PL"/>
        </w:rPr>
        <w:t>na  stronie</w:t>
      </w:r>
      <w:proofErr w:type="gramEnd"/>
      <w:r w:rsidRPr="00BC22AC">
        <w:rPr>
          <w:rFonts w:eastAsia="Times New Roman" w:cs="Times New Roman"/>
          <w:sz w:val="24"/>
          <w:szCs w:val="24"/>
          <w:lang w:eastAsia="pl-PL"/>
        </w:rPr>
        <w:t xml:space="preserve"> internetowej </w:t>
      </w:r>
      <w:hyperlink r:id="rId36" w:history="1">
        <w:r w:rsidRPr="00BC22AC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www.analizy-rynkowe.pl</w:t>
        </w:r>
      </w:hyperlink>
      <w:r w:rsidRPr="00BC22AC">
        <w:rPr>
          <w:rFonts w:eastAsia="Times New Roman" w:cs="Times New Roman"/>
          <w:sz w:val="24"/>
          <w:szCs w:val="24"/>
          <w:lang w:eastAsia="pl-PL"/>
        </w:rPr>
        <w:t xml:space="preserve"> w </w:t>
      </w:r>
      <w:proofErr w:type="gramStart"/>
      <w:r w:rsidRPr="00BC22AC">
        <w:rPr>
          <w:rFonts w:eastAsia="Times New Roman" w:cs="Times New Roman"/>
          <w:sz w:val="24"/>
          <w:szCs w:val="24"/>
          <w:lang w:eastAsia="pl-PL"/>
        </w:rPr>
        <w:t>rubryce  ,,Wykres</w:t>
      </w:r>
      <w:proofErr w:type="gramEnd"/>
      <w:r w:rsidRPr="00BC22AC">
        <w:rPr>
          <w:rFonts w:eastAsia="Times New Roman" w:cs="Times New Roman"/>
          <w:sz w:val="24"/>
          <w:szCs w:val="24"/>
          <w:lang w:eastAsia="pl-PL"/>
        </w:rPr>
        <w:t xml:space="preserve"> do przemyślenia” w okresie od 27 listopada 2015 roku do 1 kwietnia 2016 roku  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60,60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+4,4 %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+4,4 %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-0,9 %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36"/>
          <w:szCs w:val="36"/>
          <w:lang w:eastAsia="pl-PL"/>
        </w:rPr>
        <w:t>na  stronie</w:t>
      </w:r>
      <w:proofErr w:type="gramEnd"/>
      <w:r>
        <w:rPr>
          <w:rFonts w:eastAsia="Times New Roman" w:cs="Times New Roman"/>
          <w:sz w:val="36"/>
          <w:szCs w:val="36"/>
          <w:lang w:eastAsia="pl-PL"/>
        </w:rPr>
        <w:t xml:space="preserve"> internetowej </w:t>
      </w:r>
      <w:hyperlink r:id="rId37" w:history="1">
        <w:r>
          <w:rPr>
            <w:rStyle w:val="Hipercze"/>
            <w:rFonts w:eastAsia="Times New Roman" w:cs="Times New Roman"/>
            <w:sz w:val="36"/>
            <w:szCs w:val="36"/>
            <w:lang w:eastAsia="pl-PL"/>
          </w:rPr>
          <w:t>www.analizy-rynkowe.pl</w:t>
        </w:r>
      </w:hyperlink>
      <w:r>
        <w:rPr>
          <w:rFonts w:eastAsia="Times New Roman" w:cs="Times New Roman"/>
          <w:sz w:val="36"/>
          <w:szCs w:val="3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6"/>
          <w:szCs w:val="36"/>
          <w:lang w:eastAsia="pl-PL"/>
        </w:rPr>
        <w:t>rubryce  ,,Wykres</w:t>
      </w:r>
      <w:proofErr w:type="gramEnd"/>
      <w:r>
        <w:rPr>
          <w:rFonts w:eastAsia="Times New Roman" w:cs="Times New Roman"/>
          <w:sz w:val="36"/>
          <w:szCs w:val="3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36"/>
          <w:szCs w:val="36"/>
          <w:lang w:eastAsia="pl-PL"/>
        </w:rPr>
        <w:t xml:space="preserve">oraz procentowa zmiana indeksu WIG 20 w tym okresie.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152,95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+ 9,4 %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+ 9,4 %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+2,7 %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+38,9%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+38,9 %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+2,7 %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9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19,50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-9,3 %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-9,3  %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+2,1 %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BC22AC">
        <w:rPr>
          <w:rFonts w:eastAsia="Times New Roman" w:cs="Times New Roman"/>
          <w:sz w:val="30"/>
          <w:szCs w:val="30"/>
          <w:lang w:eastAsia="pl-PL"/>
        </w:rPr>
        <w:t xml:space="preserve">Tabela: Procentowa zmiana cen akcji trzech spółek, których akcje zostały umieszczone w dniu 15 lutego 2016 roku na stronie internetowej </w:t>
      </w:r>
      <w:hyperlink r:id="rId40" w:history="1">
        <w:r w:rsidRPr="00BC22AC">
          <w:rPr>
            <w:rStyle w:val="Hipercze"/>
            <w:rFonts w:eastAsia="Times New Roman" w:cs="Times New Roman"/>
            <w:sz w:val="30"/>
            <w:szCs w:val="30"/>
            <w:lang w:eastAsia="pl-PL"/>
          </w:rPr>
          <w:t>http://analizy-rynkowe.pl/</w:t>
        </w:r>
      </w:hyperlink>
      <w:r w:rsidRPr="00BC22AC">
        <w:rPr>
          <w:rFonts w:eastAsia="Times New Roman" w:cs="Times New Roman"/>
          <w:sz w:val="30"/>
          <w:szCs w:val="30"/>
          <w:lang w:eastAsia="pl-PL"/>
        </w:rPr>
        <w:t xml:space="preserve"> w rubryce ,,Wykres do przemyślenia” w okresie od 12 lutego do 1 kwietnia 2016 </w:t>
      </w:r>
      <w:proofErr w:type="gramStart"/>
      <w:r w:rsidRPr="00BC22AC">
        <w:rPr>
          <w:rFonts w:eastAsia="Times New Roman" w:cs="Times New Roman"/>
          <w:sz w:val="30"/>
          <w:szCs w:val="30"/>
          <w:lang w:eastAsia="pl-PL"/>
        </w:rPr>
        <w:t>roku  oraz</w:t>
      </w:r>
      <w:proofErr w:type="gramEnd"/>
      <w:r w:rsidRPr="00BC22AC">
        <w:rPr>
          <w:rFonts w:eastAsia="Times New Roman" w:cs="Times New Roman"/>
          <w:sz w:val="30"/>
          <w:szCs w:val="30"/>
          <w:lang w:eastAsia="pl-PL"/>
        </w:rPr>
        <w:t xml:space="preserve">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Efekt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17,63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18,49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+4,9 %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mBank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323,00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336,00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+3,8 %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3,23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3,65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+13,0  %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+ 7,2 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1 765,53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+8,7 %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C22AC"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18 lutego 2016 roku na stronie internetowej </w:t>
      </w:r>
      <w:hyperlink r:id="rId41" w:history="1">
        <w:r w:rsidRPr="00BC22AC"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 w:rsidRPr="00BC22AC"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 w:rsidRPr="00BC22AC"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 w:rsidRPr="00BC22AC">
        <w:rPr>
          <w:rFonts w:eastAsia="Times New Roman" w:cs="Times New Roman"/>
          <w:sz w:val="26"/>
          <w:szCs w:val="26"/>
          <w:lang w:eastAsia="pl-PL"/>
        </w:rPr>
        <w:t xml:space="preserve"> do przemyślenia” w okresie od 17 lutego do 1 kwietnia 2016 roku  oraz procentowa zmiana indeksu WIG 20 w tym okresie. 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+15,5 %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  7,25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  9,18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>+26,6 %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+21,1 %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1 847,06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+3,9 %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C22AC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  <w:lang w:eastAsia="pl-PL"/>
        </w:rPr>
        <w:t>4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sz w:val="26"/>
          <w:szCs w:val="26"/>
          <w:lang w:eastAsia="pl-PL"/>
        </w:rPr>
        <w:t xml:space="preserve">kwietnia </w:t>
      </w:r>
      <w:r w:rsidRPr="00BC22AC">
        <w:rPr>
          <w:rFonts w:eastAsia="Times New Roman" w:cs="Times New Roman"/>
          <w:sz w:val="26"/>
          <w:szCs w:val="26"/>
          <w:lang w:eastAsia="pl-PL"/>
        </w:rPr>
        <w:t>201</w:t>
      </w:r>
      <w:r>
        <w:rPr>
          <w:rFonts w:eastAsia="Times New Roman" w:cs="Times New Roman"/>
          <w:sz w:val="26"/>
          <w:szCs w:val="26"/>
          <w:lang w:eastAsia="pl-PL"/>
        </w:rPr>
        <w:t>6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 roku </w:t>
      </w:r>
      <w:proofErr w:type="gramStart"/>
      <w:r w:rsidRPr="00BC22AC"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 w:rsidRPr="00BC22AC"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42" w:history="1">
        <w:r w:rsidRPr="00BC22AC"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 w:rsidRPr="00BC22AC"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 w:rsidRPr="00BC22AC"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 w:rsidRPr="00BC22AC">
        <w:rPr>
          <w:rFonts w:eastAsia="Times New Roman" w:cs="Times New Roman"/>
          <w:sz w:val="26"/>
          <w:szCs w:val="26"/>
          <w:lang w:eastAsia="pl-PL"/>
        </w:rPr>
        <w:t xml:space="preserve"> do przemyślenia” w okresie od </w:t>
      </w:r>
      <w:r>
        <w:rPr>
          <w:rFonts w:eastAsia="Times New Roman" w:cs="Times New Roman"/>
          <w:sz w:val="26"/>
          <w:szCs w:val="26"/>
          <w:lang w:eastAsia="pl-PL"/>
        </w:rPr>
        <w:t xml:space="preserve">1 do 8 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kwietnia 2016 roku  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r w:rsidRPr="00D63B22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r w:rsidRPr="00D63B22">
              <w:rPr>
                <w:rFonts w:eastAsiaTheme="minorEastAsia"/>
                <w:lang w:eastAsia="pl-PL"/>
              </w:rPr>
              <w:t>Poziom – 0</w:t>
            </w:r>
            <w:r>
              <w:rPr>
                <w:rFonts w:eastAsiaTheme="minorEastAsia"/>
                <w:lang w:eastAsia="pl-PL"/>
              </w:rPr>
              <w:t>8</w:t>
            </w:r>
            <w:r w:rsidRPr="00D63B22">
              <w:rPr>
                <w:rFonts w:eastAsiaTheme="minorEastAsia"/>
                <w:lang w:eastAsia="pl-PL"/>
              </w:rPr>
              <w:t>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9,35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9,29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-0,6 %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-0,6 %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-2,7 %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C22AC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</w:t>
      </w:r>
      <w:r>
        <w:rPr>
          <w:rFonts w:eastAsia="Times New Roman" w:cs="Times New Roman"/>
          <w:sz w:val="26"/>
          <w:szCs w:val="26"/>
          <w:lang w:eastAsia="pl-PL"/>
        </w:rPr>
        <w:t>7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sz w:val="26"/>
          <w:szCs w:val="26"/>
          <w:lang w:eastAsia="pl-PL"/>
        </w:rPr>
        <w:t xml:space="preserve">kwietnia </w:t>
      </w:r>
      <w:r w:rsidRPr="00BC22AC">
        <w:rPr>
          <w:rFonts w:eastAsia="Times New Roman" w:cs="Times New Roman"/>
          <w:sz w:val="26"/>
          <w:szCs w:val="26"/>
          <w:lang w:eastAsia="pl-PL"/>
        </w:rPr>
        <w:t>201</w:t>
      </w:r>
      <w:r>
        <w:rPr>
          <w:rFonts w:eastAsia="Times New Roman" w:cs="Times New Roman"/>
          <w:sz w:val="26"/>
          <w:szCs w:val="26"/>
          <w:lang w:eastAsia="pl-PL"/>
        </w:rPr>
        <w:t>6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 roku </w:t>
      </w:r>
      <w:proofErr w:type="gramStart"/>
      <w:r w:rsidRPr="00BC22AC"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 w:rsidRPr="00BC22AC"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43" w:history="1">
        <w:r w:rsidRPr="00BC22AC"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 w:rsidRPr="00BC22AC"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 w:rsidRPr="00BC22AC"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 w:rsidRPr="00BC22AC">
        <w:rPr>
          <w:rFonts w:eastAsia="Times New Roman" w:cs="Times New Roman"/>
          <w:sz w:val="26"/>
          <w:szCs w:val="26"/>
          <w:lang w:eastAsia="pl-PL"/>
        </w:rPr>
        <w:t xml:space="preserve"> do przemyślenia” w okresie od </w:t>
      </w:r>
      <w:r>
        <w:rPr>
          <w:rFonts w:eastAsia="Times New Roman" w:cs="Times New Roman"/>
          <w:sz w:val="26"/>
          <w:szCs w:val="26"/>
          <w:lang w:eastAsia="pl-PL"/>
        </w:rPr>
        <w:t xml:space="preserve">6 do 8 </w:t>
      </w:r>
      <w:r w:rsidRPr="00BC22AC">
        <w:rPr>
          <w:rFonts w:eastAsia="Times New Roman" w:cs="Times New Roman"/>
          <w:sz w:val="26"/>
          <w:szCs w:val="26"/>
          <w:lang w:eastAsia="pl-PL"/>
        </w:rPr>
        <w:t xml:space="preserve">kwietnia 2016 roku    oraz procentowa zmiana indeksu WIG 20 w tym okresie. 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r w:rsidRPr="00D63B22">
              <w:rPr>
                <w:rFonts w:eastAsiaTheme="minorEastAsia"/>
                <w:lang w:eastAsia="pl-PL"/>
              </w:rPr>
              <w:t>Poziom – 0</w:t>
            </w:r>
            <w:r>
              <w:rPr>
                <w:rFonts w:eastAsiaTheme="minorEastAsia"/>
                <w:lang w:eastAsia="pl-PL"/>
              </w:rPr>
              <w:t>6</w:t>
            </w:r>
            <w:r w:rsidRPr="00D63B22">
              <w:rPr>
                <w:rFonts w:eastAsiaTheme="minorEastAsia"/>
                <w:lang w:eastAsia="pl-PL"/>
              </w:rPr>
              <w:t>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r w:rsidRPr="00D63B22">
              <w:rPr>
                <w:rFonts w:eastAsiaTheme="minorEastAsia"/>
                <w:lang w:eastAsia="pl-PL"/>
              </w:rPr>
              <w:t>Poziom – 0</w:t>
            </w:r>
            <w:r>
              <w:rPr>
                <w:rFonts w:eastAsiaTheme="minorEastAsia"/>
                <w:lang w:eastAsia="pl-PL"/>
              </w:rPr>
              <w:t>8</w:t>
            </w:r>
            <w:r w:rsidRPr="00D63B22">
              <w:rPr>
                <w:rFonts w:eastAsiaTheme="minorEastAsia"/>
                <w:lang w:eastAsia="pl-PL"/>
              </w:rPr>
              <w:t>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Orzeł Biały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+5,5%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+5,5 %</w:t>
            </w:r>
          </w:p>
        </w:tc>
      </w:tr>
      <w:tr w:rsidR="00217363" w:rsidTr="00B410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63" w:rsidRDefault="00217363" w:rsidP="00B41088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+0,0 %</w:t>
            </w:r>
          </w:p>
        </w:tc>
      </w:tr>
    </w:tbl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46"/>
          <w:szCs w:val="46"/>
          <w:u w:val="single"/>
          <w:lang w:eastAsia="pl-PL"/>
        </w:rPr>
      </w:pPr>
      <w:r w:rsidRPr="00BC22AC">
        <w:rPr>
          <w:rFonts w:eastAsia="Times New Roman" w:cs="Times New Roman"/>
          <w:sz w:val="46"/>
          <w:szCs w:val="46"/>
          <w:lang w:eastAsia="pl-PL"/>
        </w:rPr>
        <w:lastRenderedPageBreak/>
        <w:t xml:space="preserve">Spółek, </w:t>
      </w:r>
      <w:r w:rsidRPr="00BC22AC">
        <w:rPr>
          <w:rFonts w:eastAsia="Times New Roman" w:cs="Times New Roman"/>
          <w:sz w:val="46"/>
          <w:szCs w:val="46"/>
          <w:u w:val="single"/>
          <w:lang w:eastAsia="pl-PL"/>
        </w:rPr>
        <w:t>dla których nie można jeszcze obliczyć</w:t>
      </w:r>
      <w:r w:rsidRPr="00BC22AC">
        <w:rPr>
          <w:rFonts w:eastAsia="Times New Roman" w:cs="Times New Roman"/>
          <w:sz w:val="46"/>
          <w:szCs w:val="46"/>
          <w:lang w:eastAsia="pl-PL"/>
        </w:rPr>
        <w:t xml:space="preserve"> procentowej zmiany kursu akcji po wprowadzeniu jej do rubryki </w:t>
      </w:r>
      <w:proofErr w:type="gramStart"/>
      <w:r w:rsidRPr="00BC22AC">
        <w:rPr>
          <w:rFonts w:eastAsia="Times New Roman" w:cs="Times New Roman"/>
          <w:sz w:val="46"/>
          <w:szCs w:val="46"/>
          <w:lang w:eastAsia="pl-PL"/>
        </w:rPr>
        <w:t>,,</w:t>
      </w:r>
      <w:proofErr w:type="gramEnd"/>
      <w:r w:rsidRPr="00BC22AC">
        <w:rPr>
          <w:rFonts w:eastAsia="Times New Roman" w:cs="Times New Roman"/>
          <w:sz w:val="46"/>
          <w:szCs w:val="46"/>
          <w:lang w:eastAsia="pl-PL"/>
        </w:rPr>
        <w:t xml:space="preserve">Wykres do przemyślenia” w okresie 12 pierwszych miesięcy po jej wprowadzeniu do tej rubryki </w:t>
      </w:r>
      <w:r w:rsidRPr="00BC22AC">
        <w:rPr>
          <w:rFonts w:eastAsia="Times New Roman" w:cs="Times New Roman"/>
          <w:sz w:val="46"/>
          <w:szCs w:val="46"/>
          <w:u w:val="single"/>
          <w:lang w:eastAsia="pl-PL"/>
        </w:rPr>
        <w:t xml:space="preserve">jest </w:t>
      </w:r>
      <w:r w:rsidRPr="00BC22AC">
        <w:rPr>
          <w:rFonts w:eastAsia="Times New Roman" w:cs="Times New Roman"/>
          <w:b/>
          <w:sz w:val="46"/>
          <w:szCs w:val="46"/>
          <w:u w:val="single"/>
          <w:lang w:eastAsia="pl-PL"/>
        </w:rPr>
        <w:t>25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46"/>
          <w:szCs w:val="46"/>
          <w:u w:val="single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54"/>
          <w:szCs w:val="54"/>
          <w:lang w:eastAsia="pl-PL"/>
        </w:rPr>
      </w:pPr>
      <w:r w:rsidRPr="00BC22AC">
        <w:rPr>
          <w:rFonts w:eastAsia="Times New Roman" w:cs="Times New Roman"/>
          <w:sz w:val="54"/>
          <w:szCs w:val="54"/>
          <w:lang w:eastAsia="pl-PL"/>
        </w:rPr>
        <w:t xml:space="preserve">W odniesieniu do tej grupy </w:t>
      </w:r>
      <w:r w:rsidRPr="00BC22AC">
        <w:rPr>
          <w:rFonts w:eastAsia="Times New Roman" w:cs="Times New Roman"/>
          <w:b/>
          <w:sz w:val="54"/>
          <w:szCs w:val="54"/>
          <w:u w:val="single"/>
          <w:lang w:eastAsia="pl-PL"/>
        </w:rPr>
        <w:t>25 spółki</w:t>
      </w:r>
      <w:r w:rsidRPr="00BC22AC">
        <w:rPr>
          <w:rFonts w:eastAsia="Times New Roman" w:cs="Times New Roman"/>
          <w:sz w:val="54"/>
          <w:szCs w:val="54"/>
          <w:lang w:eastAsia="pl-PL"/>
        </w:rPr>
        <w:t xml:space="preserve"> można sformułować następujący wniosek: 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54"/>
          <w:szCs w:val="54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54"/>
          <w:szCs w:val="54"/>
          <w:u w:val="single"/>
          <w:lang w:eastAsia="pl-PL"/>
        </w:rPr>
      </w:pPr>
      <w:r w:rsidRPr="00BC22AC">
        <w:rPr>
          <w:rFonts w:eastAsia="Times New Roman" w:cs="Times New Roman"/>
          <w:sz w:val="54"/>
          <w:szCs w:val="54"/>
          <w:u w:val="single"/>
          <w:lang w:eastAsia="pl-PL"/>
        </w:rPr>
        <w:t xml:space="preserve">Wniosek 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54"/>
          <w:szCs w:val="54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54"/>
          <w:szCs w:val="54"/>
          <w:lang w:eastAsia="pl-PL"/>
        </w:rPr>
      </w:pPr>
      <w:r w:rsidRPr="00BC22AC">
        <w:rPr>
          <w:rFonts w:eastAsia="Times New Roman" w:cs="Times New Roman"/>
          <w:sz w:val="54"/>
          <w:szCs w:val="54"/>
          <w:lang w:eastAsia="pl-PL"/>
        </w:rPr>
        <w:t xml:space="preserve">Warto zauważyć, że </w:t>
      </w:r>
      <w:r w:rsidRPr="00BC22AC">
        <w:rPr>
          <w:rFonts w:eastAsia="Times New Roman" w:cs="Times New Roman"/>
          <w:b/>
          <w:color w:val="000000" w:themeColor="text1"/>
          <w:sz w:val="54"/>
          <w:szCs w:val="54"/>
          <w:lang w:eastAsia="pl-PL"/>
        </w:rPr>
        <w:t xml:space="preserve">spośród </w:t>
      </w:r>
      <w:r w:rsidRPr="00BC22AC">
        <w:rPr>
          <w:rFonts w:eastAsia="Times New Roman" w:cs="Times New Roman"/>
          <w:b/>
          <w:color w:val="000000" w:themeColor="text1"/>
          <w:sz w:val="54"/>
          <w:szCs w:val="54"/>
          <w:u w:val="single"/>
          <w:lang w:eastAsia="pl-PL"/>
        </w:rPr>
        <w:t xml:space="preserve">25 </w:t>
      </w:r>
      <w:proofErr w:type="gramStart"/>
      <w:r w:rsidRPr="00BC22AC">
        <w:rPr>
          <w:rFonts w:eastAsia="Times New Roman" w:cs="Times New Roman"/>
          <w:b/>
          <w:color w:val="000000" w:themeColor="text1"/>
          <w:sz w:val="54"/>
          <w:szCs w:val="54"/>
          <w:u w:val="single"/>
          <w:lang w:eastAsia="pl-PL"/>
        </w:rPr>
        <w:t>spółek</w:t>
      </w:r>
      <w:r w:rsidRPr="00BC22AC">
        <w:rPr>
          <w:rFonts w:eastAsia="Times New Roman" w:cs="Times New Roman"/>
          <w:sz w:val="54"/>
          <w:szCs w:val="54"/>
          <w:lang w:eastAsia="pl-PL"/>
        </w:rPr>
        <w:t xml:space="preserve"> (których</w:t>
      </w:r>
      <w:proofErr w:type="gramEnd"/>
      <w:r w:rsidRPr="00BC22AC">
        <w:rPr>
          <w:rFonts w:eastAsia="Times New Roman" w:cs="Times New Roman"/>
          <w:sz w:val="54"/>
          <w:szCs w:val="54"/>
          <w:lang w:eastAsia="pl-PL"/>
        </w:rPr>
        <w:t xml:space="preserve"> lista 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>opublikowana jest na str. 1</w:t>
      </w:r>
      <w:r w:rsidR="001A55D3">
        <w:rPr>
          <w:rFonts w:eastAsia="Times New Roman" w:cs="Times New Roman"/>
          <w:b/>
          <w:sz w:val="54"/>
          <w:szCs w:val="54"/>
          <w:lang w:eastAsia="pl-PL"/>
        </w:rPr>
        <w:t>6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>-2</w:t>
      </w:r>
      <w:r w:rsidR="001A55D3">
        <w:rPr>
          <w:rFonts w:eastAsia="Times New Roman" w:cs="Times New Roman"/>
          <w:b/>
          <w:sz w:val="54"/>
          <w:szCs w:val="54"/>
          <w:lang w:eastAsia="pl-PL"/>
        </w:rPr>
        <w:t>1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 xml:space="preserve">) </w:t>
      </w: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sz w:val="54"/>
          <w:szCs w:val="54"/>
          <w:lang w:eastAsia="pl-PL"/>
        </w:rPr>
      </w:pPr>
    </w:p>
    <w:p w:rsidR="00217363" w:rsidRPr="00BC22AC" w:rsidRDefault="00217363" w:rsidP="00217363">
      <w:pPr>
        <w:spacing w:after="0" w:line="240" w:lineRule="auto"/>
        <w:jc w:val="both"/>
        <w:rPr>
          <w:rFonts w:eastAsia="Times New Roman" w:cs="Times New Roman"/>
          <w:b/>
          <w:sz w:val="54"/>
          <w:szCs w:val="54"/>
          <w:lang w:eastAsia="pl-PL"/>
        </w:rPr>
      </w:pPr>
      <w:proofErr w:type="gramStart"/>
      <w:r w:rsidRPr="00BC22AC">
        <w:rPr>
          <w:rFonts w:eastAsia="Times New Roman" w:cs="Times New Roman"/>
          <w:b/>
          <w:sz w:val="54"/>
          <w:szCs w:val="54"/>
          <w:lang w:eastAsia="pl-PL"/>
        </w:rPr>
        <w:t>kursy</w:t>
      </w:r>
      <w:proofErr w:type="gramEnd"/>
      <w:r w:rsidRPr="00BC22AC">
        <w:rPr>
          <w:rFonts w:eastAsia="Times New Roman" w:cs="Times New Roman"/>
          <w:b/>
          <w:sz w:val="54"/>
          <w:szCs w:val="54"/>
          <w:lang w:eastAsia="pl-PL"/>
        </w:rPr>
        <w:t xml:space="preserve"> akcji </w:t>
      </w:r>
      <w:r>
        <w:rPr>
          <w:rFonts w:eastAsia="Times New Roman" w:cs="Times New Roman"/>
          <w:b/>
          <w:color w:val="FF0000"/>
          <w:sz w:val="54"/>
          <w:szCs w:val="54"/>
          <w:lang w:eastAsia="pl-PL"/>
        </w:rPr>
        <w:t>22</w:t>
      </w:r>
      <w:r w:rsidRPr="00BC22AC">
        <w:rPr>
          <w:rFonts w:eastAsia="Times New Roman" w:cs="Times New Roman"/>
          <w:b/>
          <w:color w:val="FF0000"/>
          <w:sz w:val="54"/>
          <w:szCs w:val="54"/>
          <w:lang w:eastAsia="pl-PL"/>
        </w:rPr>
        <w:t xml:space="preserve"> spółek</w:t>
      </w:r>
      <w:r w:rsidRPr="00BC22AC">
        <w:rPr>
          <w:rFonts w:eastAsia="Times New Roman" w:cs="Times New Roman"/>
          <w:sz w:val="54"/>
          <w:szCs w:val="54"/>
          <w:lang w:eastAsia="pl-PL"/>
        </w:rPr>
        <w:t xml:space="preserve"> od momentu owego zakwalifikowania do tej rubryki do dnia </w:t>
      </w:r>
      <w:r>
        <w:rPr>
          <w:rFonts w:eastAsia="Times New Roman" w:cs="Times New Roman"/>
          <w:sz w:val="54"/>
          <w:szCs w:val="54"/>
          <w:lang w:eastAsia="pl-PL"/>
        </w:rPr>
        <w:t>8</w:t>
      </w:r>
      <w:r w:rsidRPr="00BC22AC">
        <w:rPr>
          <w:rFonts w:eastAsia="Times New Roman" w:cs="Times New Roman"/>
          <w:sz w:val="54"/>
          <w:szCs w:val="54"/>
          <w:lang w:eastAsia="pl-PL"/>
        </w:rPr>
        <w:t xml:space="preserve"> kwietnia 2016 roku zachowywały się </w:t>
      </w:r>
      <w:r w:rsidRPr="00BC22AC">
        <w:rPr>
          <w:rFonts w:eastAsia="Times New Roman" w:cs="Times New Roman"/>
          <w:b/>
          <w:color w:val="FF0000"/>
          <w:sz w:val="54"/>
          <w:szCs w:val="54"/>
          <w:u w:val="single"/>
          <w:lang w:eastAsia="pl-PL"/>
        </w:rPr>
        <w:t>lepiej</w:t>
      </w:r>
      <w:r w:rsidRPr="00BC22AC">
        <w:rPr>
          <w:rFonts w:eastAsia="Times New Roman" w:cs="Times New Roman"/>
          <w:b/>
          <w:color w:val="FF0000"/>
          <w:sz w:val="54"/>
          <w:szCs w:val="54"/>
          <w:lang w:eastAsia="pl-PL"/>
        </w:rPr>
        <w:t xml:space="preserve"> od indeksu WIG20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 xml:space="preserve"> a </w:t>
      </w:r>
      <w:r>
        <w:rPr>
          <w:rFonts w:eastAsia="Times New Roman" w:cs="Times New Roman"/>
          <w:b/>
          <w:sz w:val="54"/>
          <w:szCs w:val="54"/>
          <w:lang w:eastAsia="pl-PL"/>
        </w:rPr>
        <w:t>3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 xml:space="preserve"> </w:t>
      </w:r>
      <w:r w:rsidRPr="00BC22AC">
        <w:rPr>
          <w:rFonts w:eastAsia="Times New Roman" w:cs="Times New Roman"/>
          <w:b/>
          <w:sz w:val="54"/>
          <w:szCs w:val="54"/>
          <w:u w:val="single"/>
          <w:lang w:eastAsia="pl-PL"/>
        </w:rPr>
        <w:t xml:space="preserve">gorzej </w:t>
      </w:r>
      <w:r w:rsidRPr="00BC22AC">
        <w:rPr>
          <w:rFonts w:eastAsia="Times New Roman" w:cs="Times New Roman"/>
          <w:b/>
          <w:sz w:val="54"/>
          <w:szCs w:val="54"/>
          <w:lang w:eastAsia="pl-PL"/>
        </w:rPr>
        <w:t xml:space="preserve">od indeksu WIG20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44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217363" w:rsidRDefault="00217363" w:rsidP="0021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217363" w:rsidRDefault="00217363" w:rsidP="0021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217363" w:rsidRDefault="00217363" w:rsidP="00217363">
      <w:pPr>
        <w:rPr>
          <w:rFonts w:eastAsia="Times New Roman" w:cs="Times New Roman"/>
          <w:lang w:eastAsia="pl-PL"/>
        </w:rPr>
      </w:pPr>
    </w:p>
    <w:p w:rsidR="00217363" w:rsidRDefault="00217363" w:rsidP="00217363">
      <w:pPr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217363" w:rsidRDefault="00217363" w:rsidP="00217363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217363" w:rsidRDefault="00217363" w:rsidP="0021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217363" w:rsidRDefault="00217363" w:rsidP="00217363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17363" w:rsidRPr="00E54CAC" w:rsidRDefault="00217363" w:rsidP="0021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E54CAC">
        <w:rPr>
          <w:rFonts w:eastAsia="Times New Roman" w:cs="Times New Roman"/>
          <w:color w:val="000000" w:themeColor="text1"/>
          <w:lang w:eastAsia="pl-PL"/>
        </w:rPr>
        <w:t xml:space="preserve">Na wykresie indeksu amerykańskiego S&amp;P500 nastąpiło dojście do lekko spadkowej linii trendu. Ponadto utworzyła się formacja przenikania bessy zapowiadająca spadki indeksu S&amp;P500. Co ważne z ostatniego badania przeprowadzonego wśród amerykańskich inwestorów indywidualnych wynika, że odsetek </w:t>
      </w:r>
      <w:proofErr w:type="gramStart"/>
      <w:r w:rsidRPr="00E54CAC">
        <w:rPr>
          <w:rFonts w:eastAsia="Times New Roman" w:cs="Times New Roman"/>
          <w:color w:val="000000" w:themeColor="text1"/>
          <w:lang w:eastAsia="pl-PL"/>
        </w:rPr>
        <w:t>,,</w:t>
      </w:r>
      <w:proofErr w:type="gramEnd"/>
      <w:r w:rsidRPr="00E54CAC">
        <w:rPr>
          <w:rFonts w:eastAsia="Times New Roman" w:cs="Times New Roman"/>
          <w:color w:val="000000" w:themeColor="text1"/>
          <w:lang w:eastAsia="pl-PL"/>
        </w:rPr>
        <w:t xml:space="preserve">byków”, czyli odsetek spodziewających się zwyżek cen akcji na giełdzie amerykańskiej w okresie kolejnych 6 miesięcy był wyższy od odsetka ,,niedźwiedzi”, czyli odsetka osób oczekujących spadków cen amerykańskich akcji w tym okresie. Zgodnie z zasadą </w:t>
      </w:r>
      <w:proofErr w:type="gramStart"/>
      <w:r w:rsidRPr="00E54CAC">
        <w:rPr>
          <w:rFonts w:eastAsia="Times New Roman" w:cs="Times New Roman"/>
          <w:color w:val="000000" w:themeColor="text1"/>
          <w:lang w:eastAsia="pl-PL"/>
        </w:rPr>
        <w:t>,,</w:t>
      </w:r>
      <w:proofErr w:type="gramEnd"/>
      <w:r w:rsidRPr="00E54CAC">
        <w:rPr>
          <w:rFonts w:eastAsia="Times New Roman" w:cs="Times New Roman"/>
          <w:color w:val="000000" w:themeColor="text1"/>
          <w:lang w:eastAsia="pl-PL"/>
        </w:rPr>
        <w:t>kupuj pesymizm, sprzedawaj pesymizm” może to wszystko prowadzić do spadków cen akcji w USA a w konsekwencji także na innych rynkach dojrzałych i wschodzących, w tym na polskim rynku akcji.</w:t>
      </w:r>
    </w:p>
    <w:p w:rsidR="00217363" w:rsidRDefault="00217363" w:rsidP="00217363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17363" w:rsidRPr="00E54CAC" w:rsidRDefault="00217363" w:rsidP="00217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E54CAC">
        <w:rPr>
          <w:rFonts w:eastAsia="Times New Roman" w:cs="Times New Roman"/>
          <w:color w:val="000000" w:themeColor="text1"/>
          <w:lang w:eastAsia="pl-PL"/>
        </w:rPr>
        <w:t xml:space="preserve">Załóżmy, że faktycznie z uwagi na wyżej wymienione czynniki doszłoby do spadków indeksu WIG20, który to indeks jest szczególnie silnie powiązany z zachowaniem indeksów zagranicznych. Pomimo to można spodziewać się, że będzie można znaleźć grupę spółek, która w ewentualnym okresie spadków indeksu WIG20 zachowa się stosunkowo mocno. Oczywiście trudno </w:t>
      </w:r>
      <w:proofErr w:type="gramStart"/>
      <w:r w:rsidRPr="00E54CAC">
        <w:rPr>
          <w:rFonts w:eastAsia="Times New Roman" w:cs="Times New Roman"/>
          <w:color w:val="000000" w:themeColor="text1"/>
          <w:lang w:eastAsia="pl-PL"/>
        </w:rPr>
        <w:t>powiedzieć jakie</w:t>
      </w:r>
      <w:proofErr w:type="gramEnd"/>
      <w:r w:rsidRPr="00E54CAC">
        <w:rPr>
          <w:rFonts w:eastAsia="Times New Roman" w:cs="Times New Roman"/>
          <w:color w:val="000000" w:themeColor="text1"/>
          <w:lang w:eastAsia="pl-PL"/>
        </w:rPr>
        <w:t xml:space="preserve"> spółki będą do tej grupy należeć, tym niemniej warto zwrócić uwagę na wykres siły względnej </w:t>
      </w:r>
      <w:proofErr w:type="spellStart"/>
      <w:r w:rsidRPr="00E54CAC">
        <w:rPr>
          <w:rFonts w:eastAsia="Times New Roman" w:cs="Times New Roman"/>
          <w:color w:val="000000" w:themeColor="text1"/>
          <w:lang w:eastAsia="pl-PL"/>
        </w:rPr>
        <w:t>Tesgas</w:t>
      </w:r>
      <w:proofErr w:type="spellEnd"/>
      <w:r w:rsidRPr="00E54CAC">
        <w:rPr>
          <w:rFonts w:eastAsia="Times New Roman" w:cs="Times New Roman"/>
          <w:color w:val="000000" w:themeColor="text1"/>
          <w:lang w:eastAsia="pl-PL"/>
        </w:rPr>
        <w:t xml:space="preserve">/KGHM. Jak wynika z dotychczasowych rozważań kurs KGHM znajdować się może pod szczególnie silną presją spadkową i dlatego warto zastanowić się nad tym, które akcje spółek zachować się mogą lepiej od kursu </w:t>
      </w:r>
      <w:proofErr w:type="gramStart"/>
      <w:r w:rsidRPr="00E54CAC">
        <w:rPr>
          <w:rFonts w:eastAsia="Times New Roman" w:cs="Times New Roman"/>
          <w:color w:val="000000" w:themeColor="text1"/>
          <w:lang w:eastAsia="pl-PL"/>
        </w:rPr>
        <w:t xml:space="preserve">KGHM. </w:t>
      </w:r>
      <w:proofErr w:type="gramEnd"/>
      <w:r w:rsidRPr="00E54CAC">
        <w:rPr>
          <w:rFonts w:eastAsia="Times New Roman" w:cs="Times New Roman"/>
          <w:color w:val="000000" w:themeColor="text1"/>
          <w:lang w:eastAsia="pl-PL"/>
        </w:rPr>
        <w:t xml:space="preserve">Na wykresie siły względnej </w:t>
      </w:r>
      <w:proofErr w:type="spellStart"/>
      <w:r w:rsidRPr="00E54CAC">
        <w:rPr>
          <w:rFonts w:eastAsia="Times New Roman" w:cs="Times New Roman"/>
          <w:color w:val="000000" w:themeColor="text1"/>
          <w:lang w:eastAsia="pl-PL"/>
        </w:rPr>
        <w:t>Tesgas</w:t>
      </w:r>
      <w:proofErr w:type="spellEnd"/>
      <w:r w:rsidRPr="00E54CAC">
        <w:rPr>
          <w:rFonts w:eastAsia="Times New Roman" w:cs="Times New Roman"/>
          <w:color w:val="000000" w:themeColor="text1"/>
          <w:lang w:eastAsia="pl-PL"/>
        </w:rPr>
        <w:t xml:space="preserve">/KGHM doszło do wybicia z formacji nietypowego podwójnego dna, co zapowiada wzrost, czyli </w:t>
      </w:r>
      <w:r w:rsidRPr="00E54CAC">
        <w:rPr>
          <w:rFonts w:eastAsia="Times New Roman" w:cs="Times New Roman"/>
          <w:b/>
          <w:color w:val="000000" w:themeColor="text1"/>
          <w:lang w:eastAsia="pl-PL"/>
        </w:rPr>
        <w:t xml:space="preserve">stosunkowo mocne zachowanie kursu akcji spółki </w:t>
      </w:r>
      <w:proofErr w:type="spellStart"/>
      <w:r w:rsidRPr="00E54CAC">
        <w:rPr>
          <w:rFonts w:eastAsia="Times New Roman" w:cs="Times New Roman"/>
          <w:b/>
          <w:color w:val="FF0000"/>
          <w:lang w:eastAsia="pl-PL"/>
        </w:rPr>
        <w:t>Tesgas</w:t>
      </w:r>
      <w:proofErr w:type="spellEnd"/>
      <w:r w:rsidRPr="00E54CAC">
        <w:rPr>
          <w:rFonts w:eastAsia="Times New Roman" w:cs="Times New Roman"/>
          <w:b/>
          <w:color w:val="FF0000"/>
          <w:lang w:eastAsia="pl-PL"/>
        </w:rPr>
        <w:t xml:space="preserve">. </w:t>
      </w:r>
      <w:r w:rsidRPr="00E54CAC">
        <w:rPr>
          <w:rFonts w:eastAsia="Times New Roman" w:cs="Times New Roman"/>
          <w:color w:val="000000" w:themeColor="text1"/>
          <w:lang w:eastAsia="pl-PL"/>
        </w:rPr>
        <w:t xml:space="preserve">Warto zauważyć, że </w:t>
      </w:r>
      <w:proofErr w:type="spellStart"/>
      <w:r w:rsidRPr="00E54CAC">
        <w:rPr>
          <w:rFonts w:eastAsia="Times New Roman" w:cs="Times New Roman"/>
          <w:color w:val="000000" w:themeColor="text1"/>
          <w:lang w:eastAsia="pl-PL"/>
        </w:rPr>
        <w:t>Tesgas</w:t>
      </w:r>
      <w:proofErr w:type="spellEnd"/>
      <w:r w:rsidRPr="00E54CAC">
        <w:rPr>
          <w:rFonts w:eastAsia="Times New Roman" w:cs="Times New Roman"/>
          <w:color w:val="000000" w:themeColor="text1"/>
          <w:lang w:eastAsia="pl-PL"/>
        </w:rPr>
        <w:t xml:space="preserve"> został zaliczony do spółek </w:t>
      </w:r>
      <w:proofErr w:type="gramStart"/>
      <w:r w:rsidRPr="00E54CAC">
        <w:rPr>
          <w:rFonts w:eastAsia="Times New Roman" w:cs="Times New Roman"/>
          <w:b/>
          <w:color w:val="000000" w:themeColor="text1"/>
          <w:lang w:eastAsia="pl-PL"/>
        </w:rPr>
        <w:t>,,</w:t>
      </w:r>
      <w:proofErr w:type="gramEnd"/>
      <w:r w:rsidRPr="00E54CAC">
        <w:rPr>
          <w:rFonts w:eastAsia="Times New Roman" w:cs="Times New Roman"/>
          <w:b/>
          <w:color w:val="000000" w:themeColor="text1"/>
          <w:lang w:eastAsia="pl-PL"/>
        </w:rPr>
        <w:t>atrakcyjnych fundamentalnie”</w:t>
      </w:r>
      <w:r w:rsidRPr="00E54CAC">
        <w:rPr>
          <w:rFonts w:eastAsia="Times New Roman" w:cs="Times New Roman"/>
          <w:color w:val="000000" w:themeColor="text1"/>
          <w:lang w:eastAsia="pl-PL"/>
        </w:rPr>
        <w:t xml:space="preserve"> </w:t>
      </w:r>
      <w:hyperlink r:id="rId45" w:history="1">
        <w:r w:rsidRPr="00E54CAC">
          <w:rPr>
            <w:rStyle w:val="Hipercze"/>
            <w:rFonts w:eastAsia="Times New Roman" w:cs="Times New Roman"/>
            <w:lang w:eastAsia="pl-PL"/>
          </w:rPr>
          <w:t>http://analizy-rynkowe.pl/lista-6-spolek-atrakcyjnych-fundamentalnie/</w:t>
        </w:r>
      </w:hyperlink>
      <w:r w:rsidRPr="00E54CAC">
        <w:rPr>
          <w:rFonts w:eastAsia="Times New Roman" w:cs="Times New Roman"/>
          <w:color w:val="000000" w:themeColor="text1"/>
          <w:lang w:eastAsia="pl-PL"/>
        </w:rPr>
        <w:t>.</w:t>
      </w:r>
    </w:p>
    <w:p w:rsidR="00217363" w:rsidRPr="00E54CAC" w:rsidRDefault="00217363" w:rsidP="00217363">
      <w:pPr>
        <w:spacing w:after="0" w:line="240" w:lineRule="auto"/>
        <w:ind w:left="720"/>
        <w:contextualSpacing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11 kwietnia 2016 roku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46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217363" w:rsidRDefault="00217363" w:rsidP="0021736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7363" w:rsidRPr="00B12963" w:rsidRDefault="00217363" w:rsidP="00D4343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bookmarkStart w:id="0" w:name="_GoBack"/>
      <w:bookmarkEnd w:id="0"/>
    </w:p>
    <w:sectPr w:rsidR="00217363" w:rsidRPr="00B1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8"/>
    <w:rsid w:val="00026D2B"/>
    <w:rsid w:val="00031573"/>
    <w:rsid w:val="0008285D"/>
    <w:rsid w:val="00091377"/>
    <w:rsid w:val="001A55D3"/>
    <w:rsid w:val="00217363"/>
    <w:rsid w:val="00266592"/>
    <w:rsid w:val="002E2C44"/>
    <w:rsid w:val="002F03D8"/>
    <w:rsid w:val="00316A7F"/>
    <w:rsid w:val="00396625"/>
    <w:rsid w:val="00487E29"/>
    <w:rsid w:val="00545E94"/>
    <w:rsid w:val="005E561A"/>
    <w:rsid w:val="006F3800"/>
    <w:rsid w:val="00782385"/>
    <w:rsid w:val="007D670A"/>
    <w:rsid w:val="00876F81"/>
    <w:rsid w:val="008E51C7"/>
    <w:rsid w:val="009A6462"/>
    <w:rsid w:val="00A97641"/>
    <w:rsid w:val="00AD4874"/>
    <w:rsid w:val="00B12963"/>
    <w:rsid w:val="00B538D6"/>
    <w:rsid w:val="00BC22AC"/>
    <w:rsid w:val="00C02D52"/>
    <w:rsid w:val="00C82E4A"/>
    <w:rsid w:val="00D4343F"/>
    <w:rsid w:val="00D43BDC"/>
    <w:rsid w:val="00D82317"/>
    <w:rsid w:val="00E54CAC"/>
    <w:rsid w:val="00F72701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3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E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3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2E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alizy-rynkowe.pl/lista-6-spolek-atrakcyjnych-fundamentalnie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hyperlink" Target="http://www.analizy-rynkow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hyperlink" Target="http://www.analizy-rynkowe.pl" TargetMode="External"/><Relationship Id="rId47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46" Type="http://schemas.openxmlformats.org/officeDocument/2006/relationships/hyperlink" Target="http://www.analizy-rynkow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analizy-rynkowe.pl/" TargetMode="External"/><Relationship Id="rId45" Type="http://schemas.openxmlformats.org/officeDocument/2006/relationships/hyperlink" Target="http://analizy-rynkowe.pl/lista-6-spolek-atrakcyjnych-fundamental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4" Type="http://schemas.openxmlformats.org/officeDocument/2006/relationships/hyperlink" Target="http://analizy-rynkow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analizy-rynkowe.pl/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analizy-rynkowe.pl/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hyperlink" Target="http://www.analizy-rynkowe.p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5349-67A7-477A-955C-68583A49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25</Pages>
  <Words>4571</Words>
  <Characters>27426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5</cp:revision>
  <cp:lastPrinted>2016-04-09T08:55:00Z</cp:lastPrinted>
  <dcterms:created xsi:type="dcterms:W3CDTF">2016-04-09T08:31:00Z</dcterms:created>
  <dcterms:modified xsi:type="dcterms:W3CDTF">2016-04-09T13:45:00Z</dcterms:modified>
</cp:coreProperties>
</file>