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B6" w:rsidRPr="00B37EB6" w:rsidRDefault="00B37EB6" w:rsidP="00B37EB6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37EB6"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B37EB6" w:rsidRPr="00B37EB6" w:rsidRDefault="00B37EB6" w:rsidP="00B37EB6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7EB6"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B37EB6" w:rsidRPr="00B37EB6" w:rsidRDefault="00B37EB6" w:rsidP="00B37EB6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7EB6"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sytuacji na</w:t>
      </w:r>
    </w:p>
    <w:p w:rsidR="00B37EB6" w:rsidRPr="00B37EB6" w:rsidRDefault="00B37EB6" w:rsidP="00B37EB6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7EB6"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 finansowych</w:t>
      </w:r>
    </w:p>
    <w:p w:rsidR="00B37EB6" w:rsidRPr="00B37EB6" w:rsidRDefault="00B37EB6" w:rsidP="00B37EB6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B37EB6" w:rsidRPr="00B37EB6" w:rsidRDefault="00B37EB6" w:rsidP="00B37EB6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B37EB6" w:rsidRPr="00B37EB6" w:rsidRDefault="00B37EB6" w:rsidP="00B37EB6">
      <w:pPr>
        <w:spacing w:after="0" w:line="240" w:lineRule="auto"/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7EB6"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B37EB6" w:rsidRPr="00B37EB6" w:rsidRDefault="00B37EB6" w:rsidP="00B37EB6">
      <w:pPr>
        <w:spacing w:after="0" w:line="240" w:lineRule="auto"/>
        <w:jc w:val="center"/>
        <w:rPr>
          <w:rFonts w:eastAsiaTheme="minorEastAsia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7EB6" w:rsidRPr="00B37EB6" w:rsidRDefault="00B37EB6" w:rsidP="00B37EB6">
      <w:pPr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7EB6"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B37EB6" w:rsidRPr="00B37EB6" w:rsidRDefault="00B37EB6" w:rsidP="00B37EB6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7EB6" w:rsidRPr="00B37EB6" w:rsidRDefault="00B37EB6" w:rsidP="00B37EB6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7EB6" w:rsidRPr="00B37EB6" w:rsidRDefault="00B37EB6" w:rsidP="00B37EB6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7EB6"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4 kwietnia 2016 roku</w:t>
      </w:r>
    </w:p>
    <w:p w:rsidR="00B37EB6" w:rsidRPr="00B37EB6" w:rsidRDefault="00B37EB6" w:rsidP="00B37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 w:rsidRPr="00B37EB6">
        <w:rPr>
          <w:rFonts w:eastAsiaTheme="minorEastAsia"/>
          <w:lang w:eastAsia="pl-PL"/>
        </w:rPr>
        <w:t>Kurs USD/PLN – perspektywa długoterminowa, kurs z 1 kwietnia 2016 roku = 3,7355</w:t>
      </w:r>
    </w:p>
    <w:p w:rsidR="00B37EB6" w:rsidRPr="00B37EB6" w:rsidRDefault="00B37EB6" w:rsidP="00B37EB6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B37EB6" w:rsidRPr="00B37EB6" w:rsidRDefault="00B37EB6" w:rsidP="00B37EB6">
      <w:pPr>
        <w:spacing w:after="0" w:line="240" w:lineRule="auto"/>
        <w:jc w:val="both"/>
        <w:rPr>
          <w:rFonts w:eastAsiaTheme="minorEastAsia"/>
          <w:lang w:eastAsia="pl-PL"/>
        </w:rPr>
      </w:pPr>
      <w:r w:rsidRPr="00B37EB6">
        <w:rPr>
          <w:rFonts w:eastAsiaTheme="minorEastAsia"/>
          <w:noProof/>
          <w:lang w:eastAsia="pl-PL"/>
        </w:rPr>
        <w:drawing>
          <wp:inline distT="0" distB="0" distL="0" distR="0" wp14:anchorId="32AA4FAB" wp14:editId="4ABF197A">
            <wp:extent cx="4829175" cy="28956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B6" w:rsidRPr="00B37EB6" w:rsidRDefault="00B37EB6" w:rsidP="00B37EB6">
      <w:pPr>
        <w:spacing w:after="0" w:line="240" w:lineRule="auto"/>
        <w:jc w:val="both"/>
        <w:rPr>
          <w:rFonts w:eastAsiaTheme="minorEastAsia"/>
          <w:b/>
          <w:color w:val="FF0000"/>
          <w:lang w:eastAsia="pl-PL"/>
        </w:rPr>
      </w:pPr>
      <w:r w:rsidRPr="00B37EB6">
        <w:rPr>
          <w:rFonts w:eastAsiaTheme="minorEastAsia"/>
          <w:lang w:eastAsia="pl-PL"/>
        </w:rPr>
        <w:t xml:space="preserve">Kurs 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 w:rsidRPr="00B37EB6">
        <w:rPr>
          <w:rFonts w:eastAsiaTheme="minorEastAsia"/>
          <w:b/>
          <w:color w:val="FF0000"/>
          <w:lang w:eastAsia="pl-PL"/>
        </w:rPr>
        <w:t xml:space="preserve">do 4,4252 zł. </w:t>
      </w:r>
    </w:p>
    <w:p w:rsidR="00B37EB6" w:rsidRPr="00B37EB6" w:rsidRDefault="00B37EB6" w:rsidP="00B37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 w:rsidRPr="00B37EB6">
        <w:rPr>
          <w:rFonts w:eastAsiaTheme="minorEastAsia"/>
          <w:lang w:eastAsia="pl-PL"/>
        </w:rPr>
        <w:t>Kurs EUR/PLN – perspektywa średniookresowa, kurs z 1 kwietnia 2016 roku = 4,2550</w:t>
      </w:r>
    </w:p>
    <w:p w:rsidR="00B37EB6" w:rsidRPr="00B37EB6" w:rsidRDefault="00B37EB6" w:rsidP="00B37EB6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B37EB6" w:rsidRPr="00B37EB6" w:rsidRDefault="00B37EB6" w:rsidP="00B37EB6">
      <w:pPr>
        <w:spacing w:after="0" w:line="240" w:lineRule="auto"/>
        <w:jc w:val="both"/>
        <w:rPr>
          <w:rFonts w:eastAsiaTheme="minorEastAsia"/>
          <w:lang w:eastAsia="pl-PL"/>
        </w:rPr>
      </w:pPr>
      <w:r w:rsidRPr="00B37EB6">
        <w:rPr>
          <w:rFonts w:eastAsiaTheme="minorEastAsia"/>
          <w:noProof/>
          <w:lang w:eastAsia="pl-PL"/>
        </w:rPr>
        <w:drawing>
          <wp:inline distT="0" distB="0" distL="0" distR="0" wp14:anchorId="72B54912" wp14:editId="2FC1241D">
            <wp:extent cx="4819650" cy="2895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98" w:rsidRDefault="00B37EB6" w:rsidP="00B37EB6">
      <w:pPr>
        <w:spacing w:after="0" w:line="240" w:lineRule="auto"/>
        <w:jc w:val="both"/>
        <w:rPr>
          <w:rFonts w:eastAsiaTheme="minorEastAsia"/>
          <w:color w:val="000000" w:themeColor="text1"/>
          <w:lang w:eastAsia="pl-PL"/>
        </w:rPr>
      </w:pPr>
      <w:r w:rsidRPr="00B37EB6">
        <w:rPr>
          <w:rFonts w:eastAsiaTheme="minorEastAsia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</w:t>
      </w:r>
      <w:r w:rsidRPr="00B37EB6">
        <w:rPr>
          <w:rFonts w:eastAsiaTheme="minorEastAsia"/>
          <w:color w:val="000000" w:themeColor="text1"/>
          <w:lang w:eastAsia="pl-PL"/>
        </w:rPr>
        <w:t xml:space="preserve">4,3607 zł. Dojście do oporu (szczyt z 26 grudnia 2014 roku) może osłabiło kursu euro (w złotych). W piątek 15 stycznia popyt zaatakował. Przebite zostało roczne maksimum. Można oczekiwać wzrostu w kierunku </w:t>
      </w:r>
      <w:r w:rsidRPr="00B37EB6">
        <w:rPr>
          <w:rFonts w:eastAsiaTheme="minorEastAsia"/>
          <w:b/>
          <w:color w:val="FF0000"/>
          <w:lang w:eastAsia="pl-PL"/>
        </w:rPr>
        <w:t>4,5644</w:t>
      </w:r>
      <w:r w:rsidRPr="00B37EB6">
        <w:rPr>
          <w:rFonts w:eastAsiaTheme="minorEastAsia"/>
          <w:color w:val="FF0000"/>
          <w:lang w:eastAsia="pl-PL"/>
        </w:rPr>
        <w:t xml:space="preserve"> </w:t>
      </w:r>
      <w:r w:rsidRPr="00B37EB6">
        <w:rPr>
          <w:rFonts w:eastAsiaTheme="minorEastAsia"/>
          <w:color w:val="000000" w:themeColor="text1"/>
          <w:lang w:eastAsia="pl-PL"/>
        </w:rPr>
        <w:t xml:space="preserve">(szczyt z 13 grudnia 2011 roku). </w:t>
      </w:r>
    </w:p>
    <w:p w:rsidR="001A1BB9" w:rsidRPr="00B37EB6" w:rsidRDefault="001A1BB9" w:rsidP="001A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b/>
          <w:sz w:val="26"/>
          <w:szCs w:val="26"/>
        </w:rPr>
      </w:pPr>
      <w:r w:rsidRPr="00B37EB6">
        <w:rPr>
          <w:b/>
          <w:sz w:val="26"/>
          <w:szCs w:val="26"/>
        </w:rPr>
        <w:lastRenderedPageBreak/>
        <w:t>Problemy strefy euro mogą znów zostać dostrzeżona na rynkach akcji krajów tej strefy. Ropa naftowa prawdopodobnie wraca do trendu spadkowego</w:t>
      </w:r>
    </w:p>
    <w:p w:rsidR="001A1BB9" w:rsidRPr="00B37EB6" w:rsidRDefault="001A1BB9" w:rsidP="001A1BB9">
      <w:pPr>
        <w:spacing w:after="0" w:line="240" w:lineRule="auto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  <w:r w:rsidRPr="00B37EB6">
        <w:rPr>
          <w:sz w:val="26"/>
          <w:szCs w:val="26"/>
        </w:rPr>
        <w:t xml:space="preserve">10 marca 2016 roiku miało miejsce pewne wydarzenie. Oto </w:t>
      </w:r>
      <w:r w:rsidRPr="00B37EB6">
        <w:rPr>
          <w:b/>
          <w:sz w:val="26"/>
          <w:szCs w:val="26"/>
        </w:rPr>
        <w:t>Europejski Bank Centralny obniżył stopy procentowe do 0 z 0,05 punktu procentowego</w:t>
      </w:r>
      <w:r w:rsidRPr="00B37EB6">
        <w:rPr>
          <w:sz w:val="26"/>
          <w:szCs w:val="26"/>
        </w:rPr>
        <w:t xml:space="preserve">. Od tego dnia indeks EURO STOXX 50 grupujący 50 największych spółek tej strefy spadł o 0,6 %. 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  <w:r w:rsidRPr="00B37EB6">
        <w:rPr>
          <w:sz w:val="26"/>
          <w:szCs w:val="26"/>
        </w:rPr>
        <w:t>Co więcej EBC zapowiedział, że będzie kupował nie tylko obligacje skarbowe, lecz także obligacje korporacyjne, czyli obligacje emitowane przez podmioty gospodarcze.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b/>
          <w:sz w:val="26"/>
          <w:szCs w:val="26"/>
        </w:rPr>
      </w:pPr>
      <w:r w:rsidRPr="00B37EB6">
        <w:rPr>
          <w:sz w:val="26"/>
          <w:szCs w:val="26"/>
        </w:rPr>
        <w:t xml:space="preserve">Skąd wziął się więc ów spadek indeksu rynku akcji strefy euro ? Być może wynikało to z tego, że uczestnicy rynku akcji uznali, że </w:t>
      </w:r>
      <w:r w:rsidRPr="00B37EB6">
        <w:rPr>
          <w:b/>
          <w:sz w:val="26"/>
          <w:szCs w:val="26"/>
        </w:rPr>
        <w:t xml:space="preserve">przyjęcie tak ekspansywnej polityki pieniężnej oznacza, że strefa euro jest w trudniejszej sytuacji, niż można się było tego spodziewać. 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  <w:r w:rsidRPr="00B37EB6">
        <w:rPr>
          <w:sz w:val="26"/>
          <w:szCs w:val="26"/>
        </w:rPr>
        <w:t xml:space="preserve">Nawiasem mówiąc warto zwrócić uwagę na wykres indeksu EURO STOXX 50 od początku utworzenia strefy euro. 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B37EB6">
        <w:rPr>
          <w:b/>
          <w:sz w:val="26"/>
          <w:szCs w:val="26"/>
          <w:u w:val="single"/>
        </w:rPr>
        <w:t>EURO STOXX 50 w latach 1999-2016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  <w:r w:rsidRPr="00B37EB6">
        <w:rPr>
          <w:noProof/>
          <w:sz w:val="26"/>
          <w:szCs w:val="26"/>
          <w:lang w:eastAsia="pl-PL"/>
        </w:rPr>
        <w:drawing>
          <wp:inline distT="0" distB="0" distL="0" distR="0" wp14:anchorId="683CBF0B" wp14:editId="7D79FD5B">
            <wp:extent cx="5429250" cy="32575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  <w:r w:rsidRPr="00B37EB6">
        <w:rPr>
          <w:sz w:val="26"/>
          <w:szCs w:val="26"/>
        </w:rPr>
        <w:t xml:space="preserve">Okazuje się, że w okresie funkcjonowania strefy euro indeks EURO STOXX 50 spadł o 11,6 %. 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  <w:r w:rsidRPr="00B37EB6">
        <w:rPr>
          <w:sz w:val="26"/>
          <w:szCs w:val="26"/>
        </w:rPr>
        <w:t xml:space="preserve">Oczywiście trudno jest jednoznacznie stwierdzić, że z czego tak </w:t>
      </w:r>
      <w:r w:rsidRPr="00B37EB6">
        <w:rPr>
          <w:b/>
          <w:sz w:val="26"/>
          <w:szCs w:val="26"/>
          <w:u w:val="single"/>
        </w:rPr>
        <w:t>generalnie słabe zachowanie tego indeksu wynikało, ale być może było ono wynikiem rozczarowania inwestorów giełdowych sposobem funkcjonowania strefy euro</w:t>
      </w:r>
      <w:r w:rsidRPr="00B37EB6">
        <w:rPr>
          <w:sz w:val="26"/>
          <w:szCs w:val="26"/>
        </w:rPr>
        <w:t xml:space="preserve"> ? 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  <w:r w:rsidRPr="00B37EB6">
        <w:rPr>
          <w:sz w:val="26"/>
          <w:szCs w:val="26"/>
        </w:rPr>
        <w:t xml:space="preserve">Być może liczono na to, że po utworzeniu strefy euro czeka nas okres bardzo szybkiego wzrostu gospodarczego, a tym czasem okazało się, że na tle państw dojrzałych posiadających własną walutę narodową wyniki gospodarczego strefy euro było stosunkowo słabe. Teraz spójrzmy na indeks strefy euro w krótszej perspektywie czasowej. 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B37EB6">
        <w:rPr>
          <w:b/>
          <w:sz w:val="26"/>
          <w:szCs w:val="26"/>
          <w:u w:val="single"/>
        </w:rPr>
        <w:t>EURO STOXX 50</w:t>
      </w:r>
    </w:p>
    <w:p w:rsidR="001A1BB9" w:rsidRPr="00B37EB6" w:rsidRDefault="001A1BB9" w:rsidP="001A1BB9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1A1BB9" w:rsidRPr="00B37EB6" w:rsidRDefault="004D3D1E" w:rsidP="001A1BB9">
      <w:p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678AAFF0">
            <wp:extent cx="5429250" cy="3257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  <w:r w:rsidRPr="00B37EB6">
        <w:rPr>
          <w:sz w:val="26"/>
          <w:szCs w:val="26"/>
        </w:rPr>
        <w:t xml:space="preserve">Na wykresie indeksu EURO STOXX 50 </w:t>
      </w:r>
      <w:r w:rsidRPr="00B37EB6">
        <w:rPr>
          <w:b/>
          <w:sz w:val="26"/>
          <w:szCs w:val="26"/>
        </w:rPr>
        <w:t>doszło do wybicia z nietypowej formacji podwójnego szczytu.</w:t>
      </w:r>
      <w:r w:rsidRPr="00B37EB6">
        <w:rPr>
          <w:sz w:val="26"/>
          <w:szCs w:val="26"/>
        </w:rPr>
        <w:t xml:space="preserve"> Gdyby formacja ta miała się wypełnić powinno dojść do spadku tego indeksu o 11,8 %. 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  <w:r w:rsidRPr="00B37EB6">
        <w:rPr>
          <w:sz w:val="26"/>
          <w:szCs w:val="26"/>
        </w:rPr>
        <w:t xml:space="preserve">Warto zauważyć, że wybiciu z formacji rozpoczęły się w połowie lutego tego roku wzrosty, które można nazwać chyba tylko korektą spadkową, po zakończeniu której rozpoczęła się prawdopodobnie już kolejna fala zniżek. 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  <w:r w:rsidRPr="00B37EB6">
        <w:rPr>
          <w:sz w:val="26"/>
          <w:szCs w:val="26"/>
        </w:rPr>
        <w:t xml:space="preserve">Oczywiście pewności nie ma, ale prawdopodobieństwo takie scenariusza jest chyba wysokie. 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  <w:r w:rsidRPr="00B37EB6">
        <w:rPr>
          <w:sz w:val="26"/>
          <w:szCs w:val="26"/>
        </w:rPr>
        <w:t xml:space="preserve">A co rynkami wschodzącymi, do których zaliczany jest także nasz polski rynek akcji ? Wydaje się, że także w naszym przypadku zachowanie kluczowego indeksu dużych spółek (WIG20) może być też spadkowe. 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  <w:r w:rsidRPr="00B37EB6">
        <w:rPr>
          <w:sz w:val="26"/>
          <w:szCs w:val="26"/>
        </w:rPr>
        <w:t xml:space="preserve">Warto bowiem zauważyć, że </w:t>
      </w:r>
      <w:r w:rsidRPr="00B37EB6">
        <w:rPr>
          <w:b/>
          <w:sz w:val="26"/>
          <w:szCs w:val="26"/>
        </w:rPr>
        <w:t>ceny surowców, takich jak ropa naftowa czy też miedź również wracają do długoterminowego trendu spadkowego</w:t>
      </w:r>
      <w:r w:rsidRPr="00B37EB6">
        <w:rPr>
          <w:sz w:val="26"/>
          <w:szCs w:val="26"/>
        </w:rPr>
        <w:t xml:space="preserve">. Już w poprzednim tygodniu można było zaobserwować spadki cen nie tylko ropy naftowej i miedzi, licz także na przykład palladu, czy te złota. 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B37EB6">
        <w:rPr>
          <w:b/>
          <w:sz w:val="26"/>
          <w:szCs w:val="26"/>
          <w:u w:val="single"/>
        </w:rPr>
        <w:t xml:space="preserve">ROPA NAFTOWA 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  <w:r w:rsidRPr="00B37EB6">
        <w:rPr>
          <w:noProof/>
          <w:sz w:val="26"/>
          <w:szCs w:val="26"/>
          <w:lang w:eastAsia="pl-PL"/>
        </w:rPr>
        <w:drawing>
          <wp:inline distT="0" distB="0" distL="0" distR="0" wp14:anchorId="10AEC190" wp14:editId="1B446A09">
            <wp:extent cx="5448300" cy="32670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  <w:r w:rsidRPr="00B37EB6">
        <w:rPr>
          <w:sz w:val="26"/>
          <w:szCs w:val="26"/>
        </w:rPr>
        <w:t xml:space="preserve">Przykładowe można zauważyć, że na wykresie cen ropy naftowej stworzonym w oparciu o dane tygodniowe można dostrzec dojście do linii trendu spadkowego. Oscylator stochastyczny wygenerował sygnał sprzedaży, co przedstawiono na wykresie. 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  <w:r w:rsidRPr="00B37EB6">
        <w:rPr>
          <w:sz w:val="26"/>
          <w:szCs w:val="26"/>
        </w:rPr>
        <w:t>To stwarza ryzyko spadków indeksu WIG20. Z uwagi na realną perspektywę spadków cen surowców silnie narażony na spadki może być na przykład kurs akcji spółki KGHM, w przypadku którego nastąpiło dojście do spadkowej linii trendu.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B37EB6">
        <w:rPr>
          <w:b/>
          <w:sz w:val="26"/>
          <w:szCs w:val="26"/>
          <w:u w:val="single"/>
        </w:rPr>
        <w:t>KGHM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  <w:r w:rsidRPr="00B37EB6">
        <w:rPr>
          <w:noProof/>
          <w:sz w:val="26"/>
          <w:szCs w:val="26"/>
          <w:lang w:eastAsia="pl-PL"/>
        </w:rPr>
        <w:drawing>
          <wp:inline distT="0" distB="0" distL="0" distR="0" wp14:anchorId="2AA4A201" wp14:editId="08E7C5D3">
            <wp:extent cx="3638550" cy="21717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BB9" w:rsidRPr="00B37EB6" w:rsidRDefault="001A1BB9" w:rsidP="001A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b/>
          <w:sz w:val="26"/>
          <w:szCs w:val="26"/>
        </w:rPr>
      </w:pPr>
      <w:r w:rsidRPr="00B37EB6">
        <w:rPr>
          <w:b/>
          <w:sz w:val="26"/>
          <w:szCs w:val="26"/>
        </w:rPr>
        <w:t>Polski indeks materiałów budowlanych bohaterem tygodnia ! – tkwi w nim dusiła</w:t>
      </w:r>
    </w:p>
    <w:p w:rsidR="001A1BB9" w:rsidRPr="00B37EB6" w:rsidRDefault="001A1BB9" w:rsidP="001A1BB9">
      <w:pPr>
        <w:spacing w:after="0" w:line="240" w:lineRule="auto"/>
        <w:jc w:val="center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  <w:r w:rsidRPr="00B37EB6">
        <w:rPr>
          <w:sz w:val="26"/>
          <w:szCs w:val="26"/>
        </w:rPr>
        <w:t xml:space="preserve">Spośród indeksów obliczanych przez portal </w:t>
      </w:r>
      <w:hyperlink r:id="rId12" w:history="1">
        <w:r w:rsidRPr="00B37EB6">
          <w:rPr>
            <w:color w:val="0000FF" w:themeColor="hyperlink"/>
            <w:sz w:val="26"/>
            <w:szCs w:val="26"/>
            <w:u w:val="single"/>
          </w:rPr>
          <w:t>http://stooq.pl/</w:t>
        </w:r>
      </w:hyperlink>
      <w:r w:rsidRPr="00B37EB6">
        <w:rPr>
          <w:sz w:val="26"/>
          <w:szCs w:val="26"/>
        </w:rPr>
        <w:t xml:space="preserve"> największy wzrost w minionym tygodniu zanotował indeks branży materiałów budowlach. Zyskał on na wartości 6,8 %. 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  <w:r w:rsidRPr="00B37EB6">
        <w:rPr>
          <w:sz w:val="26"/>
          <w:szCs w:val="26"/>
        </w:rPr>
        <w:t xml:space="preserve">Na wykresie długoterminowym doszło w przypadku </w:t>
      </w:r>
      <w:r w:rsidRPr="00B37EB6">
        <w:rPr>
          <w:b/>
          <w:sz w:val="26"/>
          <w:szCs w:val="26"/>
        </w:rPr>
        <w:t>indeksu branży materiałów budowalnych do wybicia z formacji nietypowego podwójnego dna</w:t>
      </w:r>
      <w:r w:rsidRPr="00B37EB6">
        <w:rPr>
          <w:sz w:val="26"/>
          <w:szCs w:val="26"/>
        </w:rPr>
        <w:t xml:space="preserve">. Gdyby formacja ta miała się wypełnić powinno dojść do wzrostu tego indeksu o jeszcze </w:t>
      </w:r>
      <w:r w:rsidRPr="00B37EB6">
        <w:rPr>
          <w:b/>
          <w:color w:val="FF0000"/>
          <w:sz w:val="26"/>
          <w:szCs w:val="26"/>
        </w:rPr>
        <w:t>o 22,6 %.</w:t>
      </w:r>
      <w:r w:rsidRPr="00B37EB6">
        <w:rPr>
          <w:color w:val="FF0000"/>
          <w:sz w:val="26"/>
          <w:szCs w:val="26"/>
        </w:rPr>
        <w:t xml:space="preserve"> 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B37EB6">
        <w:rPr>
          <w:b/>
          <w:sz w:val="26"/>
          <w:szCs w:val="26"/>
          <w:u w:val="single"/>
        </w:rPr>
        <w:t xml:space="preserve">INDEKS MATERIAŁÓW BUDOWLANYCH </w:t>
      </w:r>
    </w:p>
    <w:p w:rsidR="001A1BB9" w:rsidRPr="00B37EB6" w:rsidRDefault="001A1BB9" w:rsidP="001A1BB9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1A1BB9" w:rsidRPr="00B37EB6" w:rsidRDefault="001A1BB9" w:rsidP="001A1BB9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B37EB6"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3E9CF1BD" wp14:editId="25F2C172">
            <wp:extent cx="5429250" cy="32575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  <w:r w:rsidRPr="00B37EB6">
        <w:rPr>
          <w:sz w:val="26"/>
          <w:szCs w:val="26"/>
        </w:rPr>
        <w:t xml:space="preserve">Co ważne na wykresie tego indeksu doszło do przebicia spadkowej linii trendu. To ważne zważywszy na to, że wybicia z formacji podwójnego dna jest bardziej wiarygodne wówczas, gdy do owego przebicia spadkowej linii trendu dochodzi, niż wówczas, gdy do niego nie dochodzi. 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  <w:r w:rsidRPr="00B37EB6">
        <w:rPr>
          <w:sz w:val="26"/>
          <w:szCs w:val="26"/>
        </w:rPr>
        <w:t xml:space="preserve">Warto przy okazji zauważyć, że dotychczas w rubryce </w:t>
      </w:r>
      <w:r w:rsidRPr="00B37EB6">
        <w:rPr>
          <w:b/>
          <w:color w:val="FFFFFF" w:themeColor="background1"/>
          <w:sz w:val="26"/>
          <w:szCs w:val="26"/>
          <w:shd w:val="clear" w:color="auto" w:fill="000000" w:themeFill="text1"/>
        </w:rPr>
        <w:t>,,Wykres do przemyślenia”</w:t>
      </w:r>
      <w:r w:rsidRPr="00B37EB6">
        <w:rPr>
          <w:color w:val="FFFFFF" w:themeColor="background1"/>
          <w:sz w:val="26"/>
          <w:szCs w:val="26"/>
        </w:rPr>
        <w:t xml:space="preserve"> </w:t>
      </w:r>
      <w:r w:rsidRPr="00B37EB6">
        <w:rPr>
          <w:sz w:val="26"/>
          <w:szCs w:val="26"/>
        </w:rPr>
        <w:t xml:space="preserve">umieszczone zostały 3 spółki reprezentujące sektor producentów materiałów budowlanych. 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jc w:val="center"/>
        <w:rPr>
          <w:b/>
          <w:color w:val="FFFFFF" w:themeColor="background1"/>
          <w:sz w:val="40"/>
          <w:szCs w:val="40"/>
        </w:rPr>
      </w:pPr>
      <w:r w:rsidRPr="00B37EB6">
        <w:rPr>
          <w:b/>
          <w:color w:val="FFFFFF" w:themeColor="background1"/>
          <w:sz w:val="40"/>
          <w:szCs w:val="40"/>
        </w:rPr>
        <w:t>Ceramika Nowa Gala</w:t>
      </w:r>
    </w:p>
    <w:p w:rsidR="001A1BB9" w:rsidRPr="00B37EB6" w:rsidRDefault="001A1BB9" w:rsidP="001A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jc w:val="center"/>
        <w:rPr>
          <w:b/>
          <w:color w:val="FFFFFF" w:themeColor="background1"/>
          <w:sz w:val="40"/>
          <w:szCs w:val="40"/>
        </w:rPr>
      </w:pPr>
      <w:r w:rsidRPr="00B37EB6">
        <w:rPr>
          <w:b/>
          <w:color w:val="FFFFFF" w:themeColor="background1"/>
          <w:sz w:val="40"/>
          <w:szCs w:val="40"/>
        </w:rPr>
        <w:t>Mercor</w:t>
      </w:r>
    </w:p>
    <w:p w:rsidR="001A1BB9" w:rsidRPr="00B37EB6" w:rsidRDefault="001A1BB9" w:rsidP="001A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jc w:val="center"/>
        <w:rPr>
          <w:b/>
          <w:color w:val="FFFFFF" w:themeColor="background1"/>
          <w:sz w:val="40"/>
          <w:szCs w:val="40"/>
        </w:rPr>
      </w:pPr>
      <w:r w:rsidRPr="00B37EB6">
        <w:rPr>
          <w:b/>
          <w:color w:val="FFFFFF" w:themeColor="background1"/>
          <w:sz w:val="40"/>
          <w:szCs w:val="40"/>
        </w:rPr>
        <w:t>Ropczyce</w:t>
      </w:r>
    </w:p>
    <w:p w:rsidR="001A1BB9" w:rsidRPr="00B37EB6" w:rsidRDefault="001A1BB9" w:rsidP="001A1BB9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37EB6">
        <w:rPr>
          <w:color w:val="000000" w:themeColor="text1"/>
          <w:sz w:val="28"/>
          <w:szCs w:val="28"/>
        </w:rPr>
        <w:t xml:space="preserve">Średnia procentowa zmiana kursu akcji spółki po wprowadzeniu jej do rubryki ,,Wykres do przemyślenia” w okresie 12 pierwszych miesięcy po jej wprowadzeniu do tej rubryki oraz średnia procentowa zmiana 4 kluczowych indeksów polskiego rynku akcji w tym okresie </w:t>
      </w:r>
    </w:p>
    <w:p w:rsidR="001A1BB9" w:rsidRPr="00B37EB6" w:rsidRDefault="001A1BB9" w:rsidP="001A1BB9">
      <w:pPr>
        <w:spacing w:after="0" w:line="240" w:lineRule="auto"/>
        <w:jc w:val="both"/>
        <w:rPr>
          <w:color w:val="000000" w:themeColor="text1"/>
          <w:sz w:val="28"/>
          <w:szCs w:val="28"/>
          <w:u w:val="single"/>
        </w:rPr>
      </w:pPr>
    </w:p>
    <w:p w:rsidR="001A1BB9" w:rsidRPr="00B37EB6" w:rsidRDefault="001A1BB9" w:rsidP="001A1BB9">
      <w:pPr>
        <w:spacing w:after="0" w:line="240" w:lineRule="auto"/>
        <w:jc w:val="both"/>
        <w:rPr>
          <w:color w:val="000000" w:themeColor="text1"/>
          <w:sz w:val="28"/>
          <w:szCs w:val="28"/>
          <w:u w:val="single"/>
        </w:rPr>
      </w:pPr>
      <w:r w:rsidRPr="00B37EB6">
        <w:rPr>
          <w:noProof/>
          <w:lang w:eastAsia="pl-PL"/>
        </w:rPr>
        <w:drawing>
          <wp:inline distT="0" distB="0" distL="0" distR="0" wp14:anchorId="6CF3E776" wp14:editId="64038AC8">
            <wp:extent cx="5572125" cy="7648575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1BB9" w:rsidRPr="00B37EB6" w:rsidRDefault="001A1BB9" w:rsidP="001A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</w:pPr>
      <w:r w:rsidRPr="00B37EB6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t>Generalny wniosek:</w:t>
      </w:r>
    </w:p>
    <w:p w:rsidR="001A1BB9" w:rsidRPr="00B37EB6" w:rsidRDefault="001A1BB9" w:rsidP="001A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 w:rsidRPr="00B37EB6">
        <w:rPr>
          <w:rFonts w:eastAsia="Times New Roman" w:cs="Times New Roman"/>
          <w:b/>
          <w:color w:val="FFFFFF" w:themeColor="background1"/>
          <w:sz w:val="94"/>
          <w:szCs w:val="94"/>
          <w:lang w:eastAsia="pl-PL"/>
        </w:rPr>
        <w:t>kursy akcji spółki po wprowadzeniu jej do rubryki ,,Wykres do przemyślenia” zasadniczo rzecz biorąc wykazują relatywną przewagę nad indeksami:  WIG20, WIG, WIG40 oraz sWIG80</w:t>
      </w: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100"/>
          <w:szCs w:val="100"/>
          <w:lang w:eastAsia="pl-PL"/>
        </w:rPr>
      </w:pPr>
      <w:r w:rsidRPr="00B37EB6">
        <w:rPr>
          <w:rFonts w:eastAsia="Times New Roman" w:cs="Times New Roman"/>
          <w:b/>
          <w:sz w:val="100"/>
          <w:szCs w:val="100"/>
          <w:lang w:eastAsia="pl-PL"/>
        </w:rPr>
        <w:t>Ile wynosiła średnia procentowa zmiana kursu akcji spółki po wprowadzeniu jej do rubryki ,,Wykres do przemyślenia” w okresie 12 pierwszych miesięcy po jej wprowadzeniu do tej rubryki ?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 w:rsidRPr="00B37EB6">
        <w:rPr>
          <w:rFonts w:eastAsia="Times New Roman" w:cs="Times New Roman"/>
          <w:b/>
          <w:sz w:val="32"/>
          <w:szCs w:val="32"/>
          <w:u w:val="single"/>
          <w:lang w:eastAsia="pl-PL"/>
        </w:rPr>
        <w:t>Obliczenia według stanu na 1 kwietnia 2016 roku</w:t>
      </w:r>
    </w:p>
    <w:p w:rsidR="001A1BB9" w:rsidRPr="00B37EB6" w:rsidRDefault="001A1BB9" w:rsidP="001A1BB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 w:rsidRPr="00B37EB6">
        <w:rPr>
          <w:rFonts w:eastAsia="Times New Roman" w:cs="Times New Roman"/>
          <w:b/>
          <w:sz w:val="26"/>
          <w:szCs w:val="26"/>
          <w:lang w:eastAsia="pl-PL"/>
        </w:rPr>
        <w:t xml:space="preserve">Wprowadzenie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Strona internetowa </w:t>
      </w:r>
      <w:hyperlink r:id="rId15" w:history="1">
        <w:r w:rsidRPr="00B37EB6">
          <w:rPr>
            <w:rFonts w:eastAsia="Times New Roman" w:cs="Times New Roman"/>
            <w:color w:val="0000FF" w:themeColor="hyperlink"/>
            <w:sz w:val="26"/>
            <w:szCs w:val="26"/>
            <w:u w:val="single"/>
            <w:lang w:eastAsia="pl-PL"/>
          </w:rPr>
          <w:t>http://analizy-rynkowe.pl/</w:t>
        </w:r>
      </w:hyperlink>
      <w:r w:rsidRPr="00B37EB6">
        <w:rPr>
          <w:rFonts w:eastAsia="Times New Roman" w:cs="Times New Roman"/>
          <w:sz w:val="26"/>
          <w:szCs w:val="26"/>
          <w:lang w:eastAsia="pl-PL"/>
        </w:rPr>
        <w:t xml:space="preserve"> prowadzona jest od września 2014 roku.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>Co tydzień publikowany jest ,,Raport Tygodniowy”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Od czasu do czasu umieszczam wybrane spółki w rubryce </w:t>
      </w:r>
      <w:r w:rsidRPr="00B37EB6">
        <w:rPr>
          <w:rFonts w:eastAsia="Times New Roman" w:cs="Times New Roman"/>
          <w:b/>
          <w:color w:val="FF0000"/>
          <w:sz w:val="26"/>
          <w:szCs w:val="26"/>
          <w:lang w:eastAsia="pl-PL"/>
        </w:rPr>
        <w:t xml:space="preserve">,,Wykres do przemyślenia”.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Umieszczane są tam te przykładowe spółki, których kurs </w:t>
      </w:r>
      <w:r w:rsidRPr="00B37EB6">
        <w:rPr>
          <w:rFonts w:eastAsia="Times New Roman" w:cs="Times New Roman"/>
          <w:b/>
          <w:color w:val="FF0000"/>
          <w:sz w:val="26"/>
          <w:szCs w:val="26"/>
          <w:lang w:eastAsia="pl-PL"/>
        </w:rPr>
        <w:t xml:space="preserve">wybił się z formacji podwójnego dna.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Formacja podwójnego dna ma </w:t>
      </w:r>
      <w:r w:rsidRPr="00B37EB6">
        <w:rPr>
          <w:rFonts w:eastAsia="Times New Roman" w:cs="Times New Roman"/>
          <w:b/>
          <w:sz w:val="26"/>
          <w:szCs w:val="26"/>
          <w:lang w:eastAsia="pl-PL"/>
        </w:rPr>
        <w:t xml:space="preserve">2 ,,zadania”.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Podstawowym, minimalnym ,,zadaniem” tej formacji jest jej wypełnienie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Drugim ,,zadaniem” tej formacji jest doprowadzenie do zmiany trendu ze spadkowego na wzrostowy.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Osobiście wyróżniam </w:t>
      </w:r>
      <w:r w:rsidRPr="00B37EB6">
        <w:rPr>
          <w:rFonts w:eastAsia="Times New Roman" w:cs="Times New Roman"/>
          <w:b/>
          <w:sz w:val="26"/>
          <w:szCs w:val="26"/>
          <w:lang w:eastAsia="pl-PL"/>
        </w:rPr>
        <w:t>typowe oraz nietypowe podwójne dno.</w:t>
      </w:r>
      <w:r w:rsidRPr="00B37EB6">
        <w:rPr>
          <w:rFonts w:eastAsia="Times New Roman" w:cs="Times New Roman"/>
          <w:sz w:val="26"/>
          <w:szCs w:val="26"/>
          <w:lang w:eastAsia="pl-PL"/>
        </w:rPr>
        <w:t xml:space="preserve">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Typowa formacja podwójnego dna charakteryzuje się tym, że dołki w formacji kształtują się na poziomie identycznym, bądź prawie identycznym.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>Natomiast w przypadku nietypowej formacji podwójnego dna kształtują się one na poziomie zupełnie odmiennym.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Od pierwszego numeru ,,Raportu Tygodniowego” postanowiłem, że będę </w:t>
      </w:r>
      <w:r w:rsidRPr="00B37EB6">
        <w:rPr>
          <w:rFonts w:eastAsia="Times New Roman" w:cs="Times New Roman"/>
          <w:b/>
          <w:sz w:val="26"/>
          <w:szCs w:val="26"/>
          <w:lang w:eastAsia="pl-PL"/>
        </w:rPr>
        <w:t>porównywał</w:t>
      </w:r>
      <w:r w:rsidRPr="00B37EB6">
        <w:rPr>
          <w:rFonts w:eastAsia="Times New Roman" w:cs="Times New Roman"/>
          <w:sz w:val="26"/>
          <w:szCs w:val="26"/>
          <w:lang w:eastAsia="pl-PL"/>
        </w:rPr>
        <w:t xml:space="preserve"> zachowanie kursu akcji spółki po wprowadzeniu jej do rubryki ,,Wykres do przemyślenia” </w:t>
      </w:r>
      <w:r w:rsidRPr="00B37EB6">
        <w:rPr>
          <w:rFonts w:eastAsia="Times New Roman" w:cs="Times New Roman"/>
          <w:b/>
          <w:sz w:val="26"/>
          <w:szCs w:val="26"/>
          <w:lang w:eastAsia="pl-PL"/>
        </w:rPr>
        <w:t xml:space="preserve">z zachowaniem indeksu WIG20.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Mam świadomość, że podejście to może budzić kontrowersje, sprzeciw. Dobrze. Tak być musi.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Postanowiłem odpowiedzieć na pytanie: </w:t>
      </w:r>
      <w:r w:rsidRPr="00B37EB6">
        <w:rPr>
          <w:rFonts w:eastAsia="Times New Roman" w:cs="Times New Roman"/>
          <w:b/>
          <w:sz w:val="26"/>
          <w:szCs w:val="26"/>
          <w:lang w:eastAsia="pl-PL"/>
        </w:rPr>
        <w:t>,,Ile wynosiła średnia procentowa zmiana kursu akcji spółki po wprowadzeniu jej do rubryki ,,Wykres do przemyślenia” w okresie 12 pierwszych miesięcy po jej wprowadzeniu do tej rubryki ?”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W związku z powyższym postanowiłem odpowiedzieć </w:t>
      </w:r>
      <w:r w:rsidRPr="00B37EB6">
        <w:rPr>
          <w:rFonts w:eastAsia="Times New Roman" w:cs="Times New Roman"/>
          <w:b/>
          <w:sz w:val="26"/>
          <w:szCs w:val="26"/>
          <w:lang w:eastAsia="pl-PL"/>
        </w:rPr>
        <w:t>także</w:t>
      </w:r>
      <w:r w:rsidRPr="00B37EB6">
        <w:rPr>
          <w:rFonts w:eastAsia="Times New Roman" w:cs="Times New Roman"/>
          <w:sz w:val="26"/>
          <w:szCs w:val="26"/>
          <w:lang w:eastAsia="pl-PL"/>
        </w:rPr>
        <w:t xml:space="preserve"> na pytanie: ,,Ile wynosiła średnia procentowa zmiana indeksu WIG 20 w tym okresie ?”. Odpowiedź na te pytania przedstawiłem w tabeli na następnej stronie.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Tabela: Procentowa zmiana cen akcji czterech spółek, których akcje zostały wymienione w pierwszym numerze ,,Raportu Tygodniowego” z 8 września 2014 roku w rubryce ,,Wykres do przemyślenia” w okresie od 5 września do 4 września 2015 roku oraz procentowa zmiana indeksu WIG 20 w tym okresie.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Immobile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 +15,2 %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4,44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  +11,3 %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 Netmedia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5,64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 +55,4 %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6,72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 +58,1 %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 xml:space="preserve">    +35,0 %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   -15,5 %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drugim numerze ,,Raportu Tygodniowego” z 15 września 2014 roku w rubryce ,,Wykres do przemyślenia” w okresie od 12 września do 11 września 2015 roku oraz procentowa zmiana indeksu WIG 20 w tym okresie.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11.09.2015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5,15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-20,8 %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 xml:space="preserve">  -20,8 %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  -12,5 %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16 września na stronie internetowej </w:t>
      </w:r>
      <w:hyperlink r:id="rId16" w:history="1">
        <w:r w:rsidRPr="00B37EB6">
          <w:rPr>
            <w:rFonts w:eastAsia="Times New Roman" w:cs="Times New Roman"/>
            <w:color w:val="0000FF" w:themeColor="hyperlink"/>
            <w:sz w:val="26"/>
            <w:szCs w:val="26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26"/>
          <w:szCs w:val="26"/>
          <w:lang w:eastAsia="pl-PL"/>
        </w:rPr>
        <w:t xml:space="preserve"> w rubryce  ,,Wykres do przemyślenia” w okresie od 15 września do 15 września 2015 roku oraz procentowa zmiana indeksu WIG 20 w tym okresie.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15.09.2015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Erbud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32,90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24,2 %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 xml:space="preserve">  24,2 %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2 185,88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-12,2 %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trzecim numerze ,,Raportu Tygodniowego” z 22 września 2014 roku w rubryce ,,Wykres do przemyślenia” w okresie od 19 września 2014 roku do 18 września 2015 roku oraz procentowa zmiana indeksu WIG 20 w tym okresie.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2,3 %</w:t>
            </w:r>
          </w:p>
        </w:tc>
      </w:tr>
      <w:tr w:rsidR="001A1BB9" w:rsidRPr="00B37EB6" w:rsidTr="00E144B4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2,3 %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-13,2 %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25 września na stronie internetowej </w:t>
      </w:r>
      <w:hyperlink r:id="rId17" w:history="1">
        <w:r w:rsidRPr="00B37EB6">
          <w:rPr>
            <w:rFonts w:eastAsia="Times New Roman" w:cs="Times New Roman"/>
            <w:color w:val="0000FF" w:themeColor="hyperlink"/>
            <w:sz w:val="26"/>
            <w:szCs w:val="26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26"/>
          <w:szCs w:val="26"/>
          <w:lang w:eastAsia="pl-PL"/>
        </w:rPr>
        <w:t xml:space="preserve"> w rubryce  ,,Wykres do przemyślenia” w okresie od 24 września 2014 roku do 24 września 2015 roku oraz procentowa zmiana indeksu WIG 20 w tym okresie.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+29,7 %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+29,7 %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2 082,95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-15,8 %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Tabela: Procentowa zmiana cen akcji trzech spółek, których akcje zostały wymienione w czwartym numerze ,,Raportu Tygodniowego” z 29 września 2014 roku w rubryce ,,Wykres do przemyślenia” w okresie od 30 września 2014 roku do 25 września 2015 roku oraz procentowa zmiana indeksu WIG 20 w tym okresie.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Akcja spółki Asseco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54,70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+19,9 %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 CD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26,80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+61,5 %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Akcja spółki Sygnity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8,82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- 49,9 %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 xml:space="preserve"> +10,5% 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- 15,8 %</w:t>
            </w:r>
          </w:p>
        </w:tc>
      </w:tr>
    </w:tbl>
    <w:p w:rsidR="001A1BB9" w:rsidRPr="00B37EB6" w:rsidRDefault="001A1BB9" w:rsidP="001A1BB9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piątym numerze ,,Raportu Tygodniowego” z 6 października 2014 roku w rubryce ,,Wykres do przemyślenia” w okresie od 3 października do 2 października 2015 roku oraz procentowa zmiana indeksu WIG 20 w tym okresie.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278,15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+13,9 %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+13,9 %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-16,7 %</w:t>
            </w:r>
          </w:p>
        </w:tc>
      </w:tr>
    </w:tbl>
    <w:p w:rsidR="001A1BB9" w:rsidRPr="00B37EB6" w:rsidRDefault="001A1BB9" w:rsidP="001A1BB9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szóstym numerze ,,Raportu Tygodniowego” z 20 października 2014 roku w rubryce ,,Wykres do przemyślenia” w okresie od 17 września do 16 października 2015 roku oraz procentowa zmiana indeksu WIG 20 w tym okresie.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Tauron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3,23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-38,0 %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 xml:space="preserve">  -38,0 %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  -11,6 %</w:t>
            </w:r>
          </w:p>
        </w:tc>
      </w:tr>
    </w:tbl>
    <w:p w:rsidR="001A1BB9" w:rsidRPr="00B37EB6" w:rsidRDefault="001A1BB9" w:rsidP="001A1BB9">
      <w:pPr>
        <w:spacing w:after="0" w:line="240" w:lineRule="auto"/>
        <w:rPr>
          <w:rFonts w:ascii="Calibri" w:eastAsia="Times New Roman" w:hAnsi="Calibri" w:cs="Times New Roman"/>
          <w:sz w:val="42"/>
          <w:szCs w:val="42"/>
          <w:u w:val="single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22 października na stronie internetowej </w:t>
      </w:r>
      <w:hyperlink r:id="rId18" w:history="1">
        <w:r w:rsidRPr="00B37EB6">
          <w:rPr>
            <w:rFonts w:eastAsia="Times New Roman" w:cs="Times New Roman"/>
            <w:color w:val="0000FF" w:themeColor="hyperlink"/>
            <w:sz w:val="26"/>
            <w:szCs w:val="26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26"/>
          <w:szCs w:val="26"/>
          <w:lang w:eastAsia="pl-PL"/>
        </w:rPr>
        <w:t xml:space="preserve"> w rubryce  ,,Wykres do przemyślenia” w okresie od 21 października do 19 czerwca 2015 roku do 21 października 2015 roku oraz procentowa zmiana indeksu WIG 20 w tym okresie.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21.10.2015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Akcja spółki Elektrotim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18,66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+ 114,5 %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37EB6">
              <w:rPr>
                <w:rFonts w:eastAsiaTheme="minorEastAsia"/>
                <w:color w:val="000000" w:themeColor="text1"/>
                <w:lang w:eastAsia="pl-PL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37EB6">
              <w:rPr>
                <w:rFonts w:eastAsiaTheme="minorEastAsia"/>
                <w:color w:val="000000" w:themeColor="text1"/>
                <w:lang w:eastAsia="pl-PL"/>
              </w:rPr>
              <w:t xml:space="preserve">6,70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37EB6">
              <w:rPr>
                <w:rFonts w:eastAsiaTheme="minorEastAsia"/>
                <w:color w:val="000000" w:themeColor="text1"/>
                <w:lang w:eastAsia="pl-PL"/>
              </w:rPr>
              <w:t xml:space="preserve">  -3,3 %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 xml:space="preserve">   + 55,6 %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2 105,65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siódmym numerze ,,Raportu Tygodniowego” z 27 października 2014 roku w rubryce ,,Wykres do przemyślenia” w okresie od 24 października 2014 roku do 23 października 2015 roku oraz procentowa zmiana indeksu WIG 20 w tym okresie.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23.10.2015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Akcja spółki Tesgas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3,70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-14,4 %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 xml:space="preserve">  -14,4 %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2 107,43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u w:val="single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7EB6"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,,Raportu Tygodniowego” z 3 listopada 2014 roku w rubryce ,,Wykres do przemyślenia” w okresie od 31 października 2014 roku do 30 października 2015 roku oraz procentowa zmiana indeksu WIG 20 w tym okresie.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12,83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-19,8 %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 xml:space="preserve">  -19,8 %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-16,4 %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7EB6"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,,Raportu Tygodniowego” z 1 grudnia 2014 roku w rubryce ,,Wykres do przemyślenia” w okresie od 28 listopada 2014 roku do 27 listopada 2015 roku oraz procentowa zmiana indeksu WIG 20 w tym okresie.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27.11.2015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Procad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+73,6 %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+73,6 %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1 936,05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-19,9 %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 grudnia na stronie internetowej </w:t>
      </w:r>
      <w:hyperlink r:id="rId19" w:history="1">
        <w:r w:rsidRPr="00B37EB6">
          <w:rPr>
            <w:rFonts w:eastAsia="Times New Roman" w:cs="Times New Roman"/>
            <w:color w:val="0000FF" w:themeColor="hyperlink"/>
            <w:sz w:val="26"/>
            <w:szCs w:val="26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26"/>
          <w:szCs w:val="26"/>
          <w:lang w:eastAsia="pl-PL"/>
        </w:rPr>
        <w:t xml:space="preserve"> w rubryce  ,,Wykres do przemyślenia” w okresie od 1 grudnia 2014 roku do 1 grudnia 2015 roku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27,20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-27,8 %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-27,8 %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1 923,94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-20,4 %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37EB6">
        <w:rPr>
          <w:rFonts w:eastAsia="Times New Roman" w:cs="Times New Roman"/>
          <w:lang w:eastAsia="pl-PL"/>
        </w:rPr>
        <w:t xml:space="preserve">Tabela: Procentowa zmiana ceny akcji spółki, której akcje zostały wymienione w numerze ,,Raportu Tygodniowego” z 15 grudnia 2014 roku w rubryce ,,Wykres do przemyślenia” w okresie od 12 grudnia 2014 roku do 11 grudnia 2015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11.12.2015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Akcja spółki Mercor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8,60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+5,7 %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 xml:space="preserve">  +5,7 %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1 757,37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-  25,5 %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37EB6">
        <w:rPr>
          <w:rFonts w:eastAsia="Times New Roman" w:cs="Times New Roman"/>
          <w:lang w:eastAsia="pl-PL"/>
        </w:rPr>
        <w:t xml:space="preserve">Tabela: Procentowa zmiana ceny akcji spółki, której akcje zostały umieszczone 2 stycznia 2015 roku na  stronie internetowej </w:t>
      </w:r>
      <w:hyperlink r:id="rId20" w:history="1">
        <w:r w:rsidRPr="00B37EB6">
          <w:rPr>
            <w:rFonts w:eastAsia="Times New Roman" w:cs="Times New Roman"/>
            <w:color w:val="0000FF" w:themeColor="hyperlink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lang w:eastAsia="pl-PL"/>
        </w:rPr>
        <w:t xml:space="preserve"> w rubryce  ,,Wykres do przemyślenia” w okresie od 30 grudnia 2014 roku do 23 grudnia 2015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30.12.2015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Comarch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114,05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-1,3 %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-1,3 %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1 859,15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-19,7  %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37EB6">
        <w:rPr>
          <w:rFonts w:eastAsia="Times New Roman" w:cs="Times New Roman"/>
          <w:lang w:eastAsia="pl-PL"/>
        </w:rPr>
        <w:t xml:space="preserve">Tabela: Procentowa zmiana ceny akcji spółki, której akcje zostały umieszczone 12 stycznia 2015 roku na  stronie internetowej </w:t>
      </w:r>
      <w:hyperlink r:id="rId21" w:history="1">
        <w:r w:rsidRPr="00B37EB6">
          <w:rPr>
            <w:rFonts w:eastAsia="Times New Roman" w:cs="Times New Roman"/>
            <w:color w:val="0000FF" w:themeColor="hyperlink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lang w:eastAsia="pl-PL"/>
        </w:rPr>
        <w:t xml:space="preserve">na  stronie internetowej </w:t>
      </w:r>
      <w:hyperlink r:id="rId22" w:history="1">
        <w:r w:rsidRPr="00B37EB6">
          <w:rPr>
            <w:rFonts w:eastAsia="Times New Roman" w:cs="Times New Roman"/>
            <w:color w:val="0000FF" w:themeColor="hyperlink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lang w:eastAsia="pl-PL"/>
        </w:rPr>
        <w:t xml:space="preserve"> w rubryce  ,,Wykres do przemyślenia” w okresie od 9 stycznia 2015 roku do 8 stycznia 2016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08.012016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-15,0 %0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-15,0 %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1 725,14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-28,6 %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30 stycznia 2015 roku na  stronie internetowej </w:t>
      </w:r>
      <w:hyperlink r:id="rId23" w:history="1">
        <w:r w:rsidRPr="00B37EB6">
          <w:rPr>
            <w:rFonts w:eastAsia="Times New Roman" w:cs="Times New Roman"/>
            <w:color w:val="0000FF" w:themeColor="hyperlink"/>
            <w:sz w:val="26"/>
            <w:szCs w:val="26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26"/>
          <w:szCs w:val="26"/>
          <w:lang w:eastAsia="pl-PL"/>
        </w:rPr>
        <w:t xml:space="preserve"> w rubryce  ,,Wykres do przemyślenia” w okresie od 29 stycznia 2015 roku </w:t>
      </w:r>
      <w:r w:rsidRPr="00B37EB6">
        <w:rPr>
          <w:rFonts w:eastAsia="Times New Roman" w:cs="Times New Roman"/>
          <w:lang w:eastAsia="pl-PL"/>
        </w:rPr>
        <w:t xml:space="preserve">do 29 stycznia 2016 roku  </w:t>
      </w:r>
      <w:r w:rsidRPr="00B37EB6"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0,78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-29,7 %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-29,7 %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-26,3 %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 w:rsidRPr="00B37EB6">
        <w:rPr>
          <w:rFonts w:eastAsia="Times New Roman" w:cs="Times New Roman"/>
          <w:sz w:val="30"/>
          <w:szCs w:val="30"/>
          <w:lang w:eastAsia="pl-PL"/>
        </w:rPr>
        <w:t xml:space="preserve">Tabela: Procentowa zmiana ceny akcji spółki, której akcje zostały umieszczone 10 lutego 2015 roku na  stronie internetowej </w:t>
      </w:r>
      <w:hyperlink r:id="rId24" w:history="1">
        <w:r w:rsidRPr="00B37EB6">
          <w:rPr>
            <w:rFonts w:eastAsia="Times New Roman" w:cs="Times New Roman"/>
            <w:color w:val="0000FF" w:themeColor="hyperlink"/>
            <w:sz w:val="30"/>
            <w:szCs w:val="30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30"/>
          <w:szCs w:val="30"/>
          <w:lang w:eastAsia="pl-PL"/>
        </w:rPr>
        <w:t xml:space="preserve"> w rubryce  ,,Wykres do przemyślenia” w okresie od 9 lutego 2015 roku do 9 lutego 2016 roku  oraz procentowa zmiana indeksu WIG 20 w tym okresie.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09.02.2016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Atrem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4,00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-11,1 %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-11,1 %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1 790,87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-24,5%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37EB6">
        <w:rPr>
          <w:rFonts w:eastAsia="Times New Roman" w:cs="Times New Roman"/>
          <w:sz w:val="30"/>
          <w:szCs w:val="30"/>
          <w:lang w:eastAsia="pl-PL"/>
        </w:rPr>
        <w:t xml:space="preserve">Tabela: Procentowa zmiana ceny akcji spółki, której akcje zostały umieszczone 3 marca 2015 roku na  stronie internetowej </w:t>
      </w:r>
      <w:hyperlink r:id="rId25" w:history="1">
        <w:r w:rsidRPr="00B37EB6">
          <w:rPr>
            <w:rFonts w:eastAsia="Times New Roman" w:cs="Times New Roman"/>
            <w:color w:val="0000FF" w:themeColor="hyperlink"/>
            <w:sz w:val="30"/>
            <w:szCs w:val="30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30"/>
          <w:szCs w:val="30"/>
          <w:lang w:eastAsia="pl-PL"/>
        </w:rPr>
        <w:t xml:space="preserve"> w rubryce  ,,Wykres do przemyślenia” w okresie od 2 marca 2015 roku do 2 marca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02.03.2016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14,38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+90,0 %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+90,0 %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-21,8 %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ascii="Calibri" w:eastAsia="Times New Roman" w:hAnsi="Calibri" w:cs="Times New Roman"/>
          <w:sz w:val="90"/>
          <w:szCs w:val="90"/>
          <w:u w:val="single"/>
          <w:lang w:eastAsia="pl-PL"/>
        </w:rPr>
      </w:pPr>
      <w:r w:rsidRPr="00B37EB6">
        <w:rPr>
          <w:rFonts w:ascii="Calibri" w:eastAsia="Times New Roman" w:hAnsi="Calibri" w:cs="Times New Roman"/>
          <w:sz w:val="90"/>
          <w:szCs w:val="90"/>
          <w:u w:val="single"/>
          <w:lang w:eastAsia="pl-PL"/>
        </w:rPr>
        <w:t>Wniosek końcowy z powyższych rozważań brzmi następująco:</w:t>
      </w:r>
    </w:p>
    <w:p w:rsidR="001A1BB9" w:rsidRPr="00B37EB6" w:rsidRDefault="001A1BB9" w:rsidP="001A1BB9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90"/>
          <w:szCs w:val="90"/>
          <w:u w:val="single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70"/>
          <w:szCs w:val="70"/>
          <w:u w:val="single"/>
          <w:lang w:eastAsia="pl-PL"/>
        </w:rPr>
      </w:pPr>
      <w:r w:rsidRPr="00B37EB6">
        <w:rPr>
          <w:rFonts w:ascii="Calibri" w:eastAsia="Times New Roman" w:hAnsi="Calibri" w:cs="Times New Roman"/>
          <w:color w:val="000000"/>
          <w:sz w:val="70"/>
          <w:szCs w:val="70"/>
          <w:lang w:eastAsia="pl-PL"/>
        </w:rPr>
        <w:t xml:space="preserve">Średnia procentowa zmiana kursu akcji spółki po wprowadzeniu jej do rubryki </w:t>
      </w:r>
      <w:r w:rsidRPr="00B37EB6">
        <w:rPr>
          <w:rFonts w:ascii="Calibri" w:eastAsia="Times New Roman" w:hAnsi="Calibri" w:cs="Times New Roman"/>
          <w:b/>
          <w:color w:val="FF0000"/>
          <w:sz w:val="70"/>
          <w:szCs w:val="70"/>
          <w:lang w:eastAsia="pl-PL"/>
        </w:rPr>
        <w:t>,,Wykres do przemyślenia”</w:t>
      </w:r>
      <w:r w:rsidRPr="00B37EB6">
        <w:rPr>
          <w:rFonts w:ascii="Calibri" w:eastAsia="Times New Roman" w:hAnsi="Calibri" w:cs="Times New Roman"/>
          <w:color w:val="000000"/>
          <w:sz w:val="70"/>
          <w:szCs w:val="70"/>
          <w:lang w:eastAsia="pl-PL"/>
        </w:rPr>
        <w:t xml:space="preserve"> w okresie 12 pierwszych miesięcy po jej wprowadzeniu do tej rubryki wynosiła </w:t>
      </w:r>
      <w:r w:rsidRPr="00B37EB6">
        <w:rPr>
          <w:rFonts w:ascii="Calibri" w:eastAsia="Times New Roman" w:hAnsi="Calibri" w:cs="Times New Roman"/>
          <w:b/>
          <w:color w:val="FF0000"/>
          <w:sz w:val="70"/>
          <w:szCs w:val="70"/>
          <w:lang w:eastAsia="pl-PL"/>
        </w:rPr>
        <w:t>plus 14,2 %.</w:t>
      </w:r>
      <w:r w:rsidRPr="00B37EB6">
        <w:rPr>
          <w:rFonts w:ascii="Calibri" w:eastAsia="Times New Roman" w:hAnsi="Calibri" w:cs="Times New Roman"/>
          <w:color w:val="FF0000"/>
          <w:sz w:val="70"/>
          <w:szCs w:val="70"/>
          <w:lang w:eastAsia="pl-PL"/>
        </w:rPr>
        <w:t xml:space="preserve"> </w:t>
      </w:r>
      <w:r w:rsidRPr="00B37EB6">
        <w:rPr>
          <w:rFonts w:ascii="Calibri" w:eastAsia="Times New Roman" w:hAnsi="Calibri" w:cs="Times New Roman"/>
          <w:color w:val="000000" w:themeColor="text1"/>
          <w:sz w:val="70"/>
          <w:szCs w:val="70"/>
          <w:lang w:eastAsia="pl-PL"/>
        </w:rPr>
        <w:t xml:space="preserve">Średnia procentowa zmiana indeksu </w:t>
      </w:r>
      <w:r w:rsidRPr="00B37EB6">
        <w:rPr>
          <w:rFonts w:ascii="Calibri" w:eastAsia="Times New Roman" w:hAnsi="Calibri" w:cs="Times New Roman"/>
          <w:color w:val="000000" w:themeColor="text1"/>
          <w:sz w:val="70"/>
          <w:szCs w:val="70"/>
          <w:u w:val="single"/>
          <w:lang w:eastAsia="pl-PL"/>
        </w:rPr>
        <w:t xml:space="preserve">WIG20 </w:t>
      </w:r>
      <w:r w:rsidRPr="00B37EB6">
        <w:rPr>
          <w:rFonts w:ascii="Calibri" w:eastAsia="Times New Roman" w:hAnsi="Calibri" w:cs="Times New Roman"/>
          <w:color w:val="000000" w:themeColor="text1"/>
          <w:sz w:val="70"/>
          <w:szCs w:val="70"/>
          <w:lang w:eastAsia="pl-PL"/>
        </w:rPr>
        <w:t xml:space="preserve">w tym okresie wynosiła </w:t>
      </w:r>
      <w:r w:rsidRPr="00B37EB6">
        <w:rPr>
          <w:rFonts w:ascii="Calibri" w:eastAsia="Times New Roman" w:hAnsi="Calibri" w:cs="Times New Roman"/>
          <w:b/>
          <w:color w:val="000000" w:themeColor="text1"/>
          <w:sz w:val="70"/>
          <w:szCs w:val="70"/>
          <w:u w:val="single"/>
          <w:lang w:eastAsia="pl-PL"/>
        </w:rPr>
        <w:t xml:space="preserve">minus 17,4 %. </w:t>
      </w:r>
    </w:p>
    <w:p w:rsidR="001A1BB9" w:rsidRPr="00B37EB6" w:rsidRDefault="001A1BB9" w:rsidP="001A1BB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42"/>
          <w:szCs w:val="42"/>
          <w:u w:val="single"/>
          <w:lang w:eastAsia="pl-PL"/>
        </w:rPr>
      </w:pPr>
    </w:p>
    <w:p w:rsidR="001A1BB9" w:rsidRPr="00B37EB6" w:rsidRDefault="001A1BB9" w:rsidP="001A1BB9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96"/>
          <w:szCs w:val="96"/>
          <w:lang w:eastAsia="pl-PL"/>
        </w:rPr>
      </w:pPr>
      <w:r w:rsidRPr="00B37EB6">
        <w:rPr>
          <w:rFonts w:eastAsia="Times New Roman" w:cs="Times New Roman"/>
          <w:b/>
          <w:sz w:val="96"/>
          <w:szCs w:val="96"/>
          <w:lang w:eastAsia="pl-PL"/>
        </w:rPr>
        <w:t xml:space="preserve">Spółki dla których nie można jeszcze obliczyć procentowej zmiany kursu akcji po wprowadzeniu jej do rubryki ,,Wykres do przemyślenia” w okresie 12 pierwszych miesięcy po jej wprowadzeniu do tej rubryki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 w:rsidRPr="00B37EB6">
        <w:rPr>
          <w:rFonts w:eastAsia="Times New Roman" w:cs="Times New Roman"/>
          <w:b/>
          <w:sz w:val="32"/>
          <w:szCs w:val="32"/>
          <w:u w:val="single"/>
          <w:lang w:eastAsia="pl-PL"/>
        </w:rPr>
        <w:t>Obliczenia według stanu na 1 kwietnia 2016 roku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37EB6">
        <w:rPr>
          <w:rFonts w:eastAsia="Times New Roman" w:cs="Times New Roman"/>
          <w:sz w:val="30"/>
          <w:szCs w:val="30"/>
          <w:lang w:eastAsia="pl-PL"/>
        </w:rPr>
        <w:t xml:space="preserve">Tabela: Procentowa zmiana ceny akcji spółki, której akcje zostały umieszczone 9 kwietnia 2015 roku na  stronie internetowej </w:t>
      </w:r>
      <w:hyperlink r:id="rId26" w:history="1">
        <w:r w:rsidRPr="00B37EB6">
          <w:rPr>
            <w:rFonts w:eastAsia="Times New Roman" w:cs="Times New Roman"/>
            <w:color w:val="0000FF" w:themeColor="hyperlink"/>
            <w:sz w:val="30"/>
            <w:szCs w:val="30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30"/>
          <w:szCs w:val="30"/>
          <w:lang w:eastAsia="pl-PL"/>
        </w:rPr>
        <w:t xml:space="preserve"> w rubryce  ,,Wykres do przemyślenia” w okresie od 8 kwietnia 2015 roku do 1 kwietnia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01.04.2016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1,45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+16,0 %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+16,0 %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1 973,24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-18,6 %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 w:rsidRPr="00B37EB6">
        <w:rPr>
          <w:rFonts w:eastAsia="Times New Roman" w:cs="Times New Roman"/>
          <w:sz w:val="30"/>
          <w:szCs w:val="30"/>
          <w:lang w:eastAsia="pl-PL"/>
        </w:rPr>
        <w:t xml:space="preserve">Tabela: Procentowa zmiana ceny akcji spółki, której akcje zostały umieszczone 5 maja 2015 roku na  stronie internetowej </w:t>
      </w:r>
      <w:hyperlink r:id="rId27" w:history="1">
        <w:r w:rsidRPr="00B37EB6">
          <w:rPr>
            <w:rFonts w:eastAsia="Times New Roman" w:cs="Times New Roman"/>
            <w:color w:val="0000FF" w:themeColor="hyperlink"/>
            <w:sz w:val="30"/>
            <w:szCs w:val="30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30"/>
          <w:szCs w:val="30"/>
          <w:lang w:eastAsia="pl-PL"/>
        </w:rPr>
        <w:t xml:space="preserve"> w rubryce  ,,Wykres do przemyślenia” w okresie od 4 maja 2015 roku do 1 kwietnia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01.04.2016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13,45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+21,2  %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 xml:space="preserve">  +21,2  %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2 523,09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1 973,24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-21,8 %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B37EB6">
        <w:rPr>
          <w:rFonts w:eastAsia="Times New Roman" w:cs="Times New Roman"/>
          <w:sz w:val="32"/>
          <w:szCs w:val="32"/>
          <w:lang w:eastAsia="pl-PL"/>
        </w:rPr>
        <w:t xml:space="preserve">Tabela: Procentowa zmiana cen akcji trzech spółek, których akcje zostały umieszczone w dniu 1 lipca na stronie internetowej </w:t>
      </w:r>
      <w:hyperlink r:id="rId28" w:history="1">
        <w:r w:rsidRPr="00B37EB6">
          <w:rPr>
            <w:rFonts w:eastAsia="Times New Roman" w:cs="Times New Roman"/>
            <w:color w:val="0000FF" w:themeColor="hyperlink"/>
            <w:sz w:val="32"/>
            <w:szCs w:val="32"/>
            <w:u w:val="single"/>
            <w:lang w:eastAsia="pl-PL"/>
          </w:rPr>
          <w:t>http://analizy-rynkowe.pl/</w:t>
        </w:r>
      </w:hyperlink>
      <w:r w:rsidRPr="00B37EB6">
        <w:rPr>
          <w:rFonts w:eastAsia="Times New Roman" w:cs="Times New Roman"/>
          <w:sz w:val="32"/>
          <w:szCs w:val="32"/>
          <w:lang w:eastAsia="pl-PL"/>
        </w:rPr>
        <w:t xml:space="preserve"> w rubryce ,,Wykres do przemyślenia” w okresie od 30 czerwca 2015 roku </w:t>
      </w:r>
      <w:r w:rsidRPr="00B37EB6">
        <w:rPr>
          <w:rFonts w:eastAsia="Times New Roman" w:cs="Times New Roman"/>
          <w:sz w:val="30"/>
          <w:szCs w:val="30"/>
          <w:lang w:eastAsia="pl-PL"/>
        </w:rPr>
        <w:t xml:space="preserve">do 1 kwietnia 2016 roku  </w:t>
      </w:r>
      <w:r w:rsidRPr="00B37EB6">
        <w:rPr>
          <w:rFonts w:eastAsia="Times New Roman" w:cs="Times New Roman"/>
          <w:sz w:val="32"/>
          <w:szCs w:val="32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01.04.2016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8,55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-9,9 %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 Unima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2,37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-8,1 %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Akcja spółki Variant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1,68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-5,1  %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-7,7  %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2317,84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1 973,24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-14,9 %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7EB6"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umieszczone 21 lipca 2015 roku na  stronie internetowej </w:t>
      </w:r>
      <w:hyperlink r:id="rId29" w:history="1">
        <w:r w:rsidRPr="00B37EB6">
          <w:rPr>
            <w:rFonts w:eastAsia="Times New Roman" w:cs="Times New Roman"/>
            <w:color w:val="0000FF" w:themeColor="hyperlink"/>
            <w:sz w:val="28"/>
            <w:szCs w:val="28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28"/>
          <w:szCs w:val="28"/>
          <w:lang w:eastAsia="pl-PL"/>
        </w:rPr>
        <w:t xml:space="preserve"> w rubryce  ,,Wykres do przemyślenia” w okresie od 21 lipca 2015 roku </w:t>
      </w:r>
      <w:r w:rsidRPr="00B37EB6">
        <w:rPr>
          <w:rFonts w:eastAsia="Times New Roman" w:cs="Times New Roman"/>
          <w:sz w:val="30"/>
          <w:szCs w:val="30"/>
          <w:lang w:eastAsia="pl-PL"/>
        </w:rPr>
        <w:t xml:space="preserve">do 1 kwietnia 2016 roku    </w:t>
      </w:r>
      <w:r w:rsidRPr="00B37EB6">
        <w:rPr>
          <w:rFonts w:eastAsia="Times New Roman" w:cs="Times New Roman"/>
          <w:sz w:val="28"/>
          <w:szCs w:val="28"/>
          <w:lang w:eastAsia="pl-PL"/>
        </w:rPr>
        <w:t xml:space="preserve">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21.07.2015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01.04.2016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Akcja spółki Ropczyce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20,80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21,85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+5,0 %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+5,0 %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2 444,63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1 973,24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-12,1  %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B37EB6">
        <w:rPr>
          <w:rFonts w:eastAsia="Times New Roman" w:cs="Times New Roman"/>
          <w:sz w:val="32"/>
          <w:szCs w:val="32"/>
          <w:lang w:eastAsia="pl-PL"/>
        </w:rPr>
        <w:t xml:space="preserve">Tabela: Procentowa zmiana ceny akcji spółki, której akcje zostały umieszczone 23 lipca 2015 roku na  stronie internetowej </w:t>
      </w:r>
      <w:hyperlink r:id="rId30" w:history="1">
        <w:r w:rsidRPr="00B37EB6">
          <w:rPr>
            <w:rFonts w:eastAsia="Times New Roman" w:cs="Times New Roman"/>
            <w:color w:val="0000FF" w:themeColor="hyperlink"/>
            <w:sz w:val="32"/>
            <w:szCs w:val="32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32"/>
          <w:szCs w:val="32"/>
          <w:lang w:eastAsia="pl-PL"/>
        </w:rPr>
        <w:t xml:space="preserve"> w rubryce  ,,Wykres do przemyślenia” w okresie od 22 lipca 2015 roku </w:t>
      </w:r>
      <w:r w:rsidRPr="00B37EB6">
        <w:rPr>
          <w:rFonts w:eastAsia="Times New Roman" w:cs="Times New Roman"/>
          <w:sz w:val="30"/>
          <w:szCs w:val="30"/>
          <w:lang w:eastAsia="pl-PL"/>
        </w:rPr>
        <w:t xml:space="preserve">do 1 kwietnia 2016 roku  </w:t>
      </w:r>
      <w:r w:rsidRPr="00B37EB6">
        <w:rPr>
          <w:rFonts w:eastAsia="Times New Roman" w:cs="Times New Roman"/>
          <w:sz w:val="32"/>
          <w:szCs w:val="32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01.04.2016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Eurocash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41,26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53,40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+29,4 %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+29,4%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2 185,83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1 973,24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-9,7 %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B37EB6">
        <w:rPr>
          <w:rFonts w:eastAsia="Times New Roman" w:cs="Times New Roman"/>
          <w:sz w:val="32"/>
          <w:szCs w:val="32"/>
          <w:lang w:eastAsia="pl-PL"/>
        </w:rPr>
        <w:t xml:space="preserve">Tabela: Procentowa zmiana ceny akcji spółki, której akcje zostały umieszczone 3 września 2015 roku na  stronie internetowej </w:t>
      </w:r>
      <w:hyperlink r:id="rId31" w:history="1">
        <w:r w:rsidRPr="00B37EB6">
          <w:rPr>
            <w:rFonts w:eastAsia="Times New Roman" w:cs="Times New Roman"/>
            <w:color w:val="0000FF" w:themeColor="hyperlink"/>
            <w:sz w:val="32"/>
            <w:szCs w:val="32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32"/>
          <w:szCs w:val="32"/>
          <w:lang w:eastAsia="pl-PL"/>
        </w:rPr>
        <w:t xml:space="preserve"> w rubryce  ,,Wykres do przemyślenia” w okresie od 2 września 2015 roku </w:t>
      </w:r>
      <w:r w:rsidRPr="00B37EB6">
        <w:rPr>
          <w:rFonts w:eastAsia="Times New Roman" w:cs="Times New Roman"/>
          <w:sz w:val="30"/>
          <w:szCs w:val="30"/>
          <w:lang w:eastAsia="pl-PL"/>
        </w:rPr>
        <w:t xml:space="preserve">do 1 kwietnia 2016 roku  </w:t>
      </w:r>
      <w:r w:rsidRPr="00B37EB6">
        <w:rPr>
          <w:rFonts w:eastAsia="Times New Roman" w:cs="Times New Roman"/>
          <w:sz w:val="32"/>
          <w:szCs w:val="32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02.09.2015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01.04.2016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Agora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11,20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12,80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+14,3 %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 xml:space="preserve">  +14,3 %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2 107,58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1 973,24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-6,4 %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B37EB6">
        <w:rPr>
          <w:rFonts w:eastAsia="Times New Roman" w:cs="Times New Roman"/>
          <w:sz w:val="32"/>
          <w:szCs w:val="32"/>
          <w:lang w:eastAsia="pl-PL"/>
        </w:rPr>
        <w:t xml:space="preserve">Tabela: Procentowa zmiana ceny akcji spółki, której akcje zostały umieszczone 4 września 2015 roku na  stronie internetowej </w:t>
      </w:r>
      <w:hyperlink r:id="rId32" w:history="1">
        <w:r w:rsidRPr="00B37EB6">
          <w:rPr>
            <w:rFonts w:eastAsia="Times New Roman" w:cs="Times New Roman"/>
            <w:color w:val="0000FF" w:themeColor="hyperlink"/>
            <w:sz w:val="32"/>
            <w:szCs w:val="32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32"/>
          <w:szCs w:val="32"/>
          <w:lang w:eastAsia="pl-PL"/>
        </w:rPr>
        <w:t xml:space="preserve"> w rubryce  ,,Wykres do przemyślenia” w okresie od 3 września 2015 roku </w:t>
      </w:r>
      <w:r w:rsidRPr="00B37EB6">
        <w:rPr>
          <w:rFonts w:eastAsia="Times New Roman" w:cs="Times New Roman"/>
          <w:sz w:val="30"/>
          <w:szCs w:val="30"/>
          <w:lang w:eastAsia="pl-PL"/>
        </w:rPr>
        <w:t xml:space="preserve">do 1 kwietnia 2016 roku  </w:t>
      </w:r>
      <w:r w:rsidRPr="00B37EB6">
        <w:rPr>
          <w:rFonts w:eastAsia="Times New Roman" w:cs="Times New Roman"/>
          <w:sz w:val="32"/>
          <w:szCs w:val="32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03.09.2015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01.04.2016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BZWBK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309,00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300,00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-2,9 %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 xml:space="preserve"> -2,9 %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2 155,07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1 973,24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-8,4 %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 w:rsidRPr="00B37EB6">
        <w:rPr>
          <w:rFonts w:eastAsia="Times New Roman" w:cs="Times New Roman"/>
          <w:sz w:val="30"/>
          <w:szCs w:val="30"/>
          <w:lang w:eastAsia="pl-PL"/>
        </w:rPr>
        <w:t xml:space="preserve">Tabela: Procentowa zmiana ceny akcji spółki, której akcje zostały umieszczone 9 października na stronie internetowej </w:t>
      </w:r>
      <w:hyperlink r:id="rId33" w:history="1">
        <w:r w:rsidRPr="00B37EB6">
          <w:rPr>
            <w:rFonts w:eastAsia="Times New Roman" w:cs="Times New Roman"/>
            <w:color w:val="0000FF" w:themeColor="hyperlink"/>
            <w:sz w:val="30"/>
            <w:szCs w:val="30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30"/>
          <w:szCs w:val="30"/>
          <w:lang w:eastAsia="pl-PL"/>
        </w:rPr>
        <w:t xml:space="preserve"> w rubryce  ,,Wykres do przemyślenia” w okresie od 8 października 2015 roku do 1 kwietnia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08.10.2015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01.04.2016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Netmedia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5,69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5,65zł.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-0,7 %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37EB6">
              <w:rPr>
                <w:rFonts w:eastAsiaTheme="minorEastAsia"/>
                <w:color w:val="000000" w:themeColor="text1"/>
                <w:lang w:eastAsia="pl-PL"/>
              </w:rPr>
              <w:t xml:space="preserve">312,70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37EB6">
              <w:rPr>
                <w:rFonts w:eastAsiaTheme="minorEastAsia"/>
                <w:color w:val="000000" w:themeColor="text1"/>
                <w:lang w:eastAsia="pl-PL"/>
              </w:rPr>
              <w:t xml:space="preserve">289,00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37EB6">
              <w:rPr>
                <w:rFonts w:eastAsiaTheme="minorEastAsia"/>
                <w:color w:val="000000" w:themeColor="text1"/>
                <w:lang w:eastAsia="pl-PL"/>
              </w:rPr>
              <w:t xml:space="preserve"> -7,6 %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-4,1 %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2 126,48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1 973,24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-7,2 %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B37EB6">
        <w:rPr>
          <w:rFonts w:eastAsia="Times New Roman" w:cs="Times New Roman"/>
          <w:sz w:val="32"/>
          <w:szCs w:val="32"/>
          <w:lang w:eastAsia="pl-PL"/>
        </w:rPr>
        <w:t xml:space="preserve">Tabela: Procentowa zmiana ceny akcji spółki, której akcje zostały umieszczone 14 października 2015 roku na  stronie internetowej </w:t>
      </w:r>
      <w:hyperlink r:id="rId34" w:history="1">
        <w:r w:rsidRPr="00B37EB6">
          <w:rPr>
            <w:rFonts w:eastAsia="Times New Roman" w:cs="Times New Roman"/>
            <w:color w:val="0000FF" w:themeColor="hyperlink"/>
            <w:sz w:val="32"/>
            <w:szCs w:val="32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32"/>
          <w:szCs w:val="32"/>
          <w:lang w:eastAsia="pl-PL"/>
        </w:rPr>
        <w:t xml:space="preserve"> w rubryce  ,,Wykres do przemyślenia” w okresie od 13 października 2015 roku </w:t>
      </w:r>
      <w:r w:rsidRPr="00B37EB6">
        <w:rPr>
          <w:rFonts w:eastAsia="Times New Roman" w:cs="Times New Roman"/>
          <w:sz w:val="30"/>
          <w:szCs w:val="30"/>
          <w:lang w:eastAsia="pl-PL"/>
        </w:rPr>
        <w:t xml:space="preserve">do 1 kwietnia 2016 roku  </w:t>
      </w:r>
      <w:r w:rsidRPr="00B37EB6">
        <w:rPr>
          <w:rFonts w:eastAsia="Times New Roman" w:cs="Times New Roman"/>
          <w:sz w:val="32"/>
          <w:szCs w:val="32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13.10.2015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01.04.2016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Cyfrowy Polsat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24,93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24,22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-2,8 %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 xml:space="preserve">  -2,8 %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2 123,43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1 973,24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-7,1 %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B37EB6">
        <w:rPr>
          <w:rFonts w:eastAsia="Times New Roman" w:cs="Times New Roman"/>
          <w:sz w:val="32"/>
          <w:szCs w:val="32"/>
          <w:lang w:eastAsia="pl-PL"/>
        </w:rPr>
        <w:t xml:space="preserve">Tabela: Procentowa zmiana ceny akcji spółki, której akcje zostały umieszczone 17 października 2015 roku na  stronie internetowej </w:t>
      </w:r>
      <w:hyperlink r:id="rId35" w:history="1">
        <w:r w:rsidRPr="00B37EB6">
          <w:rPr>
            <w:rFonts w:eastAsia="Times New Roman" w:cs="Times New Roman"/>
            <w:color w:val="0000FF" w:themeColor="hyperlink"/>
            <w:sz w:val="32"/>
            <w:szCs w:val="32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32"/>
          <w:szCs w:val="32"/>
          <w:lang w:eastAsia="pl-PL"/>
        </w:rPr>
        <w:t xml:space="preserve"> w rubryce  ,,Wykres do przemyślenia” w okresie od 13 października 2015 roku </w:t>
      </w:r>
      <w:r w:rsidRPr="00B37EB6">
        <w:rPr>
          <w:rFonts w:eastAsia="Times New Roman" w:cs="Times New Roman"/>
          <w:sz w:val="30"/>
          <w:szCs w:val="30"/>
          <w:lang w:eastAsia="pl-PL"/>
        </w:rPr>
        <w:t xml:space="preserve">do 1 kwietnia 2016 roku  </w:t>
      </w:r>
      <w:r w:rsidRPr="00B37EB6">
        <w:rPr>
          <w:rFonts w:eastAsia="Times New Roman" w:cs="Times New Roman"/>
          <w:sz w:val="32"/>
          <w:szCs w:val="32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16.10.2015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01.04.2016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Dębica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85,40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86,48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+1,3 %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 xml:space="preserve">  +1,3 %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2 121,94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1 973,24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-7,0 %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37EB6">
        <w:rPr>
          <w:rFonts w:eastAsia="Times New Roman" w:cs="Times New Roman"/>
          <w:lang w:eastAsia="pl-PL"/>
        </w:rPr>
        <w:t xml:space="preserve">Tabela: Procentowa zmiana ceny akcji spółki, której akcje zostały umieszczone 4 listopada 2015 roku na  stronie internetowej </w:t>
      </w:r>
      <w:hyperlink r:id="rId36" w:history="1">
        <w:r w:rsidRPr="00B37EB6">
          <w:rPr>
            <w:rFonts w:eastAsia="Times New Roman" w:cs="Times New Roman"/>
            <w:color w:val="0000FF" w:themeColor="hyperlink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lang w:eastAsia="pl-PL"/>
        </w:rPr>
        <w:t xml:space="preserve"> w rubryce  ,,Wykres do przemyślenia” w okresie od 3 listopada </w:t>
      </w:r>
      <w:r w:rsidRPr="00B37EB6">
        <w:rPr>
          <w:rFonts w:eastAsia="Times New Roman" w:cs="Times New Roman"/>
          <w:sz w:val="26"/>
          <w:szCs w:val="26"/>
          <w:lang w:eastAsia="pl-PL"/>
        </w:rPr>
        <w:t xml:space="preserve">2015 roku </w:t>
      </w:r>
      <w:r w:rsidRPr="00B37EB6">
        <w:rPr>
          <w:rFonts w:eastAsia="Times New Roman" w:cs="Times New Roman"/>
          <w:sz w:val="30"/>
          <w:szCs w:val="30"/>
          <w:lang w:eastAsia="pl-PL"/>
        </w:rPr>
        <w:t xml:space="preserve">do 18 marca 2016 roku  </w:t>
      </w:r>
      <w:r w:rsidRPr="00B37EB6">
        <w:rPr>
          <w:rFonts w:eastAsia="Times New Roman" w:cs="Times New Roman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03.11.2015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01.04.2016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Akcja spółki Alta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2,19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4,00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+82,6%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 xml:space="preserve">  +82,6 %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2 061,38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1 973,24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-4,3 %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B37EB6">
        <w:rPr>
          <w:rFonts w:eastAsia="Times New Roman" w:cs="Times New Roman"/>
          <w:sz w:val="32"/>
          <w:szCs w:val="32"/>
          <w:lang w:eastAsia="pl-PL"/>
        </w:rPr>
        <w:t xml:space="preserve">Tabela: Procentowa zmiana ceny akcji spółki, której akcje zostały umieszczone 30 listopada 2015 roku na  stronie internetowej </w:t>
      </w:r>
      <w:hyperlink r:id="rId37" w:history="1">
        <w:r w:rsidRPr="00B37EB6">
          <w:rPr>
            <w:rFonts w:eastAsia="Times New Roman" w:cs="Times New Roman"/>
            <w:color w:val="0000FF" w:themeColor="hyperlink"/>
            <w:sz w:val="32"/>
            <w:szCs w:val="32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32"/>
          <w:szCs w:val="32"/>
          <w:lang w:eastAsia="pl-PL"/>
        </w:rPr>
        <w:t xml:space="preserve"> w rubryce  ,,Wykres do przemyślenia” w okresie od 27 listopada 2015 roku </w:t>
      </w:r>
      <w:r w:rsidRPr="00B37EB6">
        <w:rPr>
          <w:rFonts w:eastAsia="Times New Roman" w:cs="Times New Roman"/>
          <w:sz w:val="30"/>
          <w:szCs w:val="30"/>
          <w:lang w:eastAsia="pl-PL"/>
        </w:rPr>
        <w:t xml:space="preserve">do 1 kwietnia 2016 roku  </w:t>
      </w:r>
      <w:r w:rsidRPr="00B37EB6">
        <w:rPr>
          <w:rFonts w:eastAsia="Times New Roman" w:cs="Times New Roman"/>
          <w:sz w:val="32"/>
          <w:szCs w:val="32"/>
          <w:lang w:eastAsia="pl-PL"/>
        </w:rPr>
        <w:t xml:space="preserve">oraz procentowa zmiana indeksu WIG 20 w tym okresie.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27.11.2015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01.04.2016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Asseco Poland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58,06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60,24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+3,8 %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 xml:space="preserve">  +3,8 %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1 936,05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1 973,24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+1,9 %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  <w:r w:rsidRPr="00B37EB6">
        <w:rPr>
          <w:rFonts w:eastAsia="Times New Roman" w:cs="Times New Roman"/>
          <w:sz w:val="36"/>
          <w:szCs w:val="36"/>
          <w:lang w:eastAsia="pl-PL"/>
        </w:rPr>
        <w:t xml:space="preserve">Tabela: Procentowa zmiana ceny akcji spółki, której akcje zostały umieszczone 7 grudnia 2015 roku na  stronie internetowej </w:t>
      </w:r>
      <w:hyperlink r:id="rId38" w:history="1">
        <w:r w:rsidRPr="00B37EB6">
          <w:rPr>
            <w:rFonts w:eastAsia="Times New Roman" w:cs="Times New Roman"/>
            <w:color w:val="0000FF" w:themeColor="hyperlink"/>
            <w:sz w:val="36"/>
            <w:szCs w:val="36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36"/>
          <w:szCs w:val="36"/>
          <w:lang w:eastAsia="pl-PL"/>
        </w:rPr>
        <w:t xml:space="preserve"> w rubryce  ,,Wykres do przemyślenia” w okresie od 4 grudnia 2015 roku </w:t>
      </w:r>
      <w:r w:rsidRPr="00B37EB6">
        <w:rPr>
          <w:rFonts w:eastAsia="Times New Roman" w:cs="Times New Roman"/>
          <w:sz w:val="30"/>
          <w:szCs w:val="30"/>
          <w:lang w:eastAsia="pl-PL"/>
        </w:rPr>
        <w:t xml:space="preserve">do 1 kwietnia 2016 roku  </w:t>
      </w:r>
      <w:r w:rsidRPr="00B37EB6">
        <w:rPr>
          <w:rFonts w:eastAsia="Times New Roman" w:cs="Times New Roman"/>
          <w:sz w:val="36"/>
          <w:szCs w:val="36"/>
          <w:lang w:eastAsia="pl-PL"/>
        </w:rPr>
        <w:t xml:space="preserve">oraz procentowa zmiana indeksu WIG 20 w tym okresie.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04.12.2015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01.04.2016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PeKaO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139,80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162,00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+ 15,9 %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 xml:space="preserve"> + 15,9 %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1 868,24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1 973,24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+5,6 %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7 grudnia 2015 roku na  stronie internetowej </w:t>
      </w:r>
      <w:hyperlink r:id="rId39" w:history="1">
        <w:r w:rsidRPr="00B37EB6">
          <w:rPr>
            <w:rFonts w:eastAsia="Times New Roman" w:cs="Times New Roman"/>
            <w:color w:val="0000FF" w:themeColor="hyperlink"/>
            <w:sz w:val="26"/>
            <w:szCs w:val="26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26"/>
          <w:szCs w:val="26"/>
          <w:lang w:eastAsia="pl-PL"/>
        </w:rPr>
        <w:t xml:space="preserve"> w rubryce  ,,Wykres do przemyślenia” w okresie od 4 grudnia 2015 roku </w:t>
      </w:r>
      <w:r w:rsidRPr="00B37EB6">
        <w:rPr>
          <w:rFonts w:eastAsia="Times New Roman" w:cs="Times New Roman"/>
          <w:sz w:val="30"/>
          <w:szCs w:val="30"/>
          <w:lang w:eastAsia="pl-PL"/>
        </w:rPr>
        <w:t xml:space="preserve">do 1 kwietnia 2016 roku    </w:t>
      </w:r>
      <w:r w:rsidRPr="00B37EB6"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04.12.2015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01.04.2016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LC Corp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1,62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2,12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+30,9%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 xml:space="preserve">  +30,9 %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1 868,24 pkt.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1 973,24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+5,6 %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28 grudnia 2015 roku na  stronie internetowej </w:t>
      </w:r>
      <w:hyperlink r:id="rId40" w:history="1">
        <w:r w:rsidRPr="00B37EB6">
          <w:rPr>
            <w:rFonts w:eastAsia="Times New Roman" w:cs="Times New Roman"/>
            <w:color w:val="0000FF" w:themeColor="hyperlink"/>
            <w:sz w:val="26"/>
            <w:szCs w:val="26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26"/>
          <w:szCs w:val="26"/>
          <w:lang w:eastAsia="pl-PL"/>
        </w:rPr>
        <w:t xml:space="preserve"> w rubryce  ,,Wykres do przemyślenia” w okresie od 23 grudnia 2015 roku </w:t>
      </w:r>
      <w:r w:rsidRPr="00B37EB6">
        <w:rPr>
          <w:rFonts w:eastAsia="Times New Roman" w:cs="Times New Roman"/>
          <w:sz w:val="30"/>
          <w:szCs w:val="30"/>
          <w:lang w:eastAsia="pl-PL"/>
        </w:rPr>
        <w:t xml:space="preserve">do 1 kwietnia 2016 roku  </w:t>
      </w:r>
      <w:r w:rsidRPr="00B37EB6"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23.12.2015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01.04.2016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P.A. Nova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21,50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19,50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-9,3 %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 xml:space="preserve">  -9,3  %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1 879,75 pkt.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1 973,24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+5,0 %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37EB6">
        <w:rPr>
          <w:rFonts w:eastAsia="Times New Roman" w:cs="Times New Roman"/>
          <w:lang w:eastAsia="pl-PL"/>
        </w:rPr>
        <w:t xml:space="preserve">Tabela: Procentowa zmiana cen akcji trzech spółek, których akcje zostały umieszczone w dniu 15 lutego 2016 roku na stronie internetowej </w:t>
      </w:r>
      <w:hyperlink r:id="rId41" w:history="1">
        <w:r w:rsidRPr="00B37EB6">
          <w:rPr>
            <w:rFonts w:eastAsia="Times New Roman" w:cs="Times New Roman"/>
            <w:color w:val="0000FF" w:themeColor="hyperlink"/>
            <w:u w:val="single"/>
            <w:lang w:eastAsia="pl-PL"/>
          </w:rPr>
          <w:t>http://analizy-rynkowe.pl/</w:t>
        </w:r>
      </w:hyperlink>
      <w:r w:rsidRPr="00B37EB6">
        <w:rPr>
          <w:rFonts w:eastAsia="Times New Roman" w:cs="Times New Roman"/>
          <w:lang w:eastAsia="pl-PL"/>
        </w:rPr>
        <w:t xml:space="preserve"> w rubryce ,,Wykres do przemyślenia” w okresie od 12 lutego </w:t>
      </w:r>
      <w:r w:rsidRPr="00B37EB6">
        <w:rPr>
          <w:rFonts w:eastAsia="Times New Roman" w:cs="Times New Roman"/>
          <w:sz w:val="30"/>
          <w:szCs w:val="30"/>
          <w:lang w:eastAsia="pl-PL"/>
        </w:rPr>
        <w:t xml:space="preserve">do 1 kwietnia 2016 roku  </w:t>
      </w:r>
      <w:r w:rsidRPr="00B37EB6">
        <w:rPr>
          <w:rFonts w:eastAsia="Times New Roman" w:cs="Times New Roman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12.02.2016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01.04.2016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Efekt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17,63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19,32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+9,6 %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 mBank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323,00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340,05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+5,1 %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Tesgas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  3,23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  3,50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+8,4  %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 xml:space="preserve">  + 7,7 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1 765,53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1 973,24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  +11,8 %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B37EB6"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18 lutego 2016 roku na stronie internetowej </w:t>
      </w:r>
      <w:hyperlink r:id="rId42" w:history="1">
        <w:r w:rsidRPr="00B37EB6">
          <w:rPr>
            <w:rFonts w:eastAsia="Times New Roman" w:cs="Times New Roman"/>
            <w:color w:val="0000FF" w:themeColor="hyperlink"/>
            <w:sz w:val="26"/>
            <w:szCs w:val="26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sz w:val="26"/>
          <w:szCs w:val="26"/>
          <w:lang w:eastAsia="pl-PL"/>
        </w:rPr>
        <w:t xml:space="preserve"> w rubryce  ,,Wykres do przemyślenia” w okresie od 17 lutego </w:t>
      </w:r>
      <w:r w:rsidRPr="00B37EB6">
        <w:rPr>
          <w:rFonts w:eastAsia="Times New Roman" w:cs="Times New Roman"/>
          <w:sz w:val="30"/>
          <w:szCs w:val="30"/>
          <w:lang w:eastAsia="pl-PL"/>
        </w:rPr>
        <w:t xml:space="preserve">do 1 kwietnia 2016 roku  </w:t>
      </w:r>
      <w:r w:rsidRPr="00B37EB6"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17.02.2016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Poziom – 01.04.2016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Comarch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131,00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+12,9 %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37EB6">
              <w:rPr>
                <w:rFonts w:eastAsiaTheme="minorEastAsia"/>
                <w:color w:val="000000" w:themeColor="text1"/>
                <w:lang w:eastAsia="pl-PL"/>
              </w:rPr>
              <w:t xml:space="preserve">    7,25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37EB6">
              <w:rPr>
                <w:rFonts w:eastAsiaTheme="minorEastAsia"/>
                <w:color w:val="000000" w:themeColor="text1"/>
                <w:lang w:eastAsia="pl-PL"/>
              </w:rPr>
              <w:t xml:space="preserve">    8,56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B37EB6">
              <w:rPr>
                <w:rFonts w:eastAsiaTheme="minorEastAsia"/>
                <w:color w:val="000000" w:themeColor="text1"/>
                <w:lang w:eastAsia="pl-PL"/>
              </w:rPr>
              <w:t>+18,1 %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B37EB6">
              <w:rPr>
                <w:rFonts w:eastAsiaTheme="minorEastAsia"/>
                <w:b/>
                <w:color w:val="FF0000"/>
                <w:lang w:eastAsia="pl-PL"/>
              </w:rPr>
              <w:t>+15,5 %</w:t>
            </w:r>
          </w:p>
        </w:tc>
      </w:tr>
      <w:tr w:rsidR="001A1BB9" w:rsidRPr="00B37EB6" w:rsidTr="00E144B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 xml:space="preserve">1 847,06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1 973,24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B9" w:rsidRPr="00B37EB6" w:rsidRDefault="001A1BB9" w:rsidP="00E144B4">
            <w:pPr>
              <w:jc w:val="center"/>
              <w:rPr>
                <w:rFonts w:eastAsiaTheme="minorEastAsia"/>
                <w:lang w:eastAsia="pl-PL"/>
              </w:rPr>
            </w:pPr>
            <w:r w:rsidRPr="00B37EB6">
              <w:rPr>
                <w:rFonts w:eastAsiaTheme="minorEastAsia"/>
                <w:lang w:eastAsia="pl-PL"/>
              </w:rPr>
              <w:t>+6,8 %</w:t>
            </w:r>
          </w:p>
        </w:tc>
      </w:tr>
    </w:tbl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50"/>
          <w:szCs w:val="50"/>
          <w:u w:val="single"/>
          <w:lang w:eastAsia="pl-PL"/>
        </w:rPr>
      </w:pPr>
      <w:r w:rsidRPr="00B37EB6">
        <w:rPr>
          <w:rFonts w:eastAsia="Times New Roman" w:cs="Times New Roman"/>
          <w:sz w:val="50"/>
          <w:szCs w:val="50"/>
          <w:lang w:eastAsia="pl-PL"/>
        </w:rPr>
        <w:t xml:space="preserve">Spółek, </w:t>
      </w:r>
      <w:r w:rsidRPr="00B37EB6">
        <w:rPr>
          <w:rFonts w:eastAsia="Times New Roman" w:cs="Times New Roman"/>
          <w:sz w:val="50"/>
          <w:szCs w:val="50"/>
          <w:u w:val="single"/>
          <w:lang w:eastAsia="pl-PL"/>
        </w:rPr>
        <w:t>dla których nie można jeszcze obliczyć</w:t>
      </w:r>
      <w:r w:rsidRPr="00B37EB6">
        <w:rPr>
          <w:rFonts w:eastAsia="Times New Roman" w:cs="Times New Roman"/>
          <w:sz w:val="50"/>
          <w:szCs w:val="50"/>
          <w:lang w:eastAsia="pl-PL"/>
        </w:rPr>
        <w:t xml:space="preserve"> procentowej zmiany kursu akcji po wprowadzeniu jej do rubryki ,,Wykres do przemyślenia” w okresie 12 pierwszych miesięcy po jej wprowadzeniu do tej rubryki </w:t>
      </w:r>
      <w:r w:rsidRPr="00B37EB6">
        <w:rPr>
          <w:rFonts w:eastAsia="Times New Roman" w:cs="Times New Roman"/>
          <w:sz w:val="50"/>
          <w:szCs w:val="50"/>
          <w:u w:val="single"/>
          <w:lang w:eastAsia="pl-PL"/>
        </w:rPr>
        <w:t xml:space="preserve">jest </w:t>
      </w:r>
      <w:r w:rsidRPr="00B37EB6">
        <w:rPr>
          <w:rFonts w:eastAsia="Times New Roman" w:cs="Times New Roman"/>
          <w:b/>
          <w:sz w:val="50"/>
          <w:szCs w:val="50"/>
          <w:u w:val="single"/>
          <w:lang w:eastAsia="pl-PL"/>
        </w:rPr>
        <w:t>23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50"/>
          <w:szCs w:val="50"/>
          <w:lang w:eastAsia="pl-PL"/>
        </w:rPr>
      </w:pPr>
      <w:r w:rsidRPr="00B37EB6">
        <w:rPr>
          <w:rFonts w:eastAsia="Times New Roman" w:cs="Times New Roman"/>
          <w:sz w:val="50"/>
          <w:szCs w:val="50"/>
          <w:lang w:eastAsia="pl-PL"/>
        </w:rPr>
        <w:t xml:space="preserve">W odniesieniu do tej grupy </w:t>
      </w:r>
      <w:r w:rsidRPr="00B37EB6">
        <w:rPr>
          <w:rFonts w:eastAsia="Times New Roman" w:cs="Times New Roman"/>
          <w:b/>
          <w:sz w:val="50"/>
          <w:szCs w:val="50"/>
          <w:u w:val="single"/>
          <w:lang w:eastAsia="pl-PL"/>
        </w:rPr>
        <w:t>23 spółki</w:t>
      </w:r>
      <w:r w:rsidRPr="00B37EB6">
        <w:rPr>
          <w:rFonts w:eastAsia="Times New Roman" w:cs="Times New Roman"/>
          <w:sz w:val="50"/>
          <w:szCs w:val="50"/>
          <w:lang w:eastAsia="pl-PL"/>
        </w:rPr>
        <w:t xml:space="preserve"> można sformułować następujący wniosek: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50"/>
          <w:szCs w:val="50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50"/>
          <w:szCs w:val="50"/>
          <w:u w:val="single"/>
          <w:lang w:eastAsia="pl-PL"/>
        </w:rPr>
      </w:pPr>
      <w:r w:rsidRPr="00B37EB6">
        <w:rPr>
          <w:rFonts w:eastAsia="Times New Roman" w:cs="Times New Roman"/>
          <w:sz w:val="50"/>
          <w:szCs w:val="50"/>
          <w:u w:val="single"/>
          <w:lang w:eastAsia="pl-PL"/>
        </w:rPr>
        <w:t xml:space="preserve">Wniosek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50"/>
          <w:szCs w:val="50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b/>
          <w:sz w:val="72"/>
          <w:szCs w:val="72"/>
          <w:lang w:eastAsia="pl-PL"/>
        </w:rPr>
      </w:pPr>
      <w:r w:rsidRPr="00B37EB6">
        <w:rPr>
          <w:rFonts w:eastAsia="Times New Roman" w:cs="Times New Roman"/>
          <w:sz w:val="72"/>
          <w:szCs w:val="72"/>
          <w:lang w:eastAsia="pl-PL"/>
        </w:rPr>
        <w:t xml:space="preserve">Warto zauważyć, że </w:t>
      </w:r>
      <w:r w:rsidRPr="00B37EB6">
        <w:rPr>
          <w:rFonts w:eastAsia="Times New Roman" w:cs="Times New Roman"/>
          <w:b/>
          <w:color w:val="000000" w:themeColor="text1"/>
          <w:sz w:val="72"/>
          <w:szCs w:val="72"/>
          <w:lang w:eastAsia="pl-PL"/>
        </w:rPr>
        <w:t xml:space="preserve">spośród </w:t>
      </w:r>
      <w:r w:rsidRPr="00B37EB6">
        <w:rPr>
          <w:rFonts w:eastAsia="Times New Roman" w:cs="Times New Roman"/>
          <w:b/>
          <w:color w:val="000000" w:themeColor="text1"/>
          <w:sz w:val="72"/>
          <w:szCs w:val="72"/>
          <w:u w:val="single"/>
          <w:lang w:eastAsia="pl-PL"/>
        </w:rPr>
        <w:t>23 spółek</w:t>
      </w:r>
      <w:r w:rsidRPr="00B37EB6">
        <w:rPr>
          <w:rFonts w:eastAsia="Times New Roman" w:cs="Times New Roman"/>
          <w:sz w:val="72"/>
          <w:szCs w:val="72"/>
          <w:lang w:eastAsia="pl-PL"/>
        </w:rPr>
        <w:t xml:space="preserve"> (których lista </w:t>
      </w:r>
      <w:r w:rsidRPr="00B37EB6">
        <w:rPr>
          <w:rFonts w:eastAsia="Times New Roman" w:cs="Times New Roman"/>
          <w:b/>
          <w:sz w:val="72"/>
          <w:szCs w:val="72"/>
          <w:lang w:eastAsia="pl-PL"/>
        </w:rPr>
        <w:t xml:space="preserve">opublikowana jest na str. 17-22)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72"/>
          <w:szCs w:val="72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b/>
          <w:sz w:val="72"/>
          <w:szCs w:val="72"/>
          <w:lang w:eastAsia="pl-PL"/>
        </w:rPr>
      </w:pPr>
      <w:r w:rsidRPr="00B37EB6">
        <w:rPr>
          <w:rFonts w:eastAsia="Times New Roman" w:cs="Times New Roman"/>
          <w:b/>
          <w:sz w:val="72"/>
          <w:szCs w:val="72"/>
          <w:lang w:eastAsia="pl-PL"/>
        </w:rPr>
        <w:t xml:space="preserve">kursy akcji </w:t>
      </w:r>
      <w:r w:rsidRPr="00B37EB6">
        <w:rPr>
          <w:rFonts w:eastAsia="Times New Roman" w:cs="Times New Roman"/>
          <w:b/>
          <w:color w:val="FF0000"/>
          <w:sz w:val="72"/>
          <w:szCs w:val="72"/>
          <w:lang w:eastAsia="pl-PL"/>
        </w:rPr>
        <w:t>18 spółek</w:t>
      </w:r>
      <w:r w:rsidRPr="00B37EB6">
        <w:rPr>
          <w:rFonts w:eastAsia="Times New Roman" w:cs="Times New Roman"/>
          <w:sz w:val="72"/>
          <w:szCs w:val="72"/>
          <w:lang w:eastAsia="pl-PL"/>
        </w:rPr>
        <w:t xml:space="preserve"> od momentu owego zakwalifikowania do tej rubryki do dnia 1 kwietnia 2016 roku zachowywały się </w:t>
      </w:r>
      <w:r w:rsidRPr="00B37EB6">
        <w:rPr>
          <w:rFonts w:eastAsia="Times New Roman" w:cs="Times New Roman"/>
          <w:b/>
          <w:color w:val="FF0000"/>
          <w:sz w:val="72"/>
          <w:szCs w:val="72"/>
          <w:u w:val="single"/>
          <w:lang w:eastAsia="pl-PL"/>
        </w:rPr>
        <w:t>lepiej</w:t>
      </w:r>
      <w:r w:rsidRPr="00B37EB6">
        <w:rPr>
          <w:rFonts w:eastAsia="Times New Roman" w:cs="Times New Roman"/>
          <w:b/>
          <w:color w:val="FF0000"/>
          <w:sz w:val="72"/>
          <w:szCs w:val="72"/>
          <w:lang w:eastAsia="pl-PL"/>
        </w:rPr>
        <w:t xml:space="preserve"> od indeksu WIG20</w:t>
      </w:r>
      <w:r w:rsidRPr="00B37EB6">
        <w:rPr>
          <w:rFonts w:eastAsia="Times New Roman" w:cs="Times New Roman"/>
          <w:b/>
          <w:sz w:val="72"/>
          <w:szCs w:val="72"/>
          <w:lang w:eastAsia="pl-PL"/>
        </w:rPr>
        <w:t xml:space="preserve"> a 5 </w:t>
      </w:r>
      <w:r w:rsidRPr="00B37EB6">
        <w:rPr>
          <w:rFonts w:eastAsia="Times New Roman" w:cs="Times New Roman"/>
          <w:b/>
          <w:sz w:val="72"/>
          <w:szCs w:val="72"/>
          <w:u w:val="single"/>
          <w:lang w:eastAsia="pl-PL"/>
        </w:rPr>
        <w:t xml:space="preserve">gorzej </w:t>
      </w:r>
      <w:r w:rsidRPr="00B37EB6">
        <w:rPr>
          <w:rFonts w:eastAsia="Times New Roman" w:cs="Times New Roman"/>
          <w:b/>
          <w:sz w:val="72"/>
          <w:szCs w:val="72"/>
          <w:lang w:eastAsia="pl-PL"/>
        </w:rPr>
        <w:t xml:space="preserve">od indeksu WIG20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color w:val="FF0000"/>
          <w:sz w:val="66"/>
          <w:szCs w:val="66"/>
          <w:lang w:eastAsia="pl-PL"/>
        </w:rPr>
      </w:pPr>
      <w:r w:rsidRPr="00B37EB6">
        <w:rPr>
          <w:rFonts w:eastAsia="Times New Roman" w:cs="Times New Roman"/>
          <w:sz w:val="66"/>
          <w:szCs w:val="66"/>
          <w:lang w:eastAsia="pl-PL"/>
        </w:rPr>
        <w:t xml:space="preserve">Uwaga ! – na poprzedniej stronie przedstawiłem wyniki badań dotyczących zachowania kursów akcji tych spółek, które znalazły się w rubryce ,,Wykres do przemyślenia” </w:t>
      </w:r>
      <w:r w:rsidRPr="00B37EB6">
        <w:rPr>
          <w:rFonts w:eastAsia="Times New Roman" w:cs="Times New Roman"/>
          <w:b/>
          <w:color w:val="FF0000"/>
          <w:sz w:val="66"/>
          <w:szCs w:val="66"/>
          <w:u w:val="single"/>
          <w:lang w:eastAsia="pl-PL"/>
        </w:rPr>
        <w:t>na przestrzeni ostatnich 12 miesięcy.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  <w:r w:rsidRPr="00B37EB6">
        <w:rPr>
          <w:rFonts w:eastAsia="Times New Roman" w:cs="Times New Roman"/>
          <w:sz w:val="66"/>
          <w:szCs w:val="66"/>
          <w:lang w:eastAsia="pl-PL"/>
        </w:rPr>
        <w:t xml:space="preserve">Spółki te będę starał się na prowadzonej przeze mnie stronie internetowej  </w:t>
      </w:r>
      <w:hyperlink r:id="rId43" w:history="1">
        <w:r w:rsidRPr="00B37EB6">
          <w:rPr>
            <w:rFonts w:eastAsia="Times New Roman" w:cs="Times New Roman"/>
            <w:color w:val="0000FF" w:themeColor="hyperlink"/>
            <w:sz w:val="66"/>
            <w:szCs w:val="66"/>
            <w:u w:val="single"/>
            <w:lang w:eastAsia="pl-PL"/>
          </w:rPr>
          <w:t>http://analizy-rynkowe.pl/</w:t>
        </w:r>
      </w:hyperlink>
      <w:r w:rsidRPr="00B37EB6">
        <w:rPr>
          <w:rFonts w:eastAsia="Times New Roman" w:cs="Times New Roman"/>
          <w:sz w:val="66"/>
          <w:szCs w:val="66"/>
          <w:lang w:eastAsia="pl-PL"/>
        </w:rPr>
        <w:t xml:space="preserve"> </w:t>
      </w:r>
      <w:r w:rsidRPr="00B37EB6">
        <w:rPr>
          <w:rFonts w:eastAsia="Times New Roman" w:cs="Times New Roman"/>
          <w:b/>
          <w:color w:val="FF0000"/>
          <w:sz w:val="66"/>
          <w:szCs w:val="66"/>
          <w:u w:val="single"/>
          <w:lang w:eastAsia="pl-PL"/>
        </w:rPr>
        <w:t>otaczać szczególną opieką intelektualną</w:t>
      </w:r>
      <w:r w:rsidRPr="00B37EB6">
        <w:rPr>
          <w:rFonts w:eastAsia="Times New Roman" w:cs="Times New Roman"/>
          <w:color w:val="FF0000"/>
          <w:sz w:val="66"/>
          <w:szCs w:val="66"/>
          <w:lang w:eastAsia="pl-PL"/>
        </w:rPr>
        <w:t xml:space="preserve"> </w:t>
      </w:r>
      <w:r w:rsidRPr="00B37EB6">
        <w:rPr>
          <w:rFonts w:eastAsia="Times New Roman" w:cs="Times New Roman"/>
          <w:sz w:val="66"/>
          <w:szCs w:val="66"/>
          <w:lang w:eastAsia="pl-PL"/>
        </w:rPr>
        <w:t xml:space="preserve">to znaczy analizy publikowane na tej stronie będą w znacznej mierzy dotyczyć właśnie tych spółek.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sz w:val="66"/>
          <w:szCs w:val="66"/>
          <w:lang w:eastAsia="pl-PL"/>
        </w:rPr>
      </w:pPr>
    </w:p>
    <w:p w:rsidR="001A1BB9" w:rsidRPr="00B37EB6" w:rsidRDefault="001A1BB9" w:rsidP="001A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 w:rsidRPr="00B37EB6"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t>Generalny wniosek:</w:t>
      </w:r>
    </w:p>
    <w:p w:rsidR="001A1BB9" w:rsidRPr="00B37EB6" w:rsidRDefault="001A1BB9" w:rsidP="001A1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</w:pPr>
      <w:r w:rsidRPr="00B37EB6">
        <w:rPr>
          <w:rFonts w:eastAsia="Times New Roman" w:cs="Times New Roman"/>
          <w:b/>
          <w:color w:val="FFFFFF" w:themeColor="background1"/>
          <w:sz w:val="104"/>
          <w:szCs w:val="104"/>
          <w:lang w:eastAsia="pl-PL"/>
        </w:rPr>
        <w:t>kursy akcji spółki po wprowadzeniu jej do rubryki ,,Wykres do przemyślenia” zasadniczo rzecz biorąc wykazują relatywną przewagę nad indeksem WIG20</w:t>
      </w:r>
    </w:p>
    <w:p w:rsidR="001A1BB9" w:rsidRPr="00B37EB6" w:rsidRDefault="001A1BB9" w:rsidP="001A1BB9">
      <w:pPr>
        <w:rPr>
          <w:rFonts w:eastAsia="Times New Roman" w:cs="Times New Roman"/>
          <w:lang w:eastAsia="pl-PL"/>
        </w:rPr>
      </w:pPr>
    </w:p>
    <w:p w:rsidR="001A1BB9" w:rsidRPr="00B37EB6" w:rsidRDefault="001A1BB9" w:rsidP="001A1BB9">
      <w:pPr>
        <w:rPr>
          <w:rFonts w:eastAsia="Times New Roman" w:cs="Times New Roman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B37EB6">
        <w:rPr>
          <w:rFonts w:eastAsia="Times New Roman" w:cs="Times New Roman"/>
          <w:b/>
          <w:lang w:eastAsia="pl-PL"/>
        </w:rPr>
        <w:t>Wnioski końcowe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A1BB9" w:rsidRPr="00B37EB6" w:rsidRDefault="001A1BB9" w:rsidP="001A1BB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  <w:r w:rsidRPr="00B37EB6">
        <w:rPr>
          <w:rFonts w:eastAsia="Times New Roman" w:cs="Times New Roman"/>
          <w:color w:val="000000" w:themeColor="text1"/>
          <w:lang w:eastAsia="pl-PL"/>
        </w:rPr>
        <w:t xml:space="preserve">Kurs </w:t>
      </w:r>
      <w:r w:rsidRPr="00B37EB6">
        <w:rPr>
          <w:rFonts w:eastAsia="Times New Roman" w:cs="Times New Roman"/>
          <w:lang w:eastAsia="pl-PL"/>
        </w:rPr>
        <w:t xml:space="preserve">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 w:rsidRPr="00B37EB6">
        <w:rPr>
          <w:rFonts w:eastAsia="Times New Roman" w:cs="Times New Roman"/>
          <w:b/>
          <w:color w:val="FF0000"/>
          <w:lang w:eastAsia="pl-PL"/>
        </w:rPr>
        <w:t xml:space="preserve">do 4,4252 zł. </w:t>
      </w:r>
    </w:p>
    <w:p w:rsidR="001A1BB9" w:rsidRPr="00B37EB6" w:rsidRDefault="001A1BB9" w:rsidP="001A1BB9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</w:p>
    <w:p w:rsidR="001A1BB9" w:rsidRPr="00B37EB6" w:rsidRDefault="001A1BB9" w:rsidP="001A1BB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  <w:r w:rsidRPr="00B37EB6">
        <w:rPr>
          <w:rFonts w:eastAsia="Times New Roman" w:cs="Times New Roman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4,3607 zł. Dojście do oporu (szczyt z 26 grudnia 2014 roku) może osłabiło kursu euro (w złotych). W piątek 15 stycznia popyt zaatakował. Przebite zostało roczne maksimum. Można oczekiwać wzrostu w kierunku </w:t>
      </w:r>
      <w:r w:rsidRPr="00B37EB6">
        <w:rPr>
          <w:rFonts w:eastAsia="Times New Roman" w:cs="Times New Roman"/>
          <w:b/>
          <w:color w:val="FF0000"/>
          <w:lang w:eastAsia="pl-PL"/>
        </w:rPr>
        <w:t>4,5644</w:t>
      </w:r>
      <w:r w:rsidRPr="00B37EB6">
        <w:rPr>
          <w:rFonts w:eastAsia="Times New Roman" w:cs="Times New Roman"/>
          <w:color w:val="FF0000"/>
          <w:lang w:eastAsia="pl-PL"/>
        </w:rPr>
        <w:t xml:space="preserve"> </w:t>
      </w:r>
      <w:r w:rsidRPr="00B37EB6">
        <w:rPr>
          <w:rFonts w:eastAsia="Times New Roman" w:cs="Times New Roman"/>
          <w:lang w:eastAsia="pl-PL"/>
        </w:rPr>
        <w:t>(szczyt z 13 grudnia 2011 roku).</w:t>
      </w:r>
    </w:p>
    <w:p w:rsidR="001A1BB9" w:rsidRPr="00B37EB6" w:rsidRDefault="001A1BB9" w:rsidP="001A1BB9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1A1BB9" w:rsidRPr="00B37EB6" w:rsidRDefault="001A1BB9" w:rsidP="001A1BB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  <w:r w:rsidRPr="00B37EB6">
        <w:rPr>
          <w:rFonts w:eastAsia="Times New Roman" w:cs="Times New Roman"/>
          <w:b/>
          <w:color w:val="000000" w:themeColor="text1"/>
          <w:lang w:eastAsia="pl-PL"/>
        </w:rPr>
        <w:t>Aktualnie na wykresie cen kontraktów terminowych na ropę naftową doszliśmy do spadkowej linii trendu</w:t>
      </w:r>
      <w:r w:rsidRPr="00B37EB6">
        <w:rPr>
          <w:rFonts w:eastAsia="Times New Roman" w:cs="Times New Roman"/>
          <w:color w:val="000000" w:themeColor="text1"/>
          <w:lang w:eastAsia="pl-PL"/>
        </w:rPr>
        <w:t xml:space="preserve"> poprowadzonej przez ważne szczyty. Układ średni średnich ruchomych jest typowy dla długoterminowej bessy. </w:t>
      </w:r>
      <w:r w:rsidRPr="00B37EB6">
        <w:rPr>
          <w:rFonts w:eastAsia="Times New Roman" w:cs="Times New Roman"/>
          <w:b/>
          <w:color w:val="000000" w:themeColor="text1"/>
          <w:lang w:eastAsia="pl-PL"/>
        </w:rPr>
        <w:t xml:space="preserve">W tej sytuacji pojawia się ryzyko rozpoczęcia spadków </w:t>
      </w:r>
      <w:r w:rsidRPr="00B37EB6">
        <w:rPr>
          <w:rFonts w:eastAsia="Times New Roman" w:cs="Times New Roman"/>
          <w:color w:val="000000" w:themeColor="text1"/>
          <w:lang w:eastAsia="pl-PL"/>
        </w:rPr>
        <w:t xml:space="preserve">cen kontraktów terminowych na ropę naftową a w konsekwencji spadków </w:t>
      </w:r>
      <w:r w:rsidRPr="00B37EB6">
        <w:rPr>
          <w:rFonts w:eastAsia="Times New Roman" w:cs="Times New Roman"/>
          <w:b/>
          <w:color w:val="000000" w:themeColor="text1"/>
          <w:lang w:eastAsia="pl-PL"/>
        </w:rPr>
        <w:t>indeksu WIG20</w:t>
      </w:r>
      <w:r w:rsidRPr="00B37EB6">
        <w:rPr>
          <w:rFonts w:eastAsia="Times New Roman" w:cs="Times New Roman"/>
          <w:color w:val="000000" w:themeColor="text1"/>
          <w:lang w:eastAsia="pl-PL"/>
        </w:rPr>
        <w:t>. Naturalnie pewności nie ma, ale ryzyko takie występuje.</w:t>
      </w:r>
    </w:p>
    <w:p w:rsidR="001A1BB9" w:rsidRPr="00B37EB6" w:rsidRDefault="001A1BB9" w:rsidP="001A1BB9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1A1BB9" w:rsidRPr="00B37EB6" w:rsidRDefault="001A1BB9" w:rsidP="001A1BB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B37EB6">
        <w:rPr>
          <w:rFonts w:eastAsia="Times New Roman" w:cs="Times New Roman"/>
          <w:b/>
          <w:color w:val="000000" w:themeColor="text1"/>
          <w:lang w:eastAsia="pl-PL"/>
        </w:rPr>
        <w:t>Doświadczenie uczy, że nawet w okresach stosunkowo silnych spadków indeksu WIG20 niektóre indeksy</w:t>
      </w:r>
      <w:r w:rsidRPr="00B37EB6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B37EB6">
        <w:rPr>
          <w:rFonts w:eastAsia="Times New Roman" w:cs="Times New Roman"/>
          <w:b/>
          <w:color w:val="000000" w:themeColor="text1"/>
          <w:lang w:eastAsia="pl-PL"/>
        </w:rPr>
        <w:t>branżowe</w:t>
      </w:r>
      <w:r w:rsidRPr="00B37EB6">
        <w:rPr>
          <w:rFonts w:eastAsia="Times New Roman" w:cs="Times New Roman"/>
          <w:color w:val="000000" w:themeColor="text1"/>
          <w:lang w:eastAsia="pl-PL"/>
        </w:rPr>
        <w:t xml:space="preserve"> (obliczane przez Giełdę Papierów Wartościowych w Warszawie oraz przez portal </w:t>
      </w:r>
      <w:hyperlink r:id="rId44" w:history="1">
        <w:r w:rsidRPr="00B37EB6">
          <w:rPr>
            <w:rFonts w:eastAsia="Times New Roman" w:cs="Times New Roman"/>
            <w:color w:val="0000FF" w:themeColor="hyperlink"/>
            <w:u w:val="single"/>
            <w:lang w:eastAsia="pl-PL"/>
          </w:rPr>
          <w:t>http://stooq.pl/</w:t>
        </w:r>
      </w:hyperlink>
      <w:r w:rsidRPr="00B37EB6">
        <w:rPr>
          <w:rFonts w:eastAsia="Times New Roman" w:cs="Times New Roman"/>
          <w:color w:val="000000" w:themeColor="text1"/>
          <w:lang w:eastAsia="pl-PL"/>
        </w:rPr>
        <w:t xml:space="preserve">)  </w:t>
      </w:r>
      <w:r w:rsidRPr="00B37EB6">
        <w:rPr>
          <w:rFonts w:eastAsia="Times New Roman" w:cs="Times New Roman"/>
          <w:b/>
          <w:color w:val="000000" w:themeColor="text1"/>
          <w:lang w:eastAsia="pl-PL"/>
        </w:rPr>
        <w:t>mogą zachowywać się stosunkowo mocno</w:t>
      </w:r>
      <w:r w:rsidRPr="00B37EB6">
        <w:rPr>
          <w:rFonts w:eastAsia="Times New Roman" w:cs="Times New Roman"/>
          <w:color w:val="000000" w:themeColor="text1"/>
          <w:lang w:eastAsia="pl-PL"/>
        </w:rPr>
        <w:t xml:space="preserve">. W tym kontekście </w:t>
      </w:r>
      <w:r w:rsidRPr="00B37EB6">
        <w:rPr>
          <w:rFonts w:eastAsia="Times New Roman" w:cs="Times New Roman"/>
          <w:b/>
          <w:color w:val="000000" w:themeColor="text1"/>
          <w:lang w:eastAsia="pl-PL"/>
        </w:rPr>
        <w:t>moją uwagę zwraca</w:t>
      </w:r>
      <w:r w:rsidRPr="00B37EB6">
        <w:rPr>
          <w:rFonts w:eastAsia="Times New Roman" w:cs="Times New Roman"/>
          <w:color w:val="000000" w:themeColor="text1"/>
          <w:lang w:eastAsia="pl-PL"/>
        </w:rPr>
        <w:t xml:space="preserve"> publikowany przez portal </w:t>
      </w:r>
      <w:hyperlink r:id="rId45" w:history="1">
        <w:r w:rsidRPr="00B37EB6">
          <w:rPr>
            <w:rFonts w:eastAsia="Times New Roman" w:cs="Times New Roman"/>
            <w:color w:val="0000FF" w:themeColor="hyperlink"/>
            <w:u w:val="single"/>
            <w:lang w:eastAsia="pl-PL"/>
          </w:rPr>
          <w:t>http://stooq.pl/</w:t>
        </w:r>
      </w:hyperlink>
      <w:r w:rsidRPr="00B37EB6">
        <w:rPr>
          <w:rFonts w:eastAsia="Times New Roman" w:cs="Times New Roman"/>
          <w:color w:val="000000" w:themeColor="text1"/>
          <w:lang w:eastAsia="pl-PL"/>
        </w:rPr>
        <w:t xml:space="preserve">  </w:t>
      </w:r>
      <w:r w:rsidRPr="00B37EB6">
        <w:rPr>
          <w:rFonts w:eastAsia="Times New Roman" w:cs="Times New Roman"/>
          <w:b/>
          <w:color w:val="000000" w:themeColor="text1"/>
          <w:lang w:eastAsia="pl-PL"/>
        </w:rPr>
        <w:t xml:space="preserve">indeks branży  materiałów budowlanych. </w:t>
      </w:r>
      <w:r w:rsidRPr="00B37EB6">
        <w:rPr>
          <w:rFonts w:eastAsia="Times New Roman" w:cs="Times New Roman"/>
          <w:color w:val="000000" w:themeColor="text1"/>
          <w:lang w:eastAsia="pl-PL"/>
        </w:rPr>
        <w:t xml:space="preserve">Na wykresie indeksu branży materiałów budowlanych doszło do wybicia z formacji podwójnego dna. Gdyby formacja ta miała się wypełnić powinno dojść do wzrostu tego indeksu </w:t>
      </w:r>
      <w:r w:rsidRPr="00B37EB6">
        <w:rPr>
          <w:rFonts w:eastAsia="Times New Roman" w:cs="Times New Roman"/>
          <w:b/>
          <w:color w:val="FF0000"/>
          <w:lang w:eastAsia="pl-PL"/>
        </w:rPr>
        <w:t>o 22,6 %.</w:t>
      </w:r>
      <w:r w:rsidRPr="00B37EB6">
        <w:rPr>
          <w:rFonts w:eastAsia="Times New Roman" w:cs="Times New Roman"/>
          <w:color w:val="000000" w:themeColor="text1"/>
          <w:lang w:eastAsia="pl-PL"/>
        </w:rPr>
        <w:t xml:space="preserve">Warto zauważyć, że w rubryce ,,Wykres do przemyślenia” umieszczone zostały 3 spółki z branży deweloperskiej - </w:t>
      </w:r>
      <w:r w:rsidRPr="00B37EB6">
        <w:rPr>
          <w:rFonts w:eastAsia="Times New Roman" w:cs="Times New Roman"/>
          <w:b/>
          <w:color w:val="FF0000"/>
          <w:lang w:eastAsia="pl-PL"/>
        </w:rPr>
        <w:t xml:space="preserve">Ceramika Nowa Gala, Mercor i Ropczyce. </w:t>
      </w:r>
    </w:p>
    <w:p w:rsidR="001A1BB9" w:rsidRPr="00B37EB6" w:rsidRDefault="001A1BB9" w:rsidP="001A1BB9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37EB6">
        <w:rPr>
          <w:rFonts w:eastAsia="Times New Roman" w:cs="Times New Roman"/>
          <w:lang w:eastAsia="pl-PL"/>
        </w:rPr>
        <w:t>Opracował: Sławomir Kłusek, 4 kwietnia 2016 roku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37EB6">
        <w:rPr>
          <w:rFonts w:eastAsia="Times New Roman" w:cs="Times New Roman"/>
          <w:lang w:eastAsia="pl-PL"/>
        </w:rPr>
        <w:t xml:space="preserve">Powyższy raport stanowi wyłącznie wyraz osobistych opinii autora. 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37EB6">
        <w:rPr>
          <w:rFonts w:eastAsia="Times New Roman" w:cs="Times New Roman"/>
          <w:lang w:eastAsia="pl-PL"/>
        </w:rPr>
        <w:t xml:space="preserve">Treści zawarte na stronie internetowej </w:t>
      </w:r>
      <w:hyperlink r:id="rId46" w:history="1">
        <w:r w:rsidRPr="00B37EB6">
          <w:rPr>
            <w:rFonts w:eastAsia="Times New Roman" w:cs="Times New Roman"/>
            <w:color w:val="0000FF" w:themeColor="hyperlink"/>
            <w:u w:val="single"/>
            <w:lang w:eastAsia="pl-PL"/>
          </w:rPr>
          <w:t>www.analizy-rynkowe.pl</w:t>
        </w:r>
      </w:hyperlink>
      <w:r w:rsidRPr="00B37EB6">
        <w:rPr>
          <w:rFonts w:eastAsia="Times New Roman" w:cs="Times New Roman"/>
          <w:lang w:eastAsia="pl-PL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(Dz.U. z 2005 r. Nr 206, poz. 1715).</w:t>
      </w:r>
    </w:p>
    <w:p w:rsidR="001A1BB9" w:rsidRPr="00B37EB6" w:rsidRDefault="001A1BB9" w:rsidP="001A1BB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Theme="minorEastAsia"/>
          <w:lang w:eastAsia="pl-PL"/>
        </w:rPr>
      </w:pPr>
      <w:r w:rsidRPr="00B37EB6">
        <w:rPr>
          <w:rFonts w:eastAsia="Times New Roman" w:cs="Times New Roman"/>
          <w:lang w:eastAsia="pl-PL"/>
        </w:rPr>
        <w:t xml:space="preserve">Autor nie ponosi odpowiedzialności za jakiekolwiek decyzje inwestycyjne podjęte na podstawie treści zawartych na stronie internetowej </w:t>
      </w:r>
      <w:hyperlink r:id="rId47" w:history="1">
        <w:r w:rsidRPr="00B37EB6">
          <w:rPr>
            <w:rFonts w:eastAsia="Times New Roman" w:cs="Times New Roman"/>
            <w:color w:val="0000FF" w:themeColor="hyperlink"/>
            <w:u w:val="single"/>
            <w:lang w:eastAsia="pl-PL"/>
          </w:rPr>
          <w:t>www.analizy-rynkowe.pl</w:t>
        </w:r>
      </w:hyperlink>
    </w:p>
    <w:p w:rsidR="001A1BB9" w:rsidRPr="00B37EB6" w:rsidRDefault="001A1BB9" w:rsidP="001A1BB9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1A1BB9" w:rsidRPr="00B37EB6" w:rsidRDefault="001A1BB9" w:rsidP="001A1BB9">
      <w:pPr>
        <w:spacing w:after="0" w:line="240" w:lineRule="auto"/>
        <w:jc w:val="both"/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Pr="00B37EB6" w:rsidRDefault="001A1BB9" w:rsidP="001A1BB9">
      <w:pPr>
        <w:spacing w:after="0" w:line="240" w:lineRule="auto"/>
        <w:jc w:val="both"/>
        <w:rPr>
          <w:sz w:val="26"/>
          <w:szCs w:val="26"/>
        </w:rPr>
      </w:pPr>
    </w:p>
    <w:p w:rsidR="001A1BB9" w:rsidRDefault="001A1BB9" w:rsidP="00B37EB6">
      <w:pPr>
        <w:spacing w:after="0" w:line="240" w:lineRule="auto"/>
        <w:jc w:val="both"/>
      </w:pPr>
    </w:p>
    <w:sectPr w:rsidR="001A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B6"/>
    <w:rsid w:val="001A1BB9"/>
    <w:rsid w:val="004D3D1E"/>
    <w:rsid w:val="00B37EB6"/>
    <w:rsid w:val="00BE2698"/>
    <w:rsid w:val="00D5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37EB6"/>
  </w:style>
  <w:style w:type="paragraph" w:styleId="Bezodstpw">
    <w:name w:val="No Spacing"/>
    <w:uiPriority w:val="1"/>
    <w:qFormat/>
    <w:rsid w:val="00B37E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7EB6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EB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EB6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7EB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37EB6"/>
    <w:pPr>
      <w:ind w:left="720"/>
      <w:contextualSpacing/>
    </w:pPr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E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7EB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37EB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EB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7EB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37EB6"/>
  </w:style>
  <w:style w:type="paragraph" w:styleId="Bezodstpw">
    <w:name w:val="No Spacing"/>
    <w:uiPriority w:val="1"/>
    <w:qFormat/>
    <w:rsid w:val="00B37E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7EB6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EB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EB6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7EB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37EB6"/>
    <w:pPr>
      <w:ind w:left="720"/>
      <w:contextualSpacing/>
    </w:pPr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E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7EB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37EB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EB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7EB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9" Type="http://schemas.openxmlformats.org/officeDocument/2006/relationships/hyperlink" Target="http://www.analizy-rynkowe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34" Type="http://schemas.openxmlformats.org/officeDocument/2006/relationships/hyperlink" Target="http://www.analizy-rynkowe.pl" TargetMode="External"/><Relationship Id="rId42" Type="http://schemas.openxmlformats.org/officeDocument/2006/relationships/hyperlink" Target="http://www.analizy-rynkowe.pl" TargetMode="External"/><Relationship Id="rId47" Type="http://schemas.openxmlformats.org/officeDocument/2006/relationships/hyperlink" Target="http://www.analizy-rynkowe.pl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stooq.pl/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33" Type="http://schemas.openxmlformats.org/officeDocument/2006/relationships/hyperlink" Target="http://www.analizy-rynkowe.pl" TargetMode="External"/><Relationship Id="rId38" Type="http://schemas.openxmlformats.org/officeDocument/2006/relationships/hyperlink" Target="http://www.analizy-rynkowe.pl" TargetMode="External"/><Relationship Id="rId46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www.analizy-rynkowe.pl" TargetMode="External"/><Relationship Id="rId41" Type="http://schemas.openxmlformats.org/officeDocument/2006/relationships/hyperlink" Target="http://analizy-rynkowe.p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hyperlink" Target="http://www.analizy-rynkowe.pl" TargetMode="External"/><Relationship Id="rId32" Type="http://schemas.openxmlformats.org/officeDocument/2006/relationships/hyperlink" Target="http://www.analizy-rynkowe.pl" TargetMode="External"/><Relationship Id="rId37" Type="http://schemas.openxmlformats.org/officeDocument/2006/relationships/hyperlink" Target="http://www.analizy-rynkowe.pl" TargetMode="External"/><Relationship Id="rId40" Type="http://schemas.openxmlformats.org/officeDocument/2006/relationships/hyperlink" Target="http://www.analizy-rynkowe.pl" TargetMode="External"/><Relationship Id="rId45" Type="http://schemas.openxmlformats.org/officeDocument/2006/relationships/hyperlink" Target="http://stooq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alizy-rynkowe.pl/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hyperlink" Target="http://analizy-rynkowe.pl/" TargetMode="External"/><Relationship Id="rId36" Type="http://schemas.openxmlformats.org/officeDocument/2006/relationships/hyperlink" Target="http://www.analizy-rynkowe.pl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hyperlink" Target="http://www.analizy-rynkowe.pl" TargetMode="External"/><Relationship Id="rId31" Type="http://schemas.openxmlformats.org/officeDocument/2006/relationships/hyperlink" Target="http://www.analizy-rynkowe.pl" TargetMode="External"/><Relationship Id="rId44" Type="http://schemas.openxmlformats.org/officeDocument/2006/relationships/hyperlink" Target="http://stooq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chart" Target="charts/chart1.xml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Relationship Id="rId30" Type="http://schemas.openxmlformats.org/officeDocument/2006/relationships/hyperlink" Target="http://www.analizy-rynkowe.pl" TargetMode="External"/><Relationship Id="rId35" Type="http://schemas.openxmlformats.org/officeDocument/2006/relationships/hyperlink" Target="http://www.analizy-rynkowe.pl" TargetMode="External"/><Relationship Id="rId43" Type="http://schemas.openxmlformats.org/officeDocument/2006/relationships/hyperlink" Target="http://analizy-rynkowe.pl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3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Arkusz1!$A$1:$A$5</c:f>
              <c:strCache>
                <c:ptCount val="5"/>
                <c:pt idx="0">
                  <c:v>Wykres do przemyślenia</c:v>
                </c:pt>
                <c:pt idx="1">
                  <c:v>sWIG80</c:v>
                </c:pt>
                <c:pt idx="2">
                  <c:v>mWIG40</c:v>
                </c:pt>
                <c:pt idx="3">
                  <c:v>WIG</c:v>
                </c:pt>
                <c:pt idx="4">
                  <c:v>WIG20</c:v>
                </c:pt>
              </c:strCache>
            </c:strRef>
          </c:cat>
          <c:val>
            <c:numRef>
              <c:f>Arkusz1!$B$1:$B$5</c:f>
              <c:numCache>
                <c:formatCode>General</c:formatCode>
                <c:ptCount val="5"/>
                <c:pt idx="0">
                  <c:v>14.2</c:v>
                </c:pt>
                <c:pt idx="1">
                  <c:v>6.9</c:v>
                </c:pt>
                <c:pt idx="2">
                  <c:v>1.7</c:v>
                </c:pt>
                <c:pt idx="3">
                  <c:v>-7.6</c:v>
                </c:pt>
                <c:pt idx="4">
                  <c:v>-17.399999999999999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311872"/>
        <c:axId val="134203264"/>
      </c:barChart>
      <c:catAx>
        <c:axId val="12731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03264"/>
        <c:crosses val="autoZero"/>
        <c:auto val="1"/>
        <c:lblAlgn val="ctr"/>
        <c:lblOffset val="100"/>
        <c:noMultiLvlLbl val="0"/>
      </c:catAx>
      <c:valAx>
        <c:axId val="13420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3118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4551</Words>
  <Characters>27306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2016-04-02T21:30:00Z</dcterms:created>
  <dcterms:modified xsi:type="dcterms:W3CDTF">2016-04-02T21:30:00Z</dcterms:modified>
</cp:coreProperties>
</file>