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6" w:rsidRDefault="00645CF6" w:rsidP="00645CF6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645CF6" w:rsidRDefault="00645CF6" w:rsidP="00645CF6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CF6" w:rsidRDefault="00645CF6" w:rsidP="00645CF6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645CF6" w:rsidRDefault="00645CF6" w:rsidP="00645CF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CF6" w:rsidRDefault="00645CF6" w:rsidP="00645CF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CF6" w:rsidRDefault="00645CF6" w:rsidP="00645CF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29 marca 2016 roku</w:t>
      </w:r>
    </w:p>
    <w:p w:rsidR="00645CF6" w:rsidRDefault="00645CF6" w:rsidP="006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24 marca 2016 roku = 3,8084</w:t>
      </w:r>
    </w:p>
    <w:p w:rsidR="00645CF6" w:rsidRDefault="00645CF6" w:rsidP="00645CF6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7C87724B" wp14:editId="7338995C">
            <wp:extent cx="4829175" cy="2895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F6" w:rsidRDefault="00645CF6" w:rsidP="00645CF6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645CF6" w:rsidRDefault="00645CF6" w:rsidP="0064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124 marca 2016 roku = 4,2690</w:t>
      </w:r>
    </w:p>
    <w:p w:rsidR="00645CF6" w:rsidRDefault="00645CF6" w:rsidP="00645CF6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5D6050D6" wp14:editId="530A09AB">
            <wp:extent cx="4819650" cy="289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1F" w:rsidRDefault="00645CF6" w:rsidP="00645CF6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645CF6" w:rsidRDefault="00645CF6" w:rsidP="00645CF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2467A0">
        <w:rPr>
          <w:sz w:val="26"/>
          <w:szCs w:val="26"/>
        </w:rPr>
        <w:lastRenderedPageBreak/>
        <w:t>Spory optymizm inwestorów indywidualnych w Polsce może zwiastować dalsze spadki indeksu WIG20</w:t>
      </w:r>
    </w:p>
    <w:p w:rsidR="00645CF6" w:rsidRDefault="00645CF6" w:rsidP="00645CF6">
      <w:pPr>
        <w:pStyle w:val="Bezodstpw"/>
        <w:jc w:val="center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w czwartek publikowane są wyniki ankiety, w której polscy inwestorzy indywidualni odpowiadają na pytanie o przewidywaną przez nich sytuację na polskim rynku akcji w okresie najbliższych 6 </w:t>
      </w:r>
      <w:proofErr w:type="gramStart"/>
      <w:r>
        <w:rPr>
          <w:sz w:val="26"/>
          <w:szCs w:val="26"/>
        </w:rPr>
        <w:t>miesięcy.</w:t>
      </w:r>
      <w:proofErr w:type="gramEnd"/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Pr="00645CF6" w:rsidRDefault="00645CF6" w:rsidP="00645CF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Osoby przewidujące wzrosty cen polskich akcji nazywane są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bykami” a osoby przewidujące spadki ,,niedźwiedziami”. </w:t>
      </w:r>
      <w:r w:rsidRPr="00645CF6">
        <w:rPr>
          <w:b/>
          <w:sz w:val="26"/>
          <w:szCs w:val="26"/>
          <w:u w:val="single"/>
        </w:rPr>
        <w:t xml:space="preserve">Doświadczenie uczy, że hossa często rodzi się z pesymizmu a bessa z optymizmu.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przełomie stycznia i lutego tego roku panował pesymizm. W pewnym momencie (w dniu 21 stycznia 2016 roku) odsetek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niedźwiedzi” był wyższy od odsetka ,,byków” o 22,1 punktu procentowego.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Tak znaczna przewaga pesymistów doprowadziła do poprawy sytuacji na Giełdzie Papierów w Warszawie. WIG20 w okresie pomiędzy 20 stycznia a 22 marca wzrósł z 1674,57 pkt. do 1962,87 pkt, czyli o 17,2 %.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Obecnie w badaniach Stowarzyszenia Indywidualnych Inwestorów przeważa optymizm. </w:t>
      </w:r>
      <w:r w:rsidRPr="00645CF6">
        <w:rPr>
          <w:b/>
          <w:sz w:val="26"/>
          <w:szCs w:val="26"/>
          <w:u w:val="single"/>
        </w:rPr>
        <w:t xml:space="preserve">Odsetek </w:t>
      </w:r>
      <w:proofErr w:type="gramStart"/>
      <w:r w:rsidRPr="00645CF6">
        <w:rPr>
          <w:b/>
          <w:sz w:val="26"/>
          <w:szCs w:val="26"/>
          <w:u w:val="single"/>
        </w:rPr>
        <w:t>,,</w:t>
      </w:r>
      <w:proofErr w:type="gramEnd"/>
      <w:r w:rsidRPr="00645CF6">
        <w:rPr>
          <w:b/>
          <w:sz w:val="26"/>
          <w:szCs w:val="26"/>
          <w:u w:val="single"/>
        </w:rPr>
        <w:t>byków” jest wyższy od odsetka ,,niedźwiedzi” o 25,5 punktu procentowego.</w:t>
      </w:r>
      <w:r>
        <w:rPr>
          <w:sz w:val="26"/>
          <w:szCs w:val="26"/>
        </w:rPr>
        <w:t xml:space="preserve">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Pr="00645CF6" w:rsidRDefault="00645CF6" w:rsidP="00645CF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Z technicznego punktu widzenie warto zauważyć, że </w:t>
      </w:r>
      <w:r w:rsidRPr="00645CF6">
        <w:rPr>
          <w:b/>
          <w:sz w:val="26"/>
          <w:szCs w:val="26"/>
          <w:u w:val="single"/>
        </w:rPr>
        <w:t xml:space="preserve">oscylator stochastyczny stworzony w oparciu o tygodniowe dane indeksu WIG20 doszedł do strefy wykupienia.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Odsetek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byków” oraz ,,niedźwiedzi” w ostatnich ankietach Stowarzyszenia Inwestorów Indywidualnych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3071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,,</w:t>
            </w:r>
            <w:proofErr w:type="gramEnd"/>
            <w:r>
              <w:rPr>
                <w:sz w:val="26"/>
                <w:szCs w:val="26"/>
              </w:rPr>
              <w:t>Byki”</w:t>
            </w:r>
          </w:p>
        </w:tc>
        <w:tc>
          <w:tcPr>
            <w:tcW w:w="3071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,,</w:t>
            </w:r>
            <w:proofErr w:type="gramEnd"/>
            <w:r>
              <w:rPr>
                <w:sz w:val="26"/>
                <w:szCs w:val="26"/>
              </w:rPr>
              <w:t>Niedźwiedzie”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stycznia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39,8%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37,8%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stycznia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31,7%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46,6%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stycznia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29,7%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51,7%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stycznia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32,2%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48,5%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lutego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41,5%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38,2%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lutego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37,8%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38,8%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lutego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38,1%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39,2%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lutego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41,0%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36,7%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marca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40,8%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36,0%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marca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53,3%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25,6%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marca 2016 roku</w:t>
            </w:r>
          </w:p>
        </w:tc>
        <w:tc>
          <w:tcPr>
            <w:tcW w:w="3071" w:type="dxa"/>
          </w:tcPr>
          <w:p w:rsidR="00645CF6" w:rsidRPr="00CD7EDD" w:rsidRDefault="00645CF6" w:rsidP="009662DE">
            <w:pPr>
              <w:jc w:val="center"/>
            </w:pPr>
            <w:r w:rsidRPr="00CD7EDD">
              <w:t>51,8%</w:t>
            </w:r>
          </w:p>
        </w:tc>
        <w:tc>
          <w:tcPr>
            <w:tcW w:w="3071" w:type="dxa"/>
          </w:tcPr>
          <w:p w:rsidR="00645CF6" w:rsidRPr="00903481" w:rsidRDefault="00645CF6" w:rsidP="009662DE">
            <w:pPr>
              <w:jc w:val="center"/>
            </w:pPr>
            <w:r w:rsidRPr="00903481">
              <w:t>25,9%</w:t>
            </w:r>
          </w:p>
        </w:tc>
      </w:tr>
      <w:tr w:rsidR="00645CF6" w:rsidTr="009662DE">
        <w:tc>
          <w:tcPr>
            <w:tcW w:w="3070" w:type="dxa"/>
          </w:tcPr>
          <w:p w:rsidR="00645CF6" w:rsidRDefault="00645CF6" w:rsidP="009662DE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marca 2016 roku </w:t>
            </w:r>
          </w:p>
        </w:tc>
        <w:tc>
          <w:tcPr>
            <w:tcW w:w="3071" w:type="dxa"/>
          </w:tcPr>
          <w:p w:rsidR="00645CF6" w:rsidRDefault="00645CF6" w:rsidP="009662DE">
            <w:pPr>
              <w:jc w:val="center"/>
            </w:pPr>
            <w:r w:rsidRPr="00CD7EDD">
              <w:t>51,3%</w:t>
            </w:r>
          </w:p>
        </w:tc>
        <w:tc>
          <w:tcPr>
            <w:tcW w:w="3071" w:type="dxa"/>
          </w:tcPr>
          <w:p w:rsidR="00645CF6" w:rsidRDefault="00645CF6" w:rsidP="009662DE">
            <w:pPr>
              <w:jc w:val="center"/>
            </w:pPr>
            <w:r w:rsidRPr="00903481">
              <w:t>25,8%</w:t>
            </w:r>
          </w:p>
        </w:tc>
      </w:tr>
    </w:tbl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Układ średnich ruchomych jest typowy dla bessy. Średnia ze 100 tygodni (żółta) znajduje się powyżej średniej z 15 (czerwona) oraz 45 (różowa) tygodni.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b/>
          <w:sz w:val="26"/>
          <w:szCs w:val="26"/>
          <w:u w:val="single"/>
        </w:rPr>
      </w:pPr>
      <w:r w:rsidRPr="00852D75">
        <w:rPr>
          <w:b/>
          <w:sz w:val="26"/>
          <w:szCs w:val="26"/>
          <w:u w:val="single"/>
        </w:rPr>
        <w:t>WIG20</w:t>
      </w:r>
    </w:p>
    <w:p w:rsidR="00645CF6" w:rsidRDefault="00645CF6" w:rsidP="00645CF6">
      <w:pPr>
        <w:pStyle w:val="Bezodstpw"/>
        <w:jc w:val="both"/>
        <w:rPr>
          <w:b/>
          <w:sz w:val="26"/>
          <w:szCs w:val="26"/>
          <w:u w:val="single"/>
        </w:rPr>
      </w:pPr>
    </w:p>
    <w:p w:rsidR="00645CF6" w:rsidRPr="00852D75" w:rsidRDefault="00645CF6" w:rsidP="00645CF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2300CC83" wp14:editId="70B28B37">
            <wp:extent cx="6048375" cy="3619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Portfel fundamentalny”</w:t>
      </w:r>
    </w:p>
    <w:p w:rsidR="00645CF6" w:rsidRDefault="00645CF6" w:rsidP="00645CF6">
      <w:pPr>
        <w:pStyle w:val="Bezodstpw"/>
        <w:jc w:val="center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 lutego 2016 roku opublikowałem listę spółek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atrakcyjnych fundamentalnie”.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Przypomnę, że spółka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atrakcyjna fundamentalnie” powinna być umieszczona (na przestrzeni ostatnich 12 miesięcy) w rubryce ,,Wykres do przemyślenia” a poza tym powinna spełniać 3 kryteria fundamentalne”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rStyle w:val="Pogrubienie"/>
          <w:rFonts w:ascii="MyriadPro-Regular" w:hAnsi="MyriadPro-Regular"/>
          <w:color w:val="000000"/>
          <w:sz w:val="26"/>
          <w:szCs w:val="26"/>
        </w:rPr>
        <w:t>Kryterium 1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C/WK niższy od 1,0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rStyle w:val="Pogrubienie"/>
          <w:rFonts w:ascii="MyriadPro-Regular" w:hAnsi="MyriadPro-Regular"/>
          <w:color w:val="000000"/>
          <w:sz w:val="26"/>
          <w:szCs w:val="26"/>
        </w:rPr>
        <w:t>Kryterium 2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Płynność bieżąca wyższa od 1,5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Kryterium 3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Rentowność/</w:t>
      </w:r>
      <w:proofErr w:type="gramStart"/>
      <w:r>
        <w:rPr>
          <w:sz w:val="26"/>
          <w:szCs w:val="26"/>
        </w:rPr>
        <w:t>Płynność (czyli</w:t>
      </w:r>
      <w:proofErr w:type="gramEnd"/>
      <w:r>
        <w:rPr>
          <w:sz w:val="26"/>
          <w:szCs w:val="26"/>
        </w:rPr>
        <w:t xml:space="preserve"> rentowność sprzedaży w %/płynność bieżąca w krotnościach) niższa od 3,0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,,</w:t>
      </w:r>
      <w:proofErr w:type="gramEnd"/>
      <w:r>
        <w:rPr>
          <w:b/>
          <w:sz w:val="26"/>
          <w:szCs w:val="26"/>
        </w:rPr>
        <w:t>Spółką atrakcyjną fundamentalną”</w:t>
      </w:r>
      <w:r>
        <w:rPr>
          <w:sz w:val="26"/>
          <w:szCs w:val="26"/>
        </w:rPr>
        <w:t xml:space="preserve"> jest ta, której akcje są </w:t>
      </w:r>
      <w:r>
        <w:rPr>
          <w:rStyle w:val="Pogrubienie"/>
          <w:rFonts w:ascii="MyriadPro-Regular" w:hAnsi="MyriadPro-Regular"/>
          <w:color w:val="000000"/>
          <w:sz w:val="26"/>
          <w:szCs w:val="26"/>
        </w:rPr>
        <w:t>tanio wycenione w stosunku do wartości księgowej</w:t>
      </w:r>
      <w:r>
        <w:rPr>
          <w:sz w:val="26"/>
          <w:szCs w:val="26"/>
        </w:rPr>
        <w:t>, która charakteryzuje się relatywnie wysoką zdolnością do regulowania swych zobowiązań wobec dostawców oraz banków (o czym świadczy </w:t>
      </w:r>
      <w:r>
        <w:rPr>
          <w:rStyle w:val="Pogrubienie"/>
          <w:rFonts w:ascii="MyriadPro-Regular" w:hAnsi="MyriadPro-Regular"/>
          <w:color w:val="000000"/>
          <w:sz w:val="26"/>
          <w:szCs w:val="26"/>
        </w:rPr>
        <w:t>wysoki wskaźnik płynności bieżącej</w:t>
      </w:r>
      <w:r>
        <w:rPr>
          <w:sz w:val="26"/>
          <w:szCs w:val="26"/>
        </w:rPr>
        <w:t> a poza tym charakteryzuje się stosunkowo niską rentownością (można bowiem założyć, że skoro</w:t>
      </w:r>
      <w:r>
        <w:rPr>
          <w:rStyle w:val="Pogrubienie"/>
          <w:rFonts w:ascii="MyriadPro-Regular" w:hAnsi="MyriadPro-Regular"/>
          <w:color w:val="000000"/>
          <w:sz w:val="26"/>
          <w:szCs w:val="26"/>
        </w:rPr>
        <w:t> rentowność jest obecnie relatywnie niska</w:t>
      </w:r>
      <w:r>
        <w:rPr>
          <w:sz w:val="26"/>
          <w:szCs w:val="26"/>
        </w:rPr>
        <w:t xml:space="preserve"> to w przyszłości wzrośnie, a kurs akcji będzie rósł dyskontując ów przyszły wzrost rentowności; kursy akcji dyskontują bowiem przyszłość).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Do spółek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atrakcyjnych fundamentalnie” zaliczone zostały: </w:t>
      </w:r>
      <w:r>
        <w:rPr>
          <w:b/>
          <w:color w:val="FF0000"/>
          <w:sz w:val="26"/>
          <w:szCs w:val="26"/>
        </w:rPr>
        <w:t xml:space="preserve">Agora, Ceramika Nowa Gala, </w:t>
      </w:r>
      <w:proofErr w:type="spellStart"/>
      <w:r>
        <w:rPr>
          <w:b/>
          <w:color w:val="FF0000"/>
          <w:sz w:val="26"/>
          <w:szCs w:val="26"/>
        </w:rPr>
        <w:t>Netmeduia</w:t>
      </w:r>
      <w:proofErr w:type="spellEnd"/>
      <w:r>
        <w:rPr>
          <w:b/>
          <w:color w:val="FF0000"/>
          <w:sz w:val="26"/>
          <w:szCs w:val="26"/>
        </w:rPr>
        <w:t xml:space="preserve">, Stalprodukt, </w:t>
      </w:r>
      <w:proofErr w:type="spellStart"/>
      <w:r>
        <w:rPr>
          <w:b/>
          <w:color w:val="FF0000"/>
          <w:sz w:val="26"/>
          <w:szCs w:val="26"/>
        </w:rPr>
        <w:t>Tesgas</w:t>
      </w:r>
      <w:proofErr w:type="spellEnd"/>
      <w:r>
        <w:rPr>
          <w:b/>
          <w:color w:val="FF0000"/>
          <w:sz w:val="26"/>
          <w:szCs w:val="26"/>
        </w:rPr>
        <w:t xml:space="preserve"> oraz </w:t>
      </w:r>
      <w:proofErr w:type="spellStart"/>
      <w:r>
        <w:rPr>
          <w:b/>
          <w:color w:val="FF0000"/>
          <w:sz w:val="26"/>
          <w:szCs w:val="26"/>
        </w:rPr>
        <w:t>Unima</w:t>
      </w:r>
      <w:proofErr w:type="spellEnd"/>
      <w:r>
        <w:rPr>
          <w:b/>
          <w:color w:val="FF0000"/>
          <w:sz w:val="26"/>
          <w:szCs w:val="26"/>
        </w:rPr>
        <w:t xml:space="preserve"> 2000. 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Postanowiłem sprawdzić, jaka była średnia procentowa zmiana kursu akcji tych 6 spółek w okresie od 19 lutego do 4 marca 2016 </w:t>
      </w:r>
      <w:proofErr w:type="gramStart"/>
      <w:r>
        <w:rPr>
          <w:sz w:val="26"/>
          <w:szCs w:val="26"/>
        </w:rPr>
        <w:t>roku  a</w:t>
      </w:r>
      <w:proofErr w:type="gramEnd"/>
      <w:r>
        <w:rPr>
          <w:sz w:val="26"/>
          <w:szCs w:val="26"/>
        </w:rPr>
        <w:t xml:space="preserve"> jakie było zachowanie indeksu WIG20 w tym okresie ?</w:t>
      </w:r>
    </w:p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Pr="00D16257" w:rsidRDefault="00645CF6" w:rsidP="00645CF6">
      <w:pPr>
        <w:jc w:val="both"/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16257"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6 spółek uznanych za </w:t>
      </w:r>
      <w:proofErr w:type="gramStart"/>
      <w:r w:rsidRPr="00D16257"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D16257"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atrakcyjne fundamentalnie” w okresie pomiędzy 20 lutego 2015 roku a </w:t>
      </w:r>
      <w:r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 marca</w:t>
      </w:r>
      <w:r w:rsidRPr="00D16257">
        <w:rPr>
          <w:color w:val="000000" w:themeColor="text1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2016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finansowy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24.03.2016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12,46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+7,4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1,30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+8,3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Akcja </w:t>
            </w:r>
            <w:proofErr w:type="gramStart"/>
            <w:r>
              <w:rPr>
                <w:sz w:val="28"/>
                <w:szCs w:val="28"/>
              </w:rPr>
              <w:t xml:space="preserve">spółki  </w:t>
            </w:r>
            <w:proofErr w:type="spellStart"/>
            <w:r>
              <w:rPr>
                <w:sz w:val="28"/>
                <w:szCs w:val="28"/>
              </w:rPr>
              <w:t>Netmedia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5,75zł.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+14,3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+27,2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Akcja spółki </w:t>
            </w:r>
            <w:proofErr w:type="spellStart"/>
            <w:r>
              <w:rPr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3,49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+9,4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Akcja spółki </w:t>
            </w:r>
            <w:proofErr w:type="spellStart"/>
            <w:r>
              <w:rPr>
                <w:sz w:val="28"/>
                <w:szCs w:val="28"/>
              </w:rPr>
              <w:t>Unima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2,26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-1,7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+10,8</w:t>
            </w:r>
          </w:p>
        </w:tc>
      </w:tr>
      <w:tr w:rsidR="00645CF6" w:rsidTr="009662D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1 836,19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+5,2</w:t>
            </w:r>
          </w:p>
        </w:tc>
      </w:tr>
    </w:tbl>
    <w:p w:rsidR="00645CF6" w:rsidRDefault="00645CF6" w:rsidP="00645CF6">
      <w:pPr>
        <w:pStyle w:val="Bezodstpw"/>
        <w:jc w:val="both"/>
        <w:rPr>
          <w:sz w:val="26"/>
          <w:szCs w:val="26"/>
        </w:rPr>
      </w:pPr>
    </w:p>
    <w:p w:rsidR="00645CF6" w:rsidRDefault="00645CF6" w:rsidP="00645CF6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Obliczenia według stanu na </w:t>
      </w:r>
      <w:r w:rsidR="00F05035">
        <w:rPr>
          <w:rFonts w:eastAsia="Times New Roman" w:cs="Times New Roman"/>
          <w:b/>
          <w:sz w:val="32"/>
          <w:szCs w:val="32"/>
          <w:u w:val="single"/>
          <w:lang w:eastAsia="pl-PL"/>
        </w:rPr>
        <w:t>24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marca 2016 roku</w:t>
      </w:r>
    </w:p>
    <w:p w:rsidR="00645CF6" w:rsidRDefault="00645CF6" w:rsidP="00645CF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9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Ile wynosiła średnia procentowa zmiana indeksu WIG 20 w tym okresie ?”. Odpowiedź na te pytania przedstawiłem w tabeli na następnej stronie.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645CF6" w:rsidTr="009662DE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645CF6" w:rsidRDefault="00645CF6" w:rsidP="00645CF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645CF6" w:rsidRDefault="00645CF6" w:rsidP="00645CF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645CF6" w:rsidRDefault="00645CF6" w:rsidP="00645CF6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5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6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9 lutego 2015 roku do 9 lutego 2016 roku  oraz procentowa zmiana indeksu WIG 20 w tym okresie.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645CF6" w:rsidTr="009662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F6" w:rsidRDefault="00645CF6" w:rsidP="009662DE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</w:pPr>
      <w:r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  <w:lastRenderedPageBreak/>
        <w:t>Wniosek końcowy z powyższych rozważań brzmi następująco:</w:t>
      </w:r>
    </w:p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90"/>
          <w:szCs w:val="90"/>
          <w:u w:val="single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,,</w:t>
      </w:r>
      <w:proofErr w:type="gramEnd"/>
      <w:r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Wykres do przemyślenia”</w:t>
      </w:r>
      <w:r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plus 14,2 %.</w:t>
      </w:r>
      <w:r>
        <w:rPr>
          <w:rFonts w:ascii="Calibri" w:eastAsia="Times New Roman" w:hAnsi="Calibri" w:cs="Times New Roman"/>
          <w:color w:val="FF0000"/>
          <w:sz w:val="70"/>
          <w:szCs w:val="7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w tym okresie wynosiła </w:t>
      </w:r>
      <w:r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  <w:t xml:space="preserve">minus 17,4 %. </w:t>
      </w:r>
    </w:p>
    <w:p w:rsidR="00645CF6" w:rsidRDefault="00645CF6" w:rsidP="00645CF6">
      <w:pPr>
        <w:spacing w:after="0" w:line="240" w:lineRule="auto"/>
        <w:jc w:val="both"/>
      </w:pPr>
    </w:p>
    <w:p w:rsidR="00645CF6" w:rsidRDefault="00645CF6" w:rsidP="00645CF6">
      <w:pPr>
        <w:spacing w:after="0" w:line="240" w:lineRule="auto"/>
        <w:jc w:val="both"/>
      </w:pPr>
    </w:p>
    <w:p w:rsidR="00645CF6" w:rsidRDefault="00645CF6" w:rsidP="00645CF6">
      <w:pPr>
        <w:spacing w:after="0" w:line="240" w:lineRule="auto"/>
        <w:jc w:val="both"/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5CF6" w:rsidRDefault="00645CF6" w:rsidP="00645CF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645CF6" w:rsidRDefault="00645CF6" w:rsidP="00645CF6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645CF6" w:rsidRDefault="00645CF6" w:rsidP="00645CF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645CF6" w:rsidRDefault="00645CF6" w:rsidP="00645CF6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645CF6" w:rsidRDefault="00645CF6" w:rsidP="00645CF6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Aktualnie na wykresie cen kontraktów terminowych na ropę naftową doszliśmy do spadkowej linii trendu</w:t>
      </w:r>
      <w:r>
        <w:rPr>
          <w:color w:val="000000" w:themeColor="text1"/>
          <w:lang w:eastAsia="pl-PL"/>
        </w:rPr>
        <w:t xml:space="preserve"> poprowadzonej przez ważne szczyty. Układ średni średnich ruchomych jest typowy dla długoterminowej bessy. </w:t>
      </w:r>
      <w:r>
        <w:rPr>
          <w:b/>
          <w:color w:val="000000" w:themeColor="text1"/>
          <w:lang w:eastAsia="pl-PL"/>
        </w:rPr>
        <w:t xml:space="preserve">W tej sytuacji pojawia się ryzyko rozpoczęcia spadków </w:t>
      </w:r>
      <w:r>
        <w:rPr>
          <w:color w:val="000000" w:themeColor="text1"/>
          <w:lang w:eastAsia="pl-PL"/>
        </w:rPr>
        <w:t xml:space="preserve">cen kontraktów terminowych na ropę naftową a w konsekwencji spadków </w:t>
      </w:r>
      <w:r>
        <w:rPr>
          <w:b/>
          <w:color w:val="000000" w:themeColor="text1"/>
          <w:lang w:eastAsia="pl-PL"/>
        </w:rPr>
        <w:t>indeksu WIG20</w:t>
      </w:r>
      <w:r>
        <w:rPr>
          <w:color w:val="000000" w:themeColor="text1"/>
          <w:lang w:eastAsia="pl-PL"/>
        </w:rPr>
        <w:t>. Naturalnie pewności nie ma, ale ryzyko takie występuje.</w:t>
      </w:r>
    </w:p>
    <w:p w:rsidR="00645CF6" w:rsidRDefault="00645CF6" w:rsidP="00645CF6">
      <w:pPr>
        <w:pStyle w:val="Akapitzlist"/>
        <w:spacing w:after="0" w:line="240" w:lineRule="auto"/>
        <w:jc w:val="both"/>
        <w:rPr>
          <w:color w:val="000000" w:themeColor="text1"/>
          <w:lang w:eastAsia="pl-PL"/>
        </w:rPr>
      </w:pPr>
    </w:p>
    <w:p w:rsidR="00645CF6" w:rsidRDefault="00645CF6" w:rsidP="00645CF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FF0000"/>
          <w:lang w:eastAsia="pl-PL"/>
        </w:rPr>
      </w:pPr>
      <w:r w:rsidRPr="00645CF6">
        <w:rPr>
          <w:b/>
          <w:color w:val="000000" w:themeColor="text1"/>
          <w:lang w:eastAsia="pl-PL"/>
        </w:rPr>
        <w:t>Doświadczenie uczy, że nawet w okresach stosunkowo silnych spadków indeksu WIG20 niektóre indeksy</w:t>
      </w:r>
      <w:r w:rsidRPr="00645CF6">
        <w:rPr>
          <w:color w:val="000000" w:themeColor="text1"/>
          <w:lang w:eastAsia="pl-PL"/>
        </w:rPr>
        <w:t xml:space="preserve"> </w:t>
      </w:r>
      <w:r w:rsidRPr="00645CF6">
        <w:rPr>
          <w:b/>
          <w:color w:val="000000" w:themeColor="text1"/>
          <w:lang w:eastAsia="pl-PL"/>
        </w:rPr>
        <w:t>branżowe</w:t>
      </w:r>
      <w:r w:rsidRPr="00645CF6">
        <w:rPr>
          <w:color w:val="000000" w:themeColor="text1"/>
          <w:lang w:eastAsia="pl-PL"/>
        </w:rPr>
        <w:t xml:space="preserve"> (obliczane przez Giełdę Papierów Wartościowych w Warszawie oraz przez portal </w:t>
      </w:r>
      <w:hyperlink r:id="rId20" w:history="1">
        <w:r>
          <w:rPr>
            <w:rStyle w:val="Hipercze"/>
            <w:lang w:eastAsia="pl-PL"/>
          </w:rPr>
          <w:t>http://stooq.</w:t>
        </w:r>
        <w:proofErr w:type="gramStart"/>
        <w:r>
          <w:rPr>
            <w:rStyle w:val="Hipercze"/>
            <w:lang w:eastAsia="pl-PL"/>
          </w:rPr>
          <w:t>pl/</w:t>
        </w:r>
      </w:hyperlink>
      <w:r w:rsidRPr="00645CF6">
        <w:rPr>
          <w:color w:val="000000" w:themeColor="text1"/>
          <w:lang w:eastAsia="pl-PL"/>
        </w:rPr>
        <w:t xml:space="preserve">)  </w:t>
      </w:r>
      <w:r w:rsidRPr="00645CF6">
        <w:rPr>
          <w:b/>
          <w:color w:val="000000" w:themeColor="text1"/>
          <w:lang w:eastAsia="pl-PL"/>
        </w:rPr>
        <w:t>mogą</w:t>
      </w:r>
      <w:proofErr w:type="gramEnd"/>
      <w:r w:rsidRPr="00645CF6">
        <w:rPr>
          <w:b/>
          <w:color w:val="000000" w:themeColor="text1"/>
          <w:lang w:eastAsia="pl-PL"/>
        </w:rPr>
        <w:t xml:space="preserve"> zachowywać się stosunkowo mocno</w:t>
      </w:r>
      <w:r w:rsidRPr="00645CF6">
        <w:rPr>
          <w:color w:val="000000" w:themeColor="text1"/>
          <w:lang w:eastAsia="pl-PL"/>
        </w:rPr>
        <w:t xml:space="preserve">. </w:t>
      </w:r>
      <w:r>
        <w:rPr>
          <w:color w:val="000000" w:themeColor="text1"/>
          <w:lang w:eastAsia="pl-PL"/>
        </w:rPr>
        <w:t xml:space="preserve">22 lutego 2016 roku wytypowana została lista 6 spółek </w:t>
      </w:r>
      <w:proofErr w:type="gramStart"/>
      <w:r>
        <w:rPr>
          <w:color w:val="000000" w:themeColor="text1"/>
          <w:lang w:eastAsia="pl-PL"/>
        </w:rPr>
        <w:t>,,</w:t>
      </w:r>
      <w:proofErr w:type="gramEnd"/>
      <w:r>
        <w:rPr>
          <w:color w:val="000000" w:themeColor="text1"/>
          <w:lang w:eastAsia="pl-PL"/>
        </w:rPr>
        <w:t xml:space="preserve">atrakcyjnych fundamentalnie”. W skład tej grupy wchodzą: </w:t>
      </w:r>
      <w:r w:rsidRPr="00645CF6">
        <w:rPr>
          <w:b/>
          <w:color w:val="FF0000"/>
          <w:lang w:eastAsia="pl-PL"/>
        </w:rPr>
        <w:t xml:space="preserve">Agora, Ceramika Nowa Gala, </w:t>
      </w:r>
      <w:proofErr w:type="spellStart"/>
      <w:r w:rsidRPr="00645CF6">
        <w:rPr>
          <w:b/>
          <w:color w:val="FF0000"/>
          <w:lang w:eastAsia="pl-PL"/>
        </w:rPr>
        <w:t>Netmedia</w:t>
      </w:r>
      <w:proofErr w:type="spellEnd"/>
      <w:r w:rsidRPr="00645CF6">
        <w:rPr>
          <w:b/>
          <w:color w:val="FF0000"/>
          <w:lang w:eastAsia="pl-PL"/>
        </w:rPr>
        <w:t xml:space="preserve">, Stalprodukt, </w:t>
      </w:r>
      <w:proofErr w:type="spellStart"/>
      <w:r w:rsidRPr="00645CF6">
        <w:rPr>
          <w:b/>
          <w:color w:val="FF0000"/>
          <w:lang w:eastAsia="pl-PL"/>
        </w:rPr>
        <w:t>Tesggas</w:t>
      </w:r>
      <w:proofErr w:type="spellEnd"/>
      <w:r w:rsidRPr="00645CF6">
        <w:rPr>
          <w:b/>
          <w:color w:val="FF0000"/>
          <w:lang w:eastAsia="pl-PL"/>
        </w:rPr>
        <w:t xml:space="preserve"> oraz Unima2000.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2</w:t>
      </w:r>
      <w:r w:rsidR="004977A0">
        <w:rPr>
          <w:rFonts w:eastAsia="Times New Roman" w:cs="Times New Roman"/>
          <w:lang w:eastAsia="pl-PL"/>
        </w:rPr>
        <w:t>9</w:t>
      </w:r>
      <w:r>
        <w:rPr>
          <w:rFonts w:eastAsia="Times New Roman" w:cs="Times New Roman"/>
          <w:lang w:eastAsia="pl-PL"/>
        </w:rPr>
        <w:t xml:space="preserve"> marca 2016 roku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2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645CF6" w:rsidRDefault="00645CF6" w:rsidP="00645CF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5CF6" w:rsidRDefault="00645CF6" w:rsidP="00645CF6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645CF6" w:rsidRDefault="00645CF6" w:rsidP="00645CF6">
      <w:pPr>
        <w:spacing w:after="0" w:line="240" w:lineRule="auto"/>
        <w:jc w:val="both"/>
      </w:pPr>
    </w:p>
    <w:sectPr w:rsidR="0064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F6"/>
    <w:rsid w:val="001A7BD5"/>
    <w:rsid w:val="004977A0"/>
    <w:rsid w:val="00645CF6"/>
    <w:rsid w:val="007B021F"/>
    <w:rsid w:val="00F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C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45C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C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CF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C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45C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C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CF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stooq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nalizy-rynkow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alizy-rynkowe.pl" TargetMode="External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2016-03-29T07:01:00Z</cp:lastPrinted>
  <dcterms:created xsi:type="dcterms:W3CDTF">2016-03-29T07:07:00Z</dcterms:created>
  <dcterms:modified xsi:type="dcterms:W3CDTF">2016-03-29T07:07:00Z</dcterms:modified>
</cp:coreProperties>
</file>