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D7" w:rsidRDefault="00A633D7" w:rsidP="00A633D7">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bookmarkStart w:id="0" w:name="_GoBack"/>
      <w:bookmarkEnd w:id="0"/>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A633D7" w:rsidRDefault="00A633D7" w:rsidP="00A633D7">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A633D7" w:rsidRDefault="00A633D7" w:rsidP="00A633D7">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A633D7" w:rsidRDefault="00A633D7" w:rsidP="00A633D7">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A633D7" w:rsidRDefault="00A633D7" w:rsidP="00A633D7">
      <w:pPr>
        <w:spacing w:after="0" w:line="240" w:lineRule="auto"/>
        <w:jc w:val="center"/>
        <w:rPr>
          <w:rFonts w:eastAsiaTheme="minorEastAsia"/>
          <w:sz w:val="48"/>
          <w:szCs w:val="48"/>
          <w:lang w:eastAsia="pl-PL"/>
        </w:rPr>
      </w:pPr>
    </w:p>
    <w:p w:rsidR="00A633D7" w:rsidRDefault="00A633D7" w:rsidP="00A633D7">
      <w:pPr>
        <w:spacing w:after="0" w:line="240" w:lineRule="auto"/>
        <w:jc w:val="center"/>
        <w:rPr>
          <w:rFonts w:eastAsiaTheme="minorEastAsia"/>
          <w:sz w:val="48"/>
          <w:szCs w:val="48"/>
          <w:lang w:eastAsia="pl-PL"/>
        </w:rPr>
      </w:pPr>
    </w:p>
    <w:p w:rsidR="00A633D7" w:rsidRDefault="00A633D7" w:rsidP="00A633D7">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A633D7" w:rsidRDefault="00A633D7" w:rsidP="00A633D7">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A633D7" w:rsidRDefault="00A633D7" w:rsidP="00A633D7">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A633D7" w:rsidRDefault="00A633D7" w:rsidP="00A633D7">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A633D7" w:rsidRDefault="00A633D7" w:rsidP="00A633D7">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A633D7" w:rsidRDefault="00A633D7" w:rsidP="00A633D7">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 xml:space="preserve">Poniedziałek, </w:t>
      </w:r>
      <w:r w:rsidR="00672251">
        <w:rPr>
          <w:rFonts w:eastAsiaTheme="minorEastAsia"/>
          <w:sz w:val="24"/>
          <w:szCs w:val="24"/>
          <w:lang w:eastAsia="pl-PL"/>
          <w14:shadow w14:blurRad="50800" w14:dist="38100" w14:dir="2700000" w14:sx="100000" w14:sy="100000" w14:kx="0" w14:ky="0" w14:algn="tl">
            <w14:srgbClr w14:val="000000">
              <w14:alpha w14:val="60000"/>
            </w14:srgbClr>
          </w14:shadow>
        </w:rPr>
        <w:t>21</w:t>
      </w:r>
      <w:r>
        <w:rPr>
          <w:rFonts w:eastAsiaTheme="minorEastAsia"/>
          <w:sz w:val="24"/>
          <w:szCs w:val="24"/>
          <w:lang w:eastAsia="pl-PL"/>
          <w14:shadow w14:blurRad="50800" w14:dist="38100" w14:dir="2700000" w14:sx="100000" w14:sy="100000" w14:kx="0" w14:ky="0" w14:algn="tl">
            <w14:srgbClr w14:val="000000">
              <w14:alpha w14:val="60000"/>
            </w14:srgbClr>
          </w14:shadow>
        </w:rPr>
        <w:t xml:space="preserve"> marca 2016 roku</w:t>
      </w:r>
    </w:p>
    <w:p w:rsidR="00A633D7" w:rsidRDefault="00A633D7" w:rsidP="00A633D7">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1</w:t>
      </w:r>
      <w:r w:rsidR="00672251">
        <w:rPr>
          <w:rFonts w:eastAsiaTheme="minorEastAsia"/>
          <w:lang w:eastAsia="pl-PL"/>
        </w:rPr>
        <w:t>8 marca 2016 roku = 3,7811</w:t>
      </w:r>
    </w:p>
    <w:p w:rsidR="00A633D7" w:rsidRDefault="00A633D7" w:rsidP="00A633D7">
      <w:pPr>
        <w:spacing w:after="0" w:line="240" w:lineRule="auto"/>
        <w:jc w:val="both"/>
        <w:rPr>
          <w:rFonts w:eastAsiaTheme="minorEastAsia"/>
          <w:lang w:eastAsia="pl-PL"/>
        </w:rPr>
      </w:pPr>
    </w:p>
    <w:p w:rsidR="00A633D7" w:rsidRDefault="009E6A01" w:rsidP="00A633D7">
      <w:pPr>
        <w:spacing w:after="0" w:line="240" w:lineRule="auto"/>
        <w:jc w:val="both"/>
        <w:rPr>
          <w:rFonts w:eastAsiaTheme="minorEastAsia"/>
          <w:lang w:eastAsia="pl-PL"/>
        </w:rPr>
      </w:pPr>
      <w:r>
        <w:rPr>
          <w:rFonts w:eastAsiaTheme="minorEastAsia"/>
          <w:noProof/>
          <w:lang w:eastAsia="pl-PL"/>
        </w:rPr>
        <w:drawing>
          <wp:inline distT="0" distB="0" distL="0" distR="0" wp14:anchorId="62E1761D">
            <wp:extent cx="4829175" cy="28956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895600"/>
                    </a:xfrm>
                    <a:prstGeom prst="rect">
                      <a:avLst/>
                    </a:prstGeom>
                    <a:noFill/>
                  </pic:spPr>
                </pic:pic>
              </a:graphicData>
            </a:graphic>
          </wp:inline>
        </w:drawing>
      </w:r>
    </w:p>
    <w:p w:rsidR="00A633D7" w:rsidRDefault="00A633D7" w:rsidP="00A633D7">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A633D7" w:rsidRDefault="00A633D7" w:rsidP="00A633D7">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1</w:t>
      </w:r>
      <w:r w:rsidR="00672251">
        <w:rPr>
          <w:rFonts w:eastAsiaTheme="minorEastAsia"/>
          <w:lang w:eastAsia="pl-PL"/>
        </w:rPr>
        <w:t>8 marca 2016 roku = 4,2628</w:t>
      </w:r>
    </w:p>
    <w:p w:rsidR="00F215FC" w:rsidRDefault="00F215FC" w:rsidP="00A633D7">
      <w:pPr>
        <w:spacing w:after="0" w:line="240" w:lineRule="auto"/>
        <w:jc w:val="both"/>
        <w:rPr>
          <w:rFonts w:eastAsiaTheme="minorEastAsia"/>
          <w:lang w:eastAsia="pl-PL"/>
        </w:rPr>
      </w:pPr>
    </w:p>
    <w:p w:rsidR="00A633D7" w:rsidRDefault="00F215FC" w:rsidP="00A633D7">
      <w:pPr>
        <w:spacing w:after="0" w:line="240" w:lineRule="auto"/>
        <w:jc w:val="both"/>
        <w:rPr>
          <w:rFonts w:eastAsiaTheme="minorEastAsia"/>
          <w:lang w:eastAsia="pl-PL"/>
        </w:rPr>
      </w:pPr>
      <w:r>
        <w:rPr>
          <w:rFonts w:eastAsiaTheme="minorEastAsia"/>
          <w:noProof/>
          <w:lang w:eastAsia="pl-PL"/>
        </w:rPr>
        <w:drawing>
          <wp:inline distT="0" distB="0" distL="0" distR="0" wp14:anchorId="204F8960">
            <wp:extent cx="4819650" cy="2895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2895600"/>
                    </a:xfrm>
                    <a:prstGeom prst="rect">
                      <a:avLst/>
                    </a:prstGeom>
                    <a:noFill/>
                  </pic:spPr>
                </pic:pic>
              </a:graphicData>
            </a:graphic>
          </wp:inline>
        </w:drawing>
      </w:r>
    </w:p>
    <w:p w:rsidR="00A633D7" w:rsidRDefault="00A633D7" w:rsidP="00A633D7">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0227F3" w:rsidRDefault="000227F3" w:rsidP="000227F3">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Pr>
          <w:sz w:val="26"/>
          <w:szCs w:val="26"/>
        </w:rPr>
        <w:lastRenderedPageBreak/>
        <w:t xml:space="preserve">Co z indeksem </w:t>
      </w:r>
      <w:proofErr w:type="gramStart"/>
      <w:r>
        <w:rPr>
          <w:sz w:val="26"/>
          <w:szCs w:val="26"/>
        </w:rPr>
        <w:t>WIG20 ? –bardzo</w:t>
      </w:r>
      <w:proofErr w:type="gramEnd"/>
      <w:r>
        <w:rPr>
          <w:sz w:val="26"/>
          <w:szCs w:val="26"/>
        </w:rPr>
        <w:t xml:space="preserve"> dużo będzie zależało od przyszłego zachowania cen ropy naftowej. Znaczna siła tkwi w branży deweloperskiej </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sidRPr="00D72947">
        <w:rPr>
          <w:sz w:val="26"/>
          <w:szCs w:val="26"/>
        </w:rPr>
        <w:t xml:space="preserve">W czwartek 17 marca 2016 roku </w:t>
      </w:r>
      <w:r w:rsidRPr="00E3688F">
        <w:rPr>
          <w:b/>
          <w:color w:val="FF0000"/>
          <w:sz w:val="26"/>
          <w:szCs w:val="26"/>
        </w:rPr>
        <w:t xml:space="preserve">prof. Eryk </w:t>
      </w:r>
      <w:r w:rsidR="00980C85">
        <w:rPr>
          <w:b/>
          <w:color w:val="FF0000"/>
          <w:sz w:val="26"/>
          <w:szCs w:val="26"/>
        </w:rPr>
        <w:t>Ł</w:t>
      </w:r>
      <w:r w:rsidRPr="00E3688F">
        <w:rPr>
          <w:b/>
          <w:color w:val="FF0000"/>
          <w:sz w:val="26"/>
          <w:szCs w:val="26"/>
        </w:rPr>
        <w:t>on</w:t>
      </w:r>
      <w:r w:rsidRPr="009A65DE">
        <w:rPr>
          <w:b/>
          <w:sz w:val="26"/>
          <w:szCs w:val="26"/>
        </w:rPr>
        <w:t>,</w:t>
      </w:r>
      <w:r w:rsidRPr="00D72947">
        <w:rPr>
          <w:sz w:val="26"/>
          <w:szCs w:val="26"/>
        </w:rPr>
        <w:t xml:space="preserve"> </w:t>
      </w:r>
      <w:r w:rsidRPr="00E3688F">
        <w:rPr>
          <w:b/>
          <w:color w:val="FF0000"/>
          <w:sz w:val="26"/>
          <w:szCs w:val="26"/>
        </w:rPr>
        <w:t>członek Rady Polityki Pieniężnej</w:t>
      </w:r>
      <w:r w:rsidRPr="00E3688F">
        <w:rPr>
          <w:color w:val="FF0000"/>
          <w:sz w:val="26"/>
          <w:szCs w:val="26"/>
        </w:rPr>
        <w:t xml:space="preserve"> </w:t>
      </w:r>
      <w:r w:rsidRPr="00D72947">
        <w:rPr>
          <w:sz w:val="26"/>
          <w:szCs w:val="26"/>
        </w:rPr>
        <w:t xml:space="preserve">a jednocześnie kierownik studium podyplomowego </w:t>
      </w:r>
      <w:proofErr w:type="gramStart"/>
      <w:r w:rsidRPr="00D72947">
        <w:rPr>
          <w:sz w:val="26"/>
          <w:szCs w:val="26"/>
        </w:rPr>
        <w:t>,,</w:t>
      </w:r>
      <w:proofErr w:type="gramEnd"/>
      <w:r w:rsidRPr="00D72947">
        <w:rPr>
          <w:sz w:val="26"/>
          <w:szCs w:val="26"/>
        </w:rPr>
        <w:t>Mistrzowie rynków finansowych” działającego na Uniwer</w:t>
      </w:r>
      <w:r>
        <w:rPr>
          <w:sz w:val="26"/>
          <w:szCs w:val="26"/>
        </w:rPr>
        <w:t xml:space="preserve">sytecie Ekonomicznym w Poznaniu udzielił </w:t>
      </w:r>
      <w:r w:rsidRPr="009A65DE">
        <w:rPr>
          <w:b/>
          <w:sz w:val="26"/>
          <w:szCs w:val="26"/>
        </w:rPr>
        <w:t>wywiadu dla Polskiej Agencji Prasowej</w:t>
      </w:r>
      <w:r>
        <w:rPr>
          <w:sz w:val="26"/>
          <w:szCs w:val="26"/>
        </w:rPr>
        <w:t>.</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noProof/>
          <w:lang w:eastAsia="pl-PL"/>
        </w:rPr>
        <w:drawing>
          <wp:inline distT="0" distB="0" distL="0" distR="0" wp14:anchorId="1172819E" wp14:editId="70E33BB3">
            <wp:extent cx="1581150" cy="1890247"/>
            <wp:effectExtent l="0" t="0" r="0" b="0"/>
            <wp:docPr id="2" name="Obraz 2" descr="http://eryklon.pl/wp-content/themes/eryk-lon/images/eryk-lon-fotografia-zdje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yklon.pl/wp-content/themes/eryk-lon/images/eryk-lon-fotografia-zdjec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890247"/>
                    </a:xfrm>
                    <a:prstGeom prst="rect">
                      <a:avLst/>
                    </a:prstGeom>
                    <a:noFill/>
                    <a:ln>
                      <a:noFill/>
                    </a:ln>
                  </pic:spPr>
                </pic:pic>
              </a:graphicData>
            </a:graphic>
          </wp:inline>
        </w:drawing>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Eryk Łon, członek Rady Polityki Pieniężnej, </w:t>
      </w:r>
      <w:r w:rsidRPr="00763B7B">
        <w:rPr>
          <w:i/>
          <w:sz w:val="26"/>
          <w:szCs w:val="26"/>
        </w:rPr>
        <w:t>zdjęcie pochodzi ze strony internetowej</w:t>
      </w:r>
      <w:r>
        <w:rPr>
          <w:sz w:val="26"/>
          <w:szCs w:val="26"/>
        </w:rPr>
        <w:t xml:space="preserve"> </w:t>
      </w:r>
      <w:hyperlink r:id="rId9" w:history="1">
        <w:r w:rsidRPr="009C2BFA">
          <w:rPr>
            <w:rStyle w:val="Hipercze"/>
            <w:sz w:val="26"/>
            <w:szCs w:val="26"/>
          </w:rPr>
          <w:t>http://eryklon.pl/</w:t>
        </w:r>
      </w:hyperlink>
      <w:r>
        <w:rPr>
          <w:sz w:val="26"/>
          <w:szCs w:val="26"/>
        </w:rPr>
        <w:t>.</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W wywiadzie tym Eryk Łon powiedział między innymi: </w:t>
      </w:r>
      <w:proofErr w:type="gramStart"/>
      <w:r>
        <w:rPr>
          <w:sz w:val="26"/>
          <w:szCs w:val="26"/>
        </w:rPr>
        <w:t>,,</w:t>
      </w:r>
      <w:proofErr w:type="gramEnd"/>
      <w:r w:rsidRPr="00CC7123">
        <w:rPr>
          <w:b/>
          <w:sz w:val="26"/>
          <w:szCs w:val="26"/>
        </w:rPr>
        <w:t xml:space="preserve">korzystając z instrumentów analizy technicznej </w:t>
      </w:r>
      <w:r w:rsidRPr="00D72947">
        <w:rPr>
          <w:sz w:val="26"/>
          <w:szCs w:val="26"/>
        </w:rPr>
        <w:t>dochodzę do wniosku, że owe wzrosty cen surowców prawdopodobnie stanowiły tylko wzrostową korektę w dłu</w:t>
      </w:r>
      <w:r>
        <w:rPr>
          <w:sz w:val="26"/>
          <w:szCs w:val="26"/>
        </w:rPr>
        <w:t xml:space="preserve">goterminowym trendzie spadkowym”. </w:t>
      </w:r>
    </w:p>
    <w:p w:rsidR="000227F3" w:rsidRDefault="000227F3" w:rsidP="000227F3">
      <w:pPr>
        <w:pStyle w:val="Bezodstpw"/>
        <w:jc w:val="both"/>
        <w:rPr>
          <w:sz w:val="26"/>
          <w:szCs w:val="26"/>
        </w:rPr>
      </w:pPr>
    </w:p>
    <w:p w:rsidR="000227F3" w:rsidRDefault="009E6A01" w:rsidP="000227F3">
      <w:pPr>
        <w:pStyle w:val="Bezodstpw"/>
        <w:jc w:val="both"/>
        <w:rPr>
          <w:sz w:val="26"/>
          <w:szCs w:val="26"/>
        </w:rPr>
      </w:pPr>
      <w:hyperlink r:id="rId10" w:history="1">
        <w:r w:rsidR="000227F3" w:rsidRPr="00557EAB">
          <w:rPr>
            <w:rStyle w:val="Hipercze"/>
            <w:sz w:val="26"/>
            <w:szCs w:val="26"/>
          </w:rPr>
          <w:t>http://www.obserwatorfinansowy.pl/dispatches/lon-o-ewentualnej-obnizce-stop-nbp-zadecyduja-w-duzym-stopniu-czynniki-zewnetrzne/</w:t>
        </w:r>
      </w:hyperlink>
    </w:p>
    <w:p w:rsidR="000227F3" w:rsidRDefault="000227F3" w:rsidP="000227F3">
      <w:pPr>
        <w:pStyle w:val="Bezodstpw"/>
        <w:jc w:val="both"/>
        <w:rPr>
          <w:sz w:val="26"/>
          <w:szCs w:val="26"/>
        </w:rPr>
      </w:pPr>
    </w:p>
    <w:p w:rsidR="000227F3" w:rsidRDefault="00796C03" w:rsidP="000227F3">
      <w:pPr>
        <w:pStyle w:val="Bezodstpw"/>
        <w:jc w:val="both"/>
        <w:rPr>
          <w:sz w:val="26"/>
          <w:szCs w:val="26"/>
        </w:rPr>
      </w:pPr>
      <w:r>
        <w:rPr>
          <w:sz w:val="26"/>
          <w:szCs w:val="26"/>
        </w:rPr>
        <w:t>To b</w:t>
      </w:r>
      <w:r w:rsidR="000227F3">
        <w:rPr>
          <w:sz w:val="26"/>
          <w:szCs w:val="26"/>
        </w:rPr>
        <w:t xml:space="preserve">ardzo ciekawe zdanie skłaniające do szeregu refleksji, także i takiej, że dobrze się stało się, że w skład organu decyzyjnego polskiego banku centralnego wszedł </w:t>
      </w:r>
      <w:r>
        <w:rPr>
          <w:sz w:val="26"/>
          <w:szCs w:val="26"/>
        </w:rPr>
        <w:t>naukowiec</w:t>
      </w:r>
      <w:r w:rsidR="000227F3">
        <w:rPr>
          <w:sz w:val="26"/>
          <w:szCs w:val="26"/>
        </w:rPr>
        <w:t xml:space="preserve"> uznający </w:t>
      </w:r>
      <w:r>
        <w:rPr>
          <w:sz w:val="26"/>
          <w:szCs w:val="26"/>
        </w:rPr>
        <w:t>(</w:t>
      </w:r>
      <w:r w:rsidRPr="00796C03">
        <w:rPr>
          <w:b/>
          <w:sz w:val="26"/>
          <w:szCs w:val="26"/>
          <w:u w:val="single"/>
        </w:rPr>
        <w:t>w innym wywiadzie dla PAP, tym razem z 15 lutego 2016 roku</w:t>
      </w:r>
      <w:r>
        <w:rPr>
          <w:sz w:val="26"/>
          <w:szCs w:val="26"/>
        </w:rPr>
        <w:t xml:space="preserve">) </w:t>
      </w:r>
      <w:r w:rsidR="000227F3">
        <w:rPr>
          <w:sz w:val="26"/>
          <w:szCs w:val="26"/>
        </w:rPr>
        <w:t xml:space="preserve">analizę techniczną za </w:t>
      </w:r>
      <w:proofErr w:type="gramStart"/>
      <w:r w:rsidR="000227F3" w:rsidRPr="00E3688F">
        <w:rPr>
          <w:b/>
          <w:color w:val="FF0000"/>
          <w:sz w:val="26"/>
          <w:szCs w:val="26"/>
        </w:rPr>
        <w:t>,,</w:t>
      </w:r>
      <w:proofErr w:type="gramEnd"/>
      <w:r w:rsidR="000227F3" w:rsidRPr="00E3688F">
        <w:rPr>
          <w:b/>
          <w:color w:val="FF0000"/>
          <w:sz w:val="26"/>
          <w:szCs w:val="26"/>
        </w:rPr>
        <w:t>pożyteczną metodę dokonywania analiz i prognoz sytuacji na rynkach akcji, obligacji, surowców czy też na przykład walut”</w:t>
      </w:r>
    </w:p>
    <w:p w:rsidR="000227F3" w:rsidRDefault="000227F3" w:rsidP="000227F3">
      <w:pPr>
        <w:pStyle w:val="Bezodstpw"/>
        <w:jc w:val="both"/>
        <w:rPr>
          <w:sz w:val="26"/>
          <w:szCs w:val="26"/>
        </w:rPr>
      </w:pPr>
    </w:p>
    <w:p w:rsidR="000227F3" w:rsidRDefault="009E6A01" w:rsidP="000227F3">
      <w:pPr>
        <w:pStyle w:val="Bezodstpw"/>
        <w:jc w:val="both"/>
        <w:rPr>
          <w:sz w:val="26"/>
          <w:szCs w:val="26"/>
        </w:rPr>
      </w:pPr>
      <w:hyperlink r:id="rId11" w:history="1">
        <w:r w:rsidR="000227F3" w:rsidRPr="00557EAB">
          <w:rPr>
            <w:rStyle w:val="Hipercze"/>
            <w:sz w:val="26"/>
            <w:szCs w:val="26"/>
          </w:rPr>
          <w:t>http://www.obserwatorfinansowy.pl/tematyka/finanse-publiczne/lon-przestrzen-do-obnizek-stop-nbp-nieznaczna-bez-znaczenia-dla-procesow-realnych/</w:t>
        </w:r>
      </w:hyperlink>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Przyznam, że osobiście także bardzo cenię analizę techniczną. </w:t>
      </w:r>
      <w:r w:rsidRPr="00796C03">
        <w:rPr>
          <w:b/>
          <w:sz w:val="26"/>
          <w:szCs w:val="26"/>
        </w:rPr>
        <w:t>Przedstawi pewien przykład</w:t>
      </w:r>
      <w:r>
        <w:rPr>
          <w:sz w:val="26"/>
          <w:szCs w:val="26"/>
        </w:rPr>
        <w:t xml:space="preserve">. Od września 2014 roku 2015 roku prowadzę rubrykę </w:t>
      </w:r>
      <w:proofErr w:type="gramStart"/>
      <w:r>
        <w:rPr>
          <w:sz w:val="26"/>
          <w:szCs w:val="26"/>
        </w:rPr>
        <w:t>,,</w:t>
      </w:r>
      <w:proofErr w:type="gramEnd"/>
      <w:r>
        <w:rPr>
          <w:sz w:val="26"/>
          <w:szCs w:val="26"/>
        </w:rPr>
        <w:t xml:space="preserve">Wykres do przemyślenia. Niezbędnym warunkiem umieszczenie danej spółki w tej rubryce jest to, aby na wykresie kursu akcji tej spółki doszło do wybicia z formacji typowego lub nietypowego podwójnego dna. </w:t>
      </w:r>
    </w:p>
    <w:p w:rsidR="000227F3" w:rsidRDefault="000227F3" w:rsidP="000227F3">
      <w:pPr>
        <w:pStyle w:val="Bezodstpw"/>
        <w:jc w:val="both"/>
        <w:rPr>
          <w:sz w:val="26"/>
          <w:szCs w:val="26"/>
        </w:rPr>
      </w:pPr>
      <w:r w:rsidRPr="00AF5603">
        <w:rPr>
          <w:sz w:val="26"/>
          <w:szCs w:val="26"/>
        </w:rPr>
        <w:lastRenderedPageBreak/>
        <w:t xml:space="preserve">Procentowa zmiana kursu akcji spółki po wprowadzeniu jej do rubryki </w:t>
      </w:r>
      <w:proofErr w:type="gramStart"/>
      <w:r w:rsidRPr="00AF5603">
        <w:rPr>
          <w:sz w:val="26"/>
          <w:szCs w:val="26"/>
        </w:rPr>
        <w:t>,,</w:t>
      </w:r>
      <w:proofErr w:type="gramEnd"/>
      <w:r w:rsidRPr="00AF5603">
        <w:rPr>
          <w:sz w:val="26"/>
          <w:szCs w:val="26"/>
        </w:rPr>
        <w:t xml:space="preserve">Wykres do przemyślenia” w okresie 12 pierwszych miesięcy po jej wprowadzeniu do tej rubryki wynosiła średnio plus 14,2 %. Procentowa zmiana indeksu WIG 20 w tym okresie wynosiła minus 17,4 %, indeksu WIG </w:t>
      </w:r>
      <w:proofErr w:type="gramStart"/>
      <w:r w:rsidRPr="00AF5603">
        <w:rPr>
          <w:sz w:val="26"/>
          <w:szCs w:val="26"/>
        </w:rPr>
        <w:t>minus 7,6 %,  indeksu</w:t>
      </w:r>
      <w:proofErr w:type="gramEnd"/>
      <w:r w:rsidRPr="00AF5603">
        <w:rPr>
          <w:sz w:val="26"/>
          <w:szCs w:val="26"/>
        </w:rPr>
        <w:t xml:space="preserve"> </w:t>
      </w:r>
      <w:proofErr w:type="spellStart"/>
      <w:r w:rsidRPr="00AF5603">
        <w:rPr>
          <w:sz w:val="26"/>
          <w:szCs w:val="26"/>
        </w:rPr>
        <w:t>mWIG</w:t>
      </w:r>
      <w:proofErr w:type="spellEnd"/>
      <w:r w:rsidRPr="00AF5603">
        <w:rPr>
          <w:sz w:val="26"/>
          <w:szCs w:val="26"/>
        </w:rPr>
        <w:t xml:space="preserve"> 20 plus 1,7 % a  indeksu sWIG80 plus 6,9 %</w:t>
      </w:r>
      <w:r>
        <w:rPr>
          <w:sz w:val="26"/>
          <w:szCs w:val="26"/>
        </w:rPr>
        <w:t>.</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Uważam, że te wyniki są generalnie rzecz biorąc dobre. Jestem z nich zadowolony. Uczynię wszystko co w mojej mocy, aby także i w przyszłości p</w:t>
      </w:r>
      <w:r w:rsidRPr="00AF5603">
        <w:rPr>
          <w:sz w:val="26"/>
          <w:szCs w:val="26"/>
        </w:rPr>
        <w:t xml:space="preserve">rocentowa zmiana kursu akcji spółki po wprowadzeniu jej do rubryki </w:t>
      </w:r>
      <w:proofErr w:type="gramStart"/>
      <w:r w:rsidRPr="00AF5603">
        <w:rPr>
          <w:sz w:val="26"/>
          <w:szCs w:val="26"/>
        </w:rPr>
        <w:t>,,</w:t>
      </w:r>
      <w:proofErr w:type="gramEnd"/>
      <w:r w:rsidRPr="00AF5603">
        <w:rPr>
          <w:sz w:val="26"/>
          <w:szCs w:val="26"/>
        </w:rPr>
        <w:t>Wykres do przemyślenia” w okresie 12 pierwszych miesięcy po jej wprowadzeniu do tej rubryki</w:t>
      </w:r>
      <w:r>
        <w:rPr>
          <w:sz w:val="26"/>
          <w:szCs w:val="26"/>
        </w:rPr>
        <w:t xml:space="preserve"> </w:t>
      </w:r>
      <w:r w:rsidRPr="00AF5603">
        <w:rPr>
          <w:b/>
          <w:sz w:val="26"/>
          <w:szCs w:val="26"/>
        </w:rPr>
        <w:t>była wyraźnie lepsza</w:t>
      </w:r>
      <w:r>
        <w:rPr>
          <w:sz w:val="26"/>
          <w:szCs w:val="26"/>
        </w:rPr>
        <w:t xml:space="preserve">, niż zachowanie 4 wyżej wymienionych indeksów giełdowych. </w:t>
      </w:r>
    </w:p>
    <w:p w:rsidR="000227F3" w:rsidRDefault="000227F3" w:rsidP="000227F3">
      <w:pPr>
        <w:pStyle w:val="Bezodstpw"/>
        <w:jc w:val="both"/>
        <w:rPr>
          <w:sz w:val="26"/>
          <w:szCs w:val="26"/>
        </w:rPr>
      </w:pPr>
    </w:p>
    <w:p w:rsidR="000227F3" w:rsidRPr="001352EC" w:rsidRDefault="000227F3" w:rsidP="000227F3">
      <w:pPr>
        <w:pStyle w:val="Bezodstpw"/>
        <w:jc w:val="both"/>
        <w:rPr>
          <w:b/>
          <w:sz w:val="26"/>
          <w:szCs w:val="26"/>
        </w:rPr>
      </w:pPr>
      <w:r>
        <w:rPr>
          <w:sz w:val="26"/>
          <w:szCs w:val="26"/>
        </w:rPr>
        <w:t xml:space="preserve">Powiem wprost: uzyskanie tej </w:t>
      </w:r>
      <w:r w:rsidRPr="00AF5603">
        <w:rPr>
          <w:b/>
          <w:sz w:val="26"/>
          <w:szCs w:val="26"/>
        </w:rPr>
        <w:t xml:space="preserve">przewagi </w:t>
      </w:r>
      <w:r>
        <w:rPr>
          <w:b/>
          <w:sz w:val="26"/>
          <w:szCs w:val="26"/>
        </w:rPr>
        <w:t xml:space="preserve">nad tymi 4 indeksami </w:t>
      </w:r>
      <w:r w:rsidRPr="00AF5603">
        <w:rPr>
          <w:sz w:val="26"/>
          <w:szCs w:val="26"/>
        </w:rPr>
        <w:t xml:space="preserve">możliwe było dotychczas </w:t>
      </w:r>
      <w:r w:rsidRPr="00BF6C38">
        <w:rPr>
          <w:b/>
          <w:color w:val="FF0000"/>
          <w:sz w:val="26"/>
          <w:szCs w:val="26"/>
        </w:rPr>
        <w:t>dzięki właśnie zastosowaniu analizy technicznej</w:t>
      </w:r>
      <w:r w:rsidRPr="00AF5603">
        <w:rPr>
          <w:sz w:val="26"/>
          <w:szCs w:val="26"/>
        </w:rPr>
        <w:t xml:space="preserve">. </w:t>
      </w:r>
      <w:r>
        <w:rPr>
          <w:sz w:val="26"/>
          <w:szCs w:val="26"/>
        </w:rPr>
        <w:t xml:space="preserve">Analizę techniczną zamierzam stosować nadal i to właśnie między innymi w niej upatruję szansy na to, że przewaga wyników rubryki </w:t>
      </w:r>
      <w:proofErr w:type="gramStart"/>
      <w:r>
        <w:rPr>
          <w:sz w:val="26"/>
          <w:szCs w:val="26"/>
        </w:rPr>
        <w:t>,,</w:t>
      </w:r>
      <w:proofErr w:type="gramEnd"/>
      <w:r>
        <w:rPr>
          <w:sz w:val="26"/>
          <w:szCs w:val="26"/>
        </w:rPr>
        <w:t xml:space="preserve">Wykres do przemyślenia” nad 4 czołowymi indeksami utrzyma się nadal. </w:t>
      </w:r>
      <w:r w:rsidRPr="001352EC">
        <w:rPr>
          <w:b/>
          <w:sz w:val="26"/>
          <w:szCs w:val="26"/>
        </w:rPr>
        <w:t xml:space="preserve">Uzyskiwania tej przewagi jest moim celem. </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W tym kontekście przejdźmy do analizy powiązania wykresu cen kontraktów terminowych na ropę naftową z wykresem indeksu WIG20. Przede wszystkim warto zauważyć, że powiązanie to faktycznie występuje. Gdy ceny kontraktów terminowych na ropę naftową rosną rośnie też indeks WIG20, gdy spadają spada też WIG20. Mówię to o </w:t>
      </w:r>
      <w:proofErr w:type="gramStart"/>
      <w:r>
        <w:rPr>
          <w:sz w:val="26"/>
          <w:szCs w:val="26"/>
        </w:rPr>
        <w:t>tendencjach co</w:t>
      </w:r>
      <w:proofErr w:type="gramEnd"/>
      <w:r>
        <w:rPr>
          <w:sz w:val="26"/>
          <w:szCs w:val="26"/>
        </w:rPr>
        <w:t xml:space="preserve"> najmniej kilkumiesięcznych. </w:t>
      </w:r>
    </w:p>
    <w:p w:rsidR="000227F3" w:rsidRDefault="000227F3" w:rsidP="000227F3">
      <w:pPr>
        <w:pStyle w:val="Bezodstpw"/>
        <w:jc w:val="both"/>
        <w:rPr>
          <w:sz w:val="26"/>
          <w:szCs w:val="26"/>
        </w:rPr>
      </w:pPr>
    </w:p>
    <w:p w:rsidR="000227F3" w:rsidRDefault="000227F3" w:rsidP="000227F3">
      <w:pPr>
        <w:pStyle w:val="Bezodstpw"/>
        <w:jc w:val="both"/>
        <w:rPr>
          <w:b/>
          <w:sz w:val="26"/>
          <w:szCs w:val="26"/>
          <w:u w:val="single"/>
        </w:rPr>
      </w:pPr>
      <w:r w:rsidRPr="00CC7123">
        <w:rPr>
          <w:b/>
          <w:sz w:val="26"/>
          <w:szCs w:val="26"/>
          <w:u w:val="single"/>
        </w:rPr>
        <w:t xml:space="preserve">Ropa naftowa i WIG20 – perspektywa bardzo długoterminowa </w:t>
      </w:r>
    </w:p>
    <w:p w:rsidR="000227F3" w:rsidRDefault="000227F3" w:rsidP="000227F3">
      <w:pPr>
        <w:pStyle w:val="Bezodstpw"/>
        <w:jc w:val="both"/>
        <w:rPr>
          <w:b/>
          <w:sz w:val="26"/>
          <w:szCs w:val="26"/>
          <w:u w:val="single"/>
        </w:rPr>
      </w:pPr>
    </w:p>
    <w:p w:rsidR="000227F3" w:rsidRPr="00CC7123" w:rsidRDefault="000227F3" w:rsidP="000227F3">
      <w:pPr>
        <w:pStyle w:val="Bezodstpw"/>
        <w:jc w:val="both"/>
        <w:rPr>
          <w:b/>
          <w:sz w:val="26"/>
          <w:szCs w:val="26"/>
          <w:u w:val="single"/>
        </w:rPr>
      </w:pPr>
      <w:r>
        <w:rPr>
          <w:b/>
          <w:noProof/>
          <w:sz w:val="26"/>
          <w:szCs w:val="26"/>
          <w:u w:val="single"/>
          <w:lang w:eastAsia="pl-PL"/>
        </w:rPr>
        <w:drawing>
          <wp:inline distT="0" distB="0" distL="0" distR="0" wp14:anchorId="58762FCC" wp14:editId="491482FF">
            <wp:extent cx="5448300" cy="32670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lastRenderedPageBreak/>
        <w:t xml:space="preserve">Z powyższego wykresu wynika, że wzrosty indeksu WIG20 rozpoczęły się w połowie lutego tego roku wraz ze wzrostem cen kontraktów terminowych na ropę naftową. </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Aktualnie na wykresie cen kontraktów terminowych na ropę naftową </w:t>
      </w:r>
      <w:r w:rsidRPr="001352EC">
        <w:rPr>
          <w:b/>
          <w:sz w:val="26"/>
          <w:szCs w:val="26"/>
        </w:rPr>
        <w:t xml:space="preserve">doszliśmy do spadkowej linii trendu poprowadzonej przez ważne szczyty. Układ średni średnich ruchomych jest typowy dla długoterminowej bessy. </w:t>
      </w:r>
      <w:r>
        <w:rPr>
          <w:sz w:val="26"/>
          <w:szCs w:val="26"/>
        </w:rPr>
        <w:t xml:space="preserve">W tej sytuacji pojawia się ryzyko rozpoczęcia spadków cen kontraktów terminowych na ropę naftową a w konsekwencji spadków indeksu WIG20. </w:t>
      </w:r>
      <w:r w:rsidRPr="001352EC">
        <w:rPr>
          <w:b/>
          <w:sz w:val="26"/>
          <w:szCs w:val="26"/>
        </w:rPr>
        <w:t>Naturalnie pewności nie ma, ale</w:t>
      </w:r>
      <w:r>
        <w:rPr>
          <w:sz w:val="26"/>
          <w:szCs w:val="26"/>
        </w:rPr>
        <w:t xml:space="preserve"> ryzyko takie występuje. </w:t>
      </w:r>
    </w:p>
    <w:p w:rsidR="000227F3" w:rsidRDefault="000227F3" w:rsidP="000227F3">
      <w:pPr>
        <w:pStyle w:val="Bezodstpw"/>
        <w:jc w:val="both"/>
        <w:rPr>
          <w:sz w:val="26"/>
          <w:szCs w:val="26"/>
        </w:rPr>
      </w:pPr>
    </w:p>
    <w:p w:rsidR="000227F3" w:rsidRPr="00F34613" w:rsidRDefault="000227F3" w:rsidP="000227F3">
      <w:pPr>
        <w:pStyle w:val="Bezodstpw"/>
        <w:jc w:val="both"/>
        <w:rPr>
          <w:b/>
          <w:sz w:val="26"/>
          <w:szCs w:val="26"/>
          <w:u w:val="single"/>
        </w:rPr>
      </w:pPr>
      <w:r w:rsidRPr="00F34613">
        <w:rPr>
          <w:b/>
          <w:sz w:val="26"/>
          <w:szCs w:val="26"/>
          <w:u w:val="single"/>
        </w:rPr>
        <w:t xml:space="preserve">Ropa naftowa </w:t>
      </w:r>
    </w:p>
    <w:p w:rsidR="000227F3" w:rsidRDefault="000227F3" w:rsidP="000227F3">
      <w:pPr>
        <w:pStyle w:val="Bezodstpw"/>
        <w:jc w:val="both"/>
        <w:rPr>
          <w:sz w:val="26"/>
          <w:szCs w:val="26"/>
        </w:rPr>
      </w:pPr>
    </w:p>
    <w:p w:rsidR="000227F3" w:rsidRPr="00AF5603" w:rsidRDefault="000227F3" w:rsidP="000227F3">
      <w:pPr>
        <w:pStyle w:val="Bezodstpw"/>
        <w:jc w:val="both"/>
        <w:rPr>
          <w:sz w:val="26"/>
          <w:szCs w:val="26"/>
        </w:rPr>
      </w:pPr>
      <w:r>
        <w:rPr>
          <w:noProof/>
          <w:sz w:val="26"/>
          <w:szCs w:val="26"/>
          <w:lang w:eastAsia="pl-PL"/>
        </w:rPr>
        <w:drawing>
          <wp:inline distT="0" distB="0" distL="0" distR="0" wp14:anchorId="32F23AF7" wp14:editId="11CCF6C4">
            <wp:extent cx="5448300" cy="3267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Warto też zauważyć, że obliczany w oparciu o dane tygodniowe oscylator stochastyczny znalazł się w strefie wykupienia, co </w:t>
      </w:r>
      <w:proofErr w:type="gramStart"/>
      <w:r>
        <w:rPr>
          <w:sz w:val="26"/>
          <w:szCs w:val="26"/>
        </w:rPr>
        <w:t>,,</w:t>
      </w:r>
      <w:proofErr w:type="gramEnd"/>
      <w:r>
        <w:rPr>
          <w:sz w:val="26"/>
          <w:szCs w:val="26"/>
        </w:rPr>
        <w:t xml:space="preserve">na bessie” (czyli w trendzie spadkowym) stanowi zazwyczaj sygnał sprzedaży. </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Doświadczenie uczy, że nawet w okresach stosunkowo silnych spadków indeksu WIG20 niektóre indeksy branżowe (obliczane przez Giełdę Papierów Wartościowych w Warszawie oraz przez portal </w:t>
      </w:r>
      <w:hyperlink r:id="rId14" w:history="1">
        <w:r w:rsidRPr="009C2BFA">
          <w:rPr>
            <w:rStyle w:val="Hipercze"/>
            <w:sz w:val="26"/>
            <w:szCs w:val="26"/>
          </w:rPr>
          <w:t>http://stooq.pl/</w:t>
        </w:r>
      </w:hyperlink>
      <w:r>
        <w:rPr>
          <w:sz w:val="26"/>
          <w:szCs w:val="26"/>
        </w:rPr>
        <w:t xml:space="preserve">) mogą zachowywać się stosunkowo mocno. W tym kontekście moją uwagę zwraca publikowany przez portal </w:t>
      </w:r>
      <w:hyperlink r:id="rId15" w:history="1">
        <w:r w:rsidRPr="009C2BFA">
          <w:rPr>
            <w:rStyle w:val="Hipercze"/>
            <w:sz w:val="26"/>
            <w:szCs w:val="26"/>
          </w:rPr>
          <w:t>http://stooq.pl/</w:t>
        </w:r>
      </w:hyperlink>
      <w:r>
        <w:rPr>
          <w:sz w:val="26"/>
          <w:szCs w:val="26"/>
        </w:rPr>
        <w:t xml:space="preserve"> indeks branży deweloperskiej. </w:t>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Nawiasem mówiąc </w:t>
      </w:r>
      <w:r w:rsidRPr="001352EC">
        <w:rPr>
          <w:b/>
          <w:sz w:val="26"/>
          <w:szCs w:val="26"/>
        </w:rPr>
        <w:t>branża deweloperska wymieniana jest wśród tych branż, które mogą zyskać na niskich stopach procentowych</w:t>
      </w:r>
      <w:r>
        <w:rPr>
          <w:sz w:val="26"/>
          <w:szCs w:val="26"/>
        </w:rPr>
        <w:t xml:space="preserve"> (a na razie RPP utrzymuje ja na niskim poziomie i z prognoz różnych banków wynika, że stóp tych na razie nie </w:t>
      </w:r>
      <w:r>
        <w:rPr>
          <w:sz w:val="26"/>
          <w:szCs w:val="26"/>
        </w:rPr>
        <w:lastRenderedPageBreak/>
        <w:t>podwyższy…mówi się nawet o (jak zasugerował to prof. Eryk Łon z RPP) możliwej obniżce stóp).</w:t>
      </w:r>
    </w:p>
    <w:p w:rsidR="000227F3" w:rsidRDefault="000227F3" w:rsidP="000227F3">
      <w:pPr>
        <w:pStyle w:val="Bezodstpw"/>
        <w:jc w:val="both"/>
        <w:rPr>
          <w:sz w:val="26"/>
          <w:szCs w:val="26"/>
        </w:rPr>
      </w:pPr>
    </w:p>
    <w:p w:rsidR="000227F3" w:rsidRDefault="009E6A01" w:rsidP="000227F3">
      <w:pPr>
        <w:pStyle w:val="Bezodstpw"/>
        <w:jc w:val="both"/>
        <w:rPr>
          <w:sz w:val="26"/>
          <w:szCs w:val="26"/>
        </w:rPr>
      </w:pPr>
      <w:hyperlink r:id="rId16" w:anchor="q=deweloperzy%20niskie%20stopy%20procentowe" w:history="1">
        <w:r w:rsidR="000227F3" w:rsidRPr="009D6F37">
          <w:rPr>
            <w:rStyle w:val="Hipercze"/>
            <w:sz w:val="26"/>
            <w:szCs w:val="26"/>
          </w:rPr>
          <w:t>https://www.google.pl/webhp?sourceid=chrome-instant&amp;ion=1&amp;espv=2&amp;ie=UTF-8#q=deweloperzy%20niskie%20stopy%20procentowe</w:t>
        </w:r>
      </w:hyperlink>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sidRPr="007D3F5C">
        <w:rPr>
          <w:sz w:val="26"/>
          <w:szCs w:val="26"/>
        </w:rPr>
        <w:t xml:space="preserve">W </w:t>
      </w:r>
      <w:r w:rsidRPr="001352EC">
        <w:rPr>
          <w:b/>
          <w:sz w:val="26"/>
          <w:szCs w:val="26"/>
        </w:rPr>
        <w:t xml:space="preserve">wysłanej dla klientów analizę </w:t>
      </w:r>
      <w:proofErr w:type="spellStart"/>
      <w:r w:rsidRPr="001352EC">
        <w:rPr>
          <w:b/>
          <w:sz w:val="26"/>
          <w:szCs w:val="26"/>
        </w:rPr>
        <w:t>Pasquale</w:t>
      </w:r>
      <w:proofErr w:type="spellEnd"/>
      <w:r w:rsidRPr="001352EC">
        <w:rPr>
          <w:b/>
          <w:sz w:val="26"/>
          <w:szCs w:val="26"/>
        </w:rPr>
        <w:t xml:space="preserve"> Diana, ekonomista Morgan Stanley, zapowiada</w:t>
      </w:r>
      <w:r w:rsidRPr="007D3F5C">
        <w:rPr>
          <w:sz w:val="26"/>
          <w:szCs w:val="26"/>
        </w:rPr>
        <w:t xml:space="preserve"> po jednej obniżce stóp procentowych RPP w drugim i trzecim kwartale. Jego zdaniem przemawiają za tym ultra łagodna polityka innych banków centralnych oraz niższa od oczekiwanej inflacja w Polsce. </w:t>
      </w:r>
      <w:proofErr w:type="spellStart"/>
      <w:r w:rsidRPr="007D3F5C">
        <w:rPr>
          <w:sz w:val="26"/>
          <w:szCs w:val="26"/>
        </w:rPr>
        <w:t>Pasquale</w:t>
      </w:r>
      <w:proofErr w:type="spellEnd"/>
      <w:r w:rsidRPr="007D3F5C">
        <w:rPr>
          <w:sz w:val="26"/>
          <w:szCs w:val="26"/>
        </w:rPr>
        <w:t xml:space="preserve"> Diana </w:t>
      </w:r>
      <w:r>
        <w:rPr>
          <w:sz w:val="26"/>
          <w:szCs w:val="26"/>
        </w:rPr>
        <w:t xml:space="preserve">przewiduje spadek stóp procentowych w Polsce o 50 punktów w 2016 roku. </w:t>
      </w:r>
    </w:p>
    <w:p w:rsidR="000227F3" w:rsidRDefault="000227F3" w:rsidP="000227F3">
      <w:pPr>
        <w:pStyle w:val="Bezodstpw"/>
        <w:jc w:val="both"/>
        <w:rPr>
          <w:sz w:val="26"/>
          <w:szCs w:val="26"/>
        </w:rPr>
      </w:pPr>
    </w:p>
    <w:p w:rsidR="000227F3" w:rsidRDefault="009E6A01" w:rsidP="000227F3">
      <w:pPr>
        <w:pStyle w:val="Bezodstpw"/>
        <w:jc w:val="both"/>
        <w:rPr>
          <w:sz w:val="26"/>
          <w:szCs w:val="26"/>
        </w:rPr>
      </w:pPr>
      <w:hyperlink r:id="rId17" w:history="1">
        <w:r w:rsidR="000227F3" w:rsidRPr="009D6F37">
          <w:rPr>
            <w:rStyle w:val="Hipercze"/>
            <w:sz w:val="26"/>
            <w:szCs w:val="26"/>
          </w:rPr>
          <w:t>http://www.pb.pl/4426559,27052,morgan-stanley-rpp-obnizy-stopy-o-50-punktow-bazowych</w:t>
        </w:r>
      </w:hyperlink>
    </w:p>
    <w:p w:rsidR="000227F3" w:rsidRPr="007D3F5C" w:rsidRDefault="000227F3" w:rsidP="000227F3">
      <w:pPr>
        <w:pStyle w:val="Bezodstpw"/>
        <w:jc w:val="both"/>
        <w:rPr>
          <w:sz w:val="26"/>
          <w:szCs w:val="26"/>
        </w:rPr>
      </w:pPr>
    </w:p>
    <w:p w:rsidR="000227F3" w:rsidRPr="00E109B5" w:rsidRDefault="000227F3" w:rsidP="000227F3">
      <w:pPr>
        <w:pStyle w:val="Bezodstpw"/>
        <w:jc w:val="both"/>
        <w:rPr>
          <w:b/>
          <w:sz w:val="26"/>
          <w:szCs w:val="26"/>
          <w:u w:val="single"/>
        </w:rPr>
      </w:pPr>
      <w:r w:rsidRPr="00E109B5">
        <w:rPr>
          <w:b/>
          <w:sz w:val="26"/>
          <w:szCs w:val="26"/>
          <w:u w:val="single"/>
        </w:rPr>
        <w:t xml:space="preserve">Indeks branży deweloperskiej </w:t>
      </w:r>
    </w:p>
    <w:p w:rsidR="000227F3" w:rsidRDefault="000227F3" w:rsidP="000227F3">
      <w:pPr>
        <w:pStyle w:val="Bezodstpw"/>
        <w:jc w:val="both"/>
        <w:rPr>
          <w:sz w:val="26"/>
          <w:szCs w:val="26"/>
        </w:rPr>
      </w:pPr>
      <w:r>
        <w:rPr>
          <w:noProof/>
          <w:sz w:val="26"/>
          <w:szCs w:val="26"/>
          <w:lang w:eastAsia="pl-PL"/>
        </w:rPr>
        <w:drawing>
          <wp:inline distT="0" distB="0" distL="0" distR="0" wp14:anchorId="7F23794B" wp14:editId="0EF12603">
            <wp:extent cx="5429250" cy="3257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0227F3" w:rsidRDefault="000227F3" w:rsidP="000227F3">
      <w:pPr>
        <w:pStyle w:val="Bezodstpw"/>
        <w:jc w:val="both"/>
        <w:rPr>
          <w:sz w:val="26"/>
          <w:szCs w:val="26"/>
        </w:rPr>
      </w:pPr>
    </w:p>
    <w:p w:rsidR="000227F3" w:rsidRDefault="000227F3" w:rsidP="000227F3">
      <w:pPr>
        <w:pStyle w:val="Bezodstpw"/>
        <w:jc w:val="both"/>
        <w:rPr>
          <w:sz w:val="26"/>
          <w:szCs w:val="26"/>
        </w:rPr>
      </w:pPr>
      <w:r>
        <w:rPr>
          <w:sz w:val="26"/>
          <w:szCs w:val="26"/>
        </w:rPr>
        <w:t xml:space="preserve">Na wykresie indeksu branży deweloperskiej doszło do wybicia z formacji podwójnego dna. Gdyby formacja ta miała się wypełnić powinno dojść do wzrostu tego indeksu o 16,8 %. Warto zauważyć, że na przestrzeni ostatnich 12 miesięcy w rubryce </w:t>
      </w:r>
      <w:proofErr w:type="gramStart"/>
      <w:r>
        <w:rPr>
          <w:sz w:val="26"/>
          <w:szCs w:val="26"/>
        </w:rPr>
        <w:t>,,</w:t>
      </w:r>
      <w:proofErr w:type="gramEnd"/>
      <w:r>
        <w:rPr>
          <w:sz w:val="26"/>
          <w:szCs w:val="26"/>
        </w:rPr>
        <w:t xml:space="preserve">Wykres do przemyślenia” umieszczone zostały 3 spółki z branży deweloperskiej. </w:t>
      </w:r>
    </w:p>
    <w:p w:rsidR="000227F3" w:rsidRDefault="000227F3" w:rsidP="000227F3">
      <w:pPr>
        <w:pStyle w:val="Bezodstpw"/>
        <w:jc w:val="both"/>
        <w:rPr>
          <w:sz w:val="26"/>
          <w:szCs w:val="26"/>
        </w:rPr>
      </w:pPr>
    </w:p>
    <w:p w:rsidR="000227F3" w:rsidRDefault="000227F3" w:rsidP="000227F3">
      <w:pPr>
        <w:pStyle w:val="Bezodstpw"/>
        <w:pBdr>
          <w:top w:val="single" w:sz="4" w:space="1" w:color="auto"/>
          <w:left w:val="single" w:sz="4" w:space="4" w:color="auto"/>
          <w:bottom w:val="single" w:sz="4" w:space="1" w:color="auto"/>
          <w:right w:val="single" w:sz="4" w:space="4" w:color="auto"/>
        </w:pBdr>
        <w:shd w:val="clear" w:color="auto" w:fill="FF0000"/>
        <w:jc w:val="center"/>
        <w:rPr>
          <w:color w:val="FFFFFF" w:themeColor="background1"/>
          <w:sz w:val="46"/>
          <w:szCs w:val="46"/>
        </w:rPr>
      </w:pPr>
      <w:r>
        <w:rPr>
          <w:color w:val="FFFFFF" w:themeColor="background1"/>
          <w:sz w:val="46"/>
          <w:szCs w:val="46"/>
        </w:rPr>
        <w:t>1.Polnord</w:t>
      </w:r>
    </w:p>
    <w:p w:rsidR="000227F3" w:rsidRDefault="000227F3" w:rsidP="000227F3">
      <w:pPr>
        <w:pStyle w:val="Bezodstpw"/>
        <w:pBdr>
          <w:top w:val="single" w:sz="4" w:space="1" w:color="auto"/>
          <w:left w:val="single" w:sz="4" w:space="4" w:color="auto"/>
          <w:bottom w:val="single" w:sz="4" w:space="1" w:color="auto"/>
          <w:right w:val="single" w:sz="4" w:space="4" w:color="auto"/>
        </w:pBdr>
        <w:shd w:val="clear" w:color="auto" w:fill="FF0000"/>
        <w:jc w:val="center"/>
        <w:rPr>
          <w:color w:val="FFFFFF" w:themeColor="background1"/>
          <w:sz w:val="46"/>
          <w:szCs w:val="46"/>
        </w:rPr>
      </w:pPr>
      <w:r>
        <w:rPr>
          <w:color w:val="FFFFFF" w:themeColor="background1"/>
          <w:sz w:val="46"/>
          <w:szCs w:val="46"/>
        </w:rPr>
        <w:t xml:space="preserve">2.LC </w:t>
      </w:r>
      <w:proofErr w:type="spellStart"/>
      <w:r>
        <w:rPr>
          <w:color w:val="FFFFFF" w:themeColor="background1"/>
          <w:sz w:val="46"/>
          <w:szCs w:val="46"/>
        </w:rPr>
        <w:t>Corp</w:t>
      </w:r>
      <w:proofErr w:type="spellEnd"/>
    </w:p>
    <w:p w:rsidR="000227F3" w:rsidRDefault="000227F3" w:rsidP="000227F3">
      <w:pPr>
        <w:pStyle w:val="Bezodstpw"/>
        <w:pBdr>
          <w:top w:val="single" w:sz="4" w:space="1" w:color="auto"/>
          <w:left w:val="single" w:sz="4" w:space="4" w:color="auto"/>
          <w:bottom w:val="single" w:sz="4" w:space="1" w:color="auto"/>
          <w:right w:val="single" w:sz="4" w:space="4" w:color="auto"/>
        </w:pBdr>
        <w:shd w:val="clear" w:color="auto" w:fill="FF0000"/>
        <w:jc w:val="center"/>
        <w:rPr>
          <w:color w:val="FFFFFF" w:themeColor="background1"/>
          <w:sz w:val="46"/>
          <w:szCs w:val="46"/>
        </w:rPr>
      </w:pPr>
      <w:r>
        <w:rPr>
          <w:color w:val="FFFFFF" w:themeColor="background1"/>
          <w:sz w:val="46"/>
          <w:szCs w:val="46"/>
        </w:rPr>
        <w:t xml:space="preserve">3.Alta </w:t>
      </w:r>
    </w:p>
    <w:p w:rsidR="00A633D7" w:rsidRDefault="00A633D7" w:rsidP="00A633D7">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A633D7" w:rsidRDefault="00A633D7" w:rsidP="00A633D7">
      <w:pPr>
        <w:spacing w:after="0" w:line="240" w:lineRule="auto"/>
        <w:jc w:val="both"/>
        <w:rPr>
          <w:rFonts w:eastAsia="Times New Roman" w:cs="Times New Roman"/>
          <w:b/>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p>
    <w:p w:rsidR="00A633D7" w:rsidRDefault="00A633D7" w:rsidP="00A633D7">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1</w:t>
      </w:r>
      <w:r w:rsidR="002E6D0E">
        <w:rPr>
          <w:rFonts w:eastAsia="Times New Roman" w:cs="Times New Roman"/>
          <w:b/>
          <w:sz w:val="32"/>
          <w:szCs w:val="32"/>
          <w:u w:val="single"/>
          <w:lang w:eastAsia="pl-PL"/>
        </w:rPr>
        <w:t>8</w:t>
      </w:r>
      <w:r>
        <w:rPr>
          <w:rFonts w:eastAsia="Times New Roman" w:cs="Times New Roman"/>
          <w:b/>
          <w:sz w:val="32"/>
          <w:szCs w:val="32"/>
          <w:u w:val="single"/>
          <w:lang w:eastAsia="pl-PL"/>
        </w:rPr>
        <w:t xml:space="preserve"> marca 2016 roku</w:t>
      </w:r>
    </w:p>
    <w:p w:rsidR="00A633D7" w:rsidRDefault="00A633D7" w:rsidP="00A633D7">
      <w:pPr>
        <w:spacing w:after="0" w:line="240" w:lineRule="auto"/>
        <w:jc w:val="center"/>
        <w:rPr>
          <w:rFonts w:eastAsia="Times New Roman" w:cs="Times New Roman"/>
          <w:b/>
          <w:sz w:val="32"/>
          <w:szCs w:val="32"/>
          <w:u w:val="single"/>
          <w:lang w:eastAsia="pl-PL"/>
        </w:rPr>
      </w:pPr>
    </w:p>
    <w:p w:rsidR="00A633D7" w:rsidRDefault="00A633D7" w:rsidP="00A633D7">
      <w:pPr>
        <w:spacing w:after="0" w:line="240" w:lineRule="auto"/>
        <w:jc w:val="both"/>
        <w:rPr>
          <w:rFonts w:eastAsia="Times New Roman" w:cs="Times New Roman"/>
          <w:b/>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lastRenderedPageBreak/>
        <w:t xml:space="preserve">Wprowadzenie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19"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Ile wynosiła średnia procentowa zmiana indeksu WIG 20 w tym okresie ?”. Odpowiedź na te pytania przedstawiłem w tabeli na następnej stronie. </w:t>
      </w: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+15,2 %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+11,3 %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+55,4 %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+58,1 %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+35,0 %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-15,5 %</w:t>
            </w:r>
          </w:p>
        </w:tc>
      </w:tr>
    </w:tbl>
    <w:p w:rsidR="00A633D7" w:rsidRDefault="00A633D7" w:rsidP="00A633D7">
      <w:pPr>
        <w:spacing w:after="0" w:line="240" w:lineRule="auto"/>
        <w:jc w:val="both"/>
        <w:rPr>
          <w:rFonts w:ascii="Calibri" w:eastAsia="Times New Roman" w:hAnsi="Calibri" w:cs="Times New Roman"/>
          <w:sz w:val="36"/>
          <w:szCs w:val="36"/>
          <w:u w:val="single"/>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A633D7" w:rsidRDefault="00A633D7" w:rsidP="00A633D7">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-20,8 %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-20,8 %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-12,5 %</w:t>
            </w:r>
          </w:p>
        </w:tc>
      </w:tr>
    </w:tbl>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20"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A633D7" w:rsidRDefault="00A633D7" w:rsidP="00A633D7">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24,2 %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24,2 %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-12,2 %</w:t>
            </w:r>
          </w:p>
        </w:tc>
      </w:tr>
    </w:tbl>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A633D7" w:rsidRDefault="00A633D7" w:rsidP="00A633D7">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2,3 %</w:t>
            </w:r>
          </w:p>
        </w:tc>
      </w:tr>
      <w:tr w:rsidR="00A633D7" w:rsidTr="00A633D7">
        <w:trPr>
          <w:trHeight w:val="310"/>
        </w:trPr>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2,3 %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-13,2 %</w:t>
            </w:r>
          </w:p>
        </w:tc>
      </w:tr>
    </w:tbl>
    <w:p w:rsidR="00A633D7" w:rsidRDefault="00A633D7" w:rsidP="00A633D7">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+29,7 %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+29,7 %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-15,8 %</w:t>
            </w:r>
          </w:p>
        </w:tc>
      </w:tr>
    </w:tbl>
    <w:p w:rsidR="00A633D7" w:rsidRDefault="00A633D7" w:rsidP="00A633D7">
      <w:pPr>
        <w:spacing w:after="0" w:line="240" w:lineRule="auto"/>
        <w:jc w:val="both"/>
        <w:rPr>
          <w:rFonts w:eastAsiaTheme="minorEastAsia" w:cs="Times New Roman"/>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A633D7" w:rsidRDefault="00A633D7" w:rsidP="00A633D7">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+19,9 %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+61,5 %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- 49,9 %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+10,5%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- 15,8 %</w:t>
            </w:r>
          </w:p>
        </w:tc>
      </w:tr>
    </w:tbl>
    <w:p w:rsidR="00A633D7" w:rsidRDefault="00A633D7" w:rsidP="00A633D7">
      <w:pPr>
        <w:spacing w:after="0" w:line="240" w:lineRule="auto"/>
        <w:rPr>
          <w:rFonts w:ascii="Calibri" w:eastAsia="Times New Roman" w:hAnsi="Calibri" w:cs="Times New Roman"/>
          <w:sz w:val="26"/>
          <w:szCs w:val="26"/>
          <w:u w:val="single"/>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+13,9 %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+13,9 %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-16,7 %</w:t>
            </w:r>
          </w:p>
        </w:tc>
      </w:tr>
    </w:tbl>
    <w:p w:rsidR="00A633D7" w:rsidRDefault="00A633D7" w:rsidP="00A633D7">
      <w:pPr>
        <w:spacing w:after="0" w:line="240" w:lineRule="auto"/>
        <w:rPr>
          <w:rFonts w:ascii="Calibri" w:eastAsia="Times New Roman" w:hAnsi="Calibri" w:cs="Times New Roman"/>
          <w:sz w:val="26"/>
          <w:szCs w:val="26"/>
          <w:u w:val="single"/>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A633D7" w:rsidRDefault="00A633D7" w:rsidP="00A633D7">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-38,0 %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-38,0 %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-11,6 %</w:t>
            </w:r>
          </w:p>
        </w:tc>
      </w:tr>
    </w:tbl>
    <w:p w:rsidR="00A633D7" w:rsidRDefault="00A633D7" w:rsidP="00A633D7">
      <w:pPr>
        <w:spacing w:after="0" w:line="240" w:lineRule="auto"/>
        <w:rPr>
          <w:rFonts w:ascii="Calibri" w:eastAsia="Times New Roman" w:hAnsi="Calibri" w:cs="Times New Roman"/>
          <w:sz w:val="42"/>
          <w:szCs w:val="42"/>
          <w:u w:val="single"/>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22"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A633D7" w:rsidRDefault="00A633D7" w:rsidP="00A633D7">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+ 114,5 %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+ 55,6 %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-13,1 %</w:t>
            </w:r>
          </w:p>
        </w:tc>
      </w:tr>
    </w:tbl>
    <w:p w:rsidR="00A633D7" w:rsidRDefault="00A633D7" w:rsidP="00A633D7">
      <w:pPr>
        <w:spacing w:after="0" w:line="240" w:lineRule="auto"/>
        <w:jc w:val="both"/>
        <w:rPr>
          <w:rFonts w:eastAsiaTheme="minorEastAsia" w:cs="Times New Roman"/>
          <w:lang w:eastAsia="pl-PL"/>
        </w:rPr>
      </w:pP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A633D7" w:rsidRDefault="00A633D7" w:rsidP="00A633D7">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-14,4 %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-14,4 %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-13,1 %</w:t>
            </w:r>
          </w:p>
        </w:tc>
      </w:tr>
    </w:tbl>
    <w:p w:rsidR="00A633D7" w:rsidRDefault="00A633D7" w:rsidP="00A633D7">
      <w:pPr>
        <w:spacing w:after="0" w:line="240" w:lineRule="auto"/>
        <w:jc w:val="both"/>
        <w:rPr>
          <w:rFonts w:ascii="Calibri" w:eastAsia="Times New Roman" w:hAnsi="Calibri" w:cs="Times New Roman"/>
          <w:sz w:val="30"/>
          <w:szCs w:val="30"/>
          <w:u w:val="single"/>
          <w:lang w:eastAsia="pl-PL"/>
        </w:rPr>
      </w:pPr>
    </w:p>
    <w:p w:rsidR="00A633D7" w:rsidRDefault="00A633D7" w:rsidP="00A633D7">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A633D7" w:rsidRDefault="00A633D7" w:rsidP="00A633D7">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-19,8 %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-19,8 %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-16,4 %</w:t>
            </w:r>
          </w:p>
        </w:tc>
      </w:tr>
    </w:tbl>
    <w:p w:rsidR="00A633D7" w:rsidRDefault="00A633D7" w:rsidP="00A633D7">
      <w:pPr>
        <w:spacing w:after="0" w:line="240" w:lineRule="auto"/>
        <w:jc w:val="both"/>
        <w:rPr>
          <w:rFonts w:ascii="Calibri" w:eastAsia="Times New Roman" w:hAnsi="Calibri" w:cs="Times New Roman"/>
          <w:sz w:val="26"/>
          <w:szCs w:val="26"/>
          <w:u w:val="single"/>
          <w:lang w:eastAsia="pl-PL"/>
        </w:rPr>
      </w:pPr>
    </w:p>
    <w:p w:rsidR="00A633D7" w:rsidRDefault="00A633D7" w:rsidP="00A633D7">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A633D7" w:rsidRDefault="00A633D7" w:rsidP="00A633D7">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+73,6 %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+73,6 %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-19,9 %</w:t>
            </w:r>
          </w:p>
        </w:tc>
      </w:tr>
    </w:tbl>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23"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-27,8 %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-27,8 %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-20,4 %</w:t>
            </w:r>
          </w:p>
        </w:tc>
      </w:tr>
    </w:tbl>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+5,7 %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 xml:space="preserve">  +5,7 %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  25,5 %</w:t>
            </w:r>
          </w:p>
        </w:tc>
      </w:tr>
    </w:tbl>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-1,3 %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-19,7  %</w:t>
            </w:r>
          </w:p>
        </w:tc>
      </w:tr>
    </w:tbl>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5"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6"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-15,0 %0</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-15,0 %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-28,6 %</w:t>
            </w:r>
          </w:p>
        </w:tc>
      </w:tr>
    </w:tbl>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-29,7 %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-29,7 %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-26,3 %</w:t>
            </w:r>
          </w:p>
        </w:tc>
      </w:tr>
    </w:tbl>
    <w:p w:rsidR="00A633D7" w:rsidRDefault="00A633D7" w:rsidP="00A633D7">
      <w:pPr>
        <w:spacing w:after="0" w:line="240" w:lineRule="auto"/>
        <w:jc w:val="both"/>
        <w:rPr>
          <w:rFonts w:eastAsiaTheme="minorEastAsia" w:cs="Times New Roman"/>
          <w:lang w:eastAsia="pl-PL"/>
        </w:rPr>
      </w:pPr>
    </w:p>
    <w:p w:rsidR="00A633D7" w:rsidRDefault="00A633D7" w:rsidP="00A633D7">
      <w:pPr>
        <w:spacing w:after="0" w:line="240" w:lineRule="auto"/>
        <w:jc w:val="both"/>
        <w:rPr>
          <w:rFonts w:eastAsiaTheme="minorEastAsia" w:cs="Times New Roman"/>
          <w:lang w:eastAsia="pl-PL"/>
        </w:rPr>
      </w:pPr>
    </w:p>
    <w:p w:rsidR="00A633D7" w:rsidRDefault="00A633D7" w:rsidP="00A633D7">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10 lutego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8"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9 lutego 2015 roku do 9 lutego 2016 roku  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-11,1 %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-11,1 %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-24,5%</w:t>
            </w:r>
          </w:p>
        </w:tc>
      </w:tr>
    </w:tbl>
    <w:p w:rsidR="00A633D7" w:rsidRDefault="00A633D7" w:rsidP="00A633D7">
      <w:pPr>
        <w:spacing w:after="0" w:line="240" w:lineRule="auto"/>
        <w:jc w:val="both"/>
        <w:rPr>
          <w:rFonts w:eastAsiaTheme="minorEastAsia" w:cs="Times New Roman"/>
          <w:lang w:eastAsia="pl-PL"/>
        </w:rPr>
      </w:pPr>
    </w:p>
    <w:p w:rsidR="00A633D7" w:rsidRDefault="00A633D7" w:rsidP="00A633D7">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9"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+90,0 %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+90,0 %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-21,8 %</w:t>
            </w:r>
          </w:p>
        </w:tc>
      </w:tr>
    </w:tbl>
    <w:p w:rsidR="00A633D7" w:rsidRDefault="00A633D7" w:rsidP="00A633D7">
      <w:pPr>
        <w:spacing w:after="0" w:line="240" w:lineRule="auto"/>
        <w:jc w:val="both"/>
        <w:rPr>
          <w:rFonts w:ascii="Calibri" w:eastAsia="Times New Roman" w:hAnsi="Calibri" w:cs="Times New Roman"/>
          <w:sz w:val="90"/>
          <w:szCs w:val="90"/>
          <w:u w:val="single"/>
          <w:lang w:eastAsia="pl-PL"/>
        </w:rPr>
      </w:pPr>
      <w:r>
        <w:rPr>
          <w:rFonts w:ascii="Calibri" w:eastAsia="Times New Roman" w:hAnsi="Calibri" w:cs="Times New Roman"/>
          <w:sz w:val="90"/>
          <w:szCs w:val="90"/>
          <w:u w:val="single"/>
          <w:lang w:eastAsia="pl-PL"/>
        </w:rPr>
        <w:lastRenderedPageBreak/>
        <w:t>Wniosek końcowy z powyższych rozważań brzmi następująco:</w:t>
      </w:r>
    </w:p>
    <w:p w:rsidR="00A633D7" w:rsidRDefault="00A633D7" w:rsidP="00A633D7">
      <w:pPr>
        <w:spacing w:after="0" w:line="240" w:lineRule="auto"/>
        <w:jc w:val="both"/>
        <w:rPr>
          <w:rFonts w:ascii="Calibri" w:eastAsia="Times New Roman" w:hAnsi="Calibri" w:cs="Times New Roman"/>
          <w:color w:val="FF0000"/>
          <w:sz w:val="90"/>
          <w:szCs w:val="90"/>
          <w:u w:val="single"/>
          <w:lang w:eastAsia="pl-PL"/>
        </w:rPr>
      </w:pPr>
    </w:p>
    <w:p w:rsidR="00A633D7" w:rsidRDefault="00A633D7" w:rsidP="00A633D7">
      <w:pPr>
        <w:spacing w:after="0" w:line="240" w:lineRule="auto"/>
        <w:jc w:val="both"/>
        <w:rPr>
          <w:rFonts w:ascii="Calibri" w:eastAsia="Times New Roman" w:hAnsi="Calibri" w:cs="Times New Roman"/>
          <w:b/>
          <w:color w:val="000000" w:themeColor="text1"/>
          <w:sz w:val="70"/>
          <w:szCs w:val="70"/>
          <w:u w:val="single"/>
          <w:lang w:eastAsia="pl-PL"/>
        </w:rPr>
      </w:pPr>
      <w:r>
        <w:rPr>
          <w:rFonts w:ascii="Calibri" w:eastAsia="Times New Roman" w:hAnsi="Calibri" w:cs="Times New Roman"/>
          <w:color w:val="000000"/>
          <w:sz w:val="70"/>
          <w:szCs w:val="70"/>
          <w:lang w:eastAsia="pl-PL"/>
        </w:rPr>
        <w:t xml:space="preserve">Średnia procentowa zmiana kursu akcji spółki po wprowadzeniu jej do rubryki </w:t>
      </w:r>
      <w:proofErr w:type="gramStart"/>
      <w:r>
        <w:rPr>
          <w:rFonts w:ascii="Calibri" w:eastAsia="Times New Roman" w:hAnsi="Calibri" w:cs="Times New Roman"/>
          <w:b/>
          <w:color w:val="FF0000"/>
          <w:sz w:val="70"/>
          <w:szCs w:val="70"/>
          <w:lang w:eastAsia="pl-PL"/>
        </w:rPr>
        <w:t>,,</w:t>
      </w:r>
      <w:proofErr w:type="gramEnd"/>
      <w:r>
        <w:rPr>
          <w:rFonts w:ascii="Calibri" w:eastAsia="Times New Roman" w:hAnsi="Calibri" w:cs="Times New Roman"/>
          <w:b/>
          <w:color w:val="FF0000"/>
          <w:sz w:val="70"/>
          <w:szCs w:val="70"/>
          <w:lang w:eastAsia="pl-PL"/>
        </w:rPr>
        <w:t>Wykres do przemyślenia”</w:t>
      </w:r>
      <w:r>
        <w:rPr>
          <w:rFonts w:ascii="Calibri" w:eastAsia="Times New Roman" w:hAnsi="Calibri" w:cs="Times New Roman"/>
          <w:color w:val="000000"/>
          <w:sz w:val="70"/>
          <w:szCs w:val="70"/>
          <w:lang w:eastAsia="pl-PL"/>
        </w:rPr>
        <w:t xml:space="preserve"> w okresie 12 pierwszych miesięcy po jej wprowadzeniu do tej rubryki wynosiła </w:t>
      </w:r>
      <w:r>
        <w:rPr>
          <w:rFonts w:ascii="Calibri" w:eastAsia="Times New Roman" w:hAnsi="Calibri" w:cs="Times New Roman"/>
          <w:b/>
          <w:color w:val="FF0000"/>
          <w:sz w:val="70"/>
          <w:szCs w:val="70"/>
          <w:lang w:eastAsia="pl-PL"/>
        </w:rPr>
        <w:t>plus 14,2 %.</w:t>
      </w:r>
      <w:r>
        <w:rPr>
          <w:rFonts w:ascii="Calibri" w:eastAsia="Times New Roman" w:hAnsi="Calibri" w:cs="Times New Roman"/>
          <w:color w:val="FF0000"/>
          <w:sz w:val="70"/>
          <w:szCs w:val="70"/>
          <w:lang w:eastAsia="pl-PL"/>
        </w:rPr>
        <w:t xml:space="preserve"> </w:t>
      </w:r>
      <w:r>
        <w:rPr>
          <w:rFonts w:ascii="Calibri" w:eastAsia="Times New Roman" w:hAnsi="Calibri" w:cs="Times New Roman"/>
          <w:color w:val="000000" w:themeColor="text1"/>
          <w:sz w:val="70"/>
          <w:szCs w:val="70"/>
          <w:lang w:eastAsia="pl-PL"/>
        </w:rPr>
        <w:t xml:space="preserve">Średnia procentowa zmiana indeksu </w:t>
      </w:r>
      <w:r>
        <w:rPr>
          <w:rFonts w:ascii="Calibri" w:eastAsia="Times New Roman" w:hAnsi="Calibri" w:cs="Times New Roman"/>
          <w:color w:val="000000" w:themeColor="text1"/>
          <w:sz w:val="70"/>
          <w:szCs w:val="70"/>
          <w:u w:val="single"/>
          <w:lang w:eastAsia="pl-PL"/>
        </w:rPr>
        <w:t xml:space="preserve">WIG20 </w:t>
      </w:r>
      <w:r>
        <w:rPr>
          <w:rFonts w:ascii="Calibri" w:eastAsia="Times New Roman" w:hAnsi="Calibri" w:cs="Times New Roman"/>
          <w:color w:val="000000" w:themeColor="text1"/>
          <w:sz w:val="70"/>
          <w:szCs w:val="70"/>
          <w:lang w:eastAsia="pl-PL"/>
        </w:rPr>
        <w:t xml:space="preserve">w tym okresie wynosiła </w:t>
      </w:r>
      <w:r>
        <w:rPr>
          <w:rFonts w:ascii="Calibri" w:eastAsia="Times New Roman" w:hAnsi="Calibri" w:cs="Times New Roman"/>
          <w:b/>
          <w:color w:val="000000" w:themeColor="text1"/>
          <w:sz w:val="70"/>
          <w:szCs w:val="70"/>
          <w:u w:val="single"/>
          <w:lang w:eastAsia="pl-PL"/>
        </w:rPr>
        <w:t xml:space="preserve">minus 17,4 %. </w:t>
      </w:r>
    </w:p>
    <w:p w:rsidR="00A633D7" w:rsidRDefault="00A633D7" w:rsidP="00A633D7">
      <w:pPr>
        <w:spacing w:after="0" w:line="240" w:lineRule="auto"/>
        <w:jc w:val="both"/>
        <w:rPr>
          <w:rFonts w:ascii="Calibri" w:eastAsia="Times New Roman" w:hAnsi="Calibri" w:cs="Times New Roman"/>
          <w:b/>
          <w:color w:val="000000" w:themeColor="text1"/>
          <w:sz w:val="42"/>
          <w:szCs w:val="42"/>
          <w:u w:val="single"/>
          <w:lang w:eastAsia="pl-PL"/>
        </w:rPr>
      </w:pPr>
    </w:p>
    <w:p w:rsidR="00A633D7" w:rsidRDefault="00A633D7" w:rsidP="00A633D7">
      <w:pPr>
        <w:shd w:val="clear" w:color="auto" w:fill="FFFF00"/>
        <w:spacing w:after="0" w:line="240" w:lineRule="auto"/>
        <w:jc w:val="center"/>
        <w:rPr>
          <w:rFonts w:eastAsia="Times New Roman" w:cs="Times New Roman"/>
          <w:b/>
          <w:sz w:val="96"/>
          <w:szCs w:val="96"/>
          <w:lang w:eastAsia="pl-PL"/>
        </w:rPr>
      </w:pPr>
      <w:r>
        <w:rPr>
          <w:rFonts w:eastAsia="Times New Roman" w:cs="Times New Roman"/>
          <w:b/>
          <w:sz w:val="96"/>
          <w:szCs w:val="96"/>
          <w:lang w:eastAsia="pl-PL"/>
        </w:rPr>
        <w:lastRenderedPageBreak/>
        <w:t xml:space="preserve">Spółki dla których nie można jeszcze obliczyć procentowej zmiany kursu akcji po wprowadzeniu jej do rubryki </w:t>
      </w:r>
      <w:proofErr w:type="gramStart"/>
      <w:r>
        <w:rPr>
          <w:rFonts w:eastAsia="Times New Roman" w:cs="Times New Roman"/>
          <w:b/>
          <w:sz w:val="96"/>
          <w:szCs w:val="96"/>
          <w:lang w:eastAsia="pl-PL"/>
        </w:rPr>
        <w:t>,,</w:t>
      </w:r>
      <w:proofErr w:type="gramEnd"/>
      <w:r>
        <w:rPr>
          <w:rFonts w:eastAsia="Times New Roman" w:cs="Times New Roman"/>
          <w:b/>
          <w:sz w:val="96"/>
          <w:szCs w:val="96"/>
          <w:lang w:eastAsia="pl-PL"/>
        </w:rPr>
        <w:t xml:space="preserve">Wykres do przemyślenia” w okresie 12 pierwszych miesięcy po jej wprowadzeniu do tej rubryki </w:t>
      </w:r>
    </w:p>
    <w:p w:rsidR="00A633D7" w:rsidRDefault="00A633D7" w:rsidP="00A633D7">
      <w:pPr>
        <w:spacing w:after="0" w:line="240" w:lineRule="auto"/>
        <w:jc w:val="both"/>
        <w:rPr>
          <w:rFonts w:eastAsia="Times New Roman" w:cs="Times New Roman"/>
          <w:b/>
          <w:sz w:val="26"/>
          <w:szCs w:val="26"/>
          <w:lang w:eastAsia="pl-PL"/>
        </w:rPr>
      </w:pPr>
    </w:p>
    <w:p w:rsidR="00A633D7" w:rsidRDefault="00A633D7" w:rsidP="00A633D7">
      <w:pPr>
        <w:spacing w:after="0" w:line="240" w:lineRule="auto"/>
        <w:jc w:val="both"/>
        <w:rPr>
          <w:rFonts w:eastAsia="Times New Roman" w:cs="Times New Roman"/>
          <w:b/>
          <w:sz w:val="26"/>
          <w:szCs w:val="26"/>
          <w:lang w:eastAsia="pl-PL"/>
        </w:rPr>
      </w:pPr>
    </w:p>
    <w:p w:rsidR="00A633D7" w:rsidRDefault="00A633D7" w:rsidP="00A633D7">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1</w:t>
      </w:r>
      <w:r w:rsidR="002E6D0E">
        <w:rPr>
          <w:rFonts w:eastAsia="Times New Roman" w:cs="Times New Roman"/>
          <w:b/>
          <w:sz w:val="32"/>
          <w:szCs w:val="32"/>
          <w:u w:val="single"/>
          <w:lang w:eastAsia="pl-PL"/>
        </w:rPr>
        <w:t>8</w:t>
      </w:r>
      <w:r>
        <w:rPr>
          <w:rFonts w:eastAsia="Times New Roman" w:cs="Times New Roman"/>
          <w:b/>
          <w:sz w:val="32"/>
          <w:szCs w:val="32"/>
          <w:u w:val="single"/>
          <w:lang w:eastAsia="pl-PL"/>
        </w:rPr>
        <w:t xml:space="preserve"> marca 2016 roku</w:t>
      </w:r>
    </w:p>
    <w:p w:rsidR="00A633D7" w:rsidRDefault="00A633D7" w:rsidP="00A633D7">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30"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30</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4</w:t>
            </w:r>
            <w:r>
              <w:rPr>
                <w:rFonts w:eastAsiaTheme="minorEastAsia"/>
                <w:lang w:eastAsia="pl-PL"/>
              </w:rPr>
              <w:t>,</w:t>
            </w:r>
            <w:r w:rsidR="00AC3D14">
              <w:rPr>
                <w:rFonts w:eastAsiaTheme="minorEastAsia"/>
                <w:lang w:eastAsia="pl-PL"/>
              </w:rPr>
              <w:t>0</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w:t>
            </w:r>
            <w:r w:rsidR="00AC3D14">
              <w:rPr>
                <w:rFonts w:eastAsiaTheme="minorEastAsia"/>
                <w:b/>
                <w:color w:val="FF0000"/>
                <w:lang w:eastAsia="pl-PL"/>
              </w:rPr>
              <w:t>4</w:t>
            </w:r>
            <w:r>
              <w:rPr>
                <w:rFonts w:eastAsiaTheme="minorEastAsia"/>
                <w:b/>
                <w:color w:val="FF0000"/>
                <w:lang w:eastAsia="pl-PL"/>
              </w:rPr>
              <w:t>,</w:t>
            </w:r>
            <w:r w:rsidR="00AC3D14">
              <w:rPr>
                <w:rFonts w:eastAsiaTheme="minorEastAsia"/>
                <w:b/>
                <w:color w:val="FF0000"/>
                <w:lang w:eastAsia="pl-PL"/>
              </w:rPr>
              <w:t>0</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EC6C8C">
            <w:pPr>
              <w:jc w:val="center"/>
              <w:rPr>
                <w:rFonts w:eastAsiaTheme="minorEastAsia"/>
                <w:lang w:eastAsia="pl-PL"/>
              </w:rPr>
            </w:pPr>
            <w:r>
              <w:rPr>
                <w:rFonts w:eastAsiaTheme="minorEastAsia"/>
                <w:lang w:eastAsia="pl-PL"/>
              </w:rPr>
              <w:t>1 9</w:t>
            </w:r>
            <w:r w:rsidR="00EC6C8C">
              <w:rPr>
                <w:rFonts w:eastAsiaTheme="minorEastAsia"/>
                <w:lang w:eastAsia="pl-PL"/>
              </w:rPr>
              <w:t>61</w:t>
            </w:r>
            <w:r>
              <w:rPr>
                <w:rFonts w:eastAsiaTheme="minorEastAsia"/>
                <w:lang w:eastAsia="pl-PL"/>
              </w:rPr>
              <w:t>,</w:t>
            </w:r>
            <w:r w:rsidR="00EC6C8C">
              <w:rPr>
                <w:rFonts w:eastAsiaTheme="minorEastAsia"/>
                <w:lang w:eastAsia="pl-PL"/>
              </w:rPr>
              <w:t>9</w:t>
            </w:r>
            <w:r>
              <w:rPr>
                <w:rFonts w:eastAsiaTheme="minorEastAsia"/>
                <w:lang w:eastAsia="pl-PL"/>
              </w:rPr>
              <w:t>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9</w:t>
            </w:r>
            <w:r>
              <w:rPr>
                <w:rFonts w:eastAsiaTheme="minorEastAsia"/>
                <w:lang w:eastAsia="pl-PL"/>
              </w:rPr>
              <w:t>,</w:t>
            </w:r>
            <w:r w:rsidR="00AC3D14">
              <w:rPr>
                <w:rFonts w:eastAsiaTheme="minorEastAsia"/>
                <w:lang w:eastAsia="pl-PL"/>
              </w:rPr>
              <w:t>1</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5 maja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31"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4 maja 2015 roku 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1</w:t>
            </w:r>
            <w:r>
              <w:rPr>
                <w:rFonts w:eastAsiaTheme="minorEastAsia"/>
                <w:lang w:eastAsia="pl-PL"/>
              </w:rPr>
              <w:t>,</w:t>
            </w:r>
            <w:r w:rsidR="00AC3D14">
              <w:rPr>
                <w:rFonts w:eastAsiaTheme="minorEastAsia"/>
                <w:lang w:eastAsia="pl-PL"/>
              </w:rPr>
              <w:t>67</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+5,1</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+5,1</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2 523,09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w:t>
            </w:r>
            <w:r w:rsidR="00AC3D14">
              <w:rPr>
                <w:rFonts w:eastAsiaTheme="minorEastAsia"/>
                <w:lang w:eastAsia="pl-PL"/>
              </w:rPr>
              <w:t>2</w:t>
            </w:r>
            <w:r>
              <w:rPr>
                <w:rFonts w:eastAsiaTheme="minorEastAsia"/>
                <w:lang w:eastAsia="pl-PL"/>
              </w:rPr>
              <w:t>,</w:t>
            </w:r>
            <w:r w:rsidR="00AC3D14">
              <w:rPr>
                <w:rFonts w:eastAsiaTheme="minorEastAsia"/>
                <w:lang w:eastAsia="pl-PL"/>
              </w:rPr>
              <w:t>2</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 akcji trzech spółek, których akcje zostały umieszczone w dniu 1 lipca na stronie internetowej </w:t>
      </w:r>
      <w:hyperlink r:id="rId32" w:history="1">
        <w:r>
          <w:rPr>
            <w:rStyle w:val="Hipercze"/>
            <w:rFonts w:eastAsia="Times New Roman" w:cs="Times New Roman"/>
            <w:sz w:val="32"/>
            <w:szCs w:val="32"/>
            <w:lang w:eastAsia="pl-PL"/>
          </w:rPr>
          <w:t>http://analizy-rynkowe.pl/</w:t>
        </w:r>
      </w:hyperlink>
      <w:r>
        <w:rPr>
          <w:rFonts w:eastAsia="Times New Roman" w:cs="Times New Roman"/>
          <w:sz w:val="32"/>
          <w:szCs w:val="32"/>
          <w:lang w:eastAsia="pl-PL"/>
        </w:rPr>
        <w:t xml:space="preserve"> w rubryce ,,Wykres do przemyślenia” w okresie od 30 czerwca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w:t>
      </w:r>
      <w:proofErr w:type="gramStart"/>
      <w:r>
        <w:rPr>
          <w:rFonts w:eastAsia="Times New Roman" w:cs="Times New Roman"/>
          <w:sz w:val="30"/>
          <w:szCs w:val="30"/>
          <w:lang w:eastAsia="pl-PL"/>
        </w:rPr>
        <w:t xml:space="preserve">roku  </w:t>
      </w:r>
      <w:r>
        <w:rPr>
          <w:rFonts w:eastAsia="Times New Roman" w:cs="Times New Roman"/>
          <w:sz w:val="32"/>
          <w:szCs w:val="32"/>
          <w:lang w:eastAsia="pl-PL"/>
        </w:rPr>
        <w:t>oraz</w:t>
      </w:r>
      <w:proofErr w:type="gramEnd"/>
      <w:r>
        <w:rPr>
          <w:rFonts w:eastAsia="Times New Roman" w:cs="Times New Roman"/>
          <w:sz w:val="32"/>
          <w:szCs w:val="32"/>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30.06.2015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TIM</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9,49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8,</w:t>
            </w:r>
            <w:r w:rsidR="00AC3D14">
              <w:rPr>
                <w:rFonts w:eastAsiaTheme="minorEastAsia"/>
                <w:lang w:eastAsia="pl-PL"/>
              </w:rPr>
              <w:t>41</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11</w:t>
            </w:r>
            <w:r>
              <w:rPr>
                <w:rFonts w:eastAsiaTheme="minorEastAsia"/>
                <w:lang w:eastAsia="pl-PL"/>
              </w:rPr>
              <w:t>,4 %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Unima</w:t>
            </w:r>
            <w:proofErr w:type="spellEnd"/>
            <w:proofErr w:type="gramEnd"/>
            <w:r>
              <w:rPr>
                <w:rFonts w:eastAsiaTheme="minorEastAsia"/>
                <w:lang w:eastAsia="pl-PL"/>
              </w:rPr>
              <w:t xml:space="preserve"> 2000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2,58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w:t>
            </w:r>
            <w:r w:rsidR="00AC3D14">
              <w:rPr>
                <w:rFonts w:eastAsiaTheme="minorEastAsia"/>
                <w:lang w:eastAsia="pl-PL"/>
              </w:rPr>
              <w:t>33</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9</w:t>
            </w:r>
            <w:r>
              <w:rPr>
                <w:rFonts w:eastAsiaTheme="minorEastAsia"/>
                <w:lang w:eastAsia="pl-PL"/>
              </w:rPr>
              <w:t>,7 %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Variant</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1,77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1,68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-5,1  %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w:t>
            </w:r>
            <w:r w:rsidR="00AC3D14">
              <w:rPr>
                <w:rFonts w:eastAsiaTheme="minorEastAsia"/>
                <w:b/>
                <w:color w:val="FF0000"/>
                <w:lang w:eastAsia="pl-PL"/>
              </w:rPr>
              <w:t>8</w:t>
            </w:r>
            <w:r>
              <w:rPr>
                <w:rFonts w:eastAsiaTheme="minorEastAsia"/>
                <w:b/>
                <w:color w:val="FF0000"/>
                <w:lang w:eastAsia="pl-PL"/>
              </w:rPr>
              <w:t>,</w:t>
            </w:r>
            <w:r w:rsidR="00AC3D14">
              <w:rPr>
                <w:rFonts w:eastAsiaTheme="minorEastAsia"/>
                <w:b/>
                <w:color w:val="FF0000"/>
                <w:lang w:eastAsia="pl-PL"/>
              </w:rPr>
              <w:t>7</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2317,84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5</w:t>
            </w:r>
            <w:r>
              <w:rPr>
                <w:rFonts w:eastAsiaTheme="minorEastAsia"/>
                <w:lang w:eastAsia="pl-PL"/>
              </w:rPr>
              <w:t>,</w:t>
            </w:r>
            <w:r w:rsidR="00AC3D14">
              <w:rPr>
                <w:rFonts w:eastAsiaTheme="minorEastAsia"/>
                <w:lang w:eastAsia="pl-PL"/>
              </w:rPr>
              <w:t>4</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lastRenderedPageBreak/>
        <w:t xml:space="preserve">Tabela: Procentowa zmiana ceny akcji spółki, której akcje zostały umieszczone 21 lipca 2015 roku </w:t>
      </w:r>
      <w:proofErr w:type="gramStart"/>
      <w:r>
        <w:rPr>
          <w:rFonts w:eastAsia="Times New Roman" w:cs="Times New Roman"/>
          <w:sz w:val="28"/>
          <w:szCs w:val="28"/>
          <w:lang w:eastAsia="pl-PL"/>
        </w:rPr>
        <w:t>na  stronie</w:t>
      </w:r>
      <w:proofErr w:type="gramEnd"/>
      <w:r>
        <w:rPr>
          <w:rFonts w:eastAsia="Times New Roman" w:cs="Times New Roman"/>
          <w:sz w:val="28"/>
          <w:szCs w:val="28"/>
          <w:lang w:eastAsia="pl-PL"/>
        </w:rPr>
        <w:t xml:space="preserve"> internetowej </w:t>
      </w:r>
      <w:hyperlink r:id="rId33" w:history="1">
        <w:r>
          <w:rPr>
            <w:rStyle w:val="Hipercze"/>
            <w:rFonts w:eastAsia="Times New Roman" w:cs="Times New Roman"/>
            <w:sz w:val="28"/>
            <w:szCs w:val="28"/>
            <w:lang w:eastAsia="pl-PL"/>
          </w:rPr>
          <w:t>www.analizy-rynkowe.pl</w:t>
        </w:r>
      </w:hyperlink>
      <w:r>
        <w:rPr>
          <w:rFonts w:eastAsia="Times New Roman" w:cs="Times New Roman"/>
          <w:sz w:val="28"/>
          <w:szCs w:val="28"/>
          <w:lang w:eastAsia="pl-PL"/>
        </w:rPr>
        <w:t xml:space="preserve"> w </w:t>
      </w:r>
      <w:proofErr w:type="gramStart"/>
      <w:r>
        <w:rPr>
          <w:rFonts w:eastAsia="Times New Roman" w:cs="Times New Roman"/>
          <w:sz w:val="28"/>
          <w:szCs w:val="28"/>
          <w:lang w:eastAsia="pl-PL"/>
        </w:rPr>
        <w:t>rubryce  ,,Wykres</w:t>
      </w:r>
      <w:proofErr w:type="gramEnd"/>
      <w:r>
        <w:rPr>
          <w:rFonts w:eastAsia="Times New Roman" w:cs="Times New Roman"/>
          <w:sz w:val="28"/>
          <w:szCs w:val="28"/>
          <w:lang w:eastAsia="pl-PL"/>
        </w:rPr>
        <w:t xml:space="preserve"> do przemyślenia” w okresie od 21 lipca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28"/>
          <w:szCs w:val="28"/>
          <w:lang w:eastAsia="pl-PL"/>
        </w:rPr>
        <w:t xml:space="preserve">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21.07.2015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Ropczyce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20,80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w:t>
            </w:r>
            <w:r w:rsidR="00AC3D14">
              <w:rPr>
                <w:rFonts w:eastAsiaTheme="minorEastAsia"/>
                <w:lang w:eastAsia="pl-PL"/>
              </w:rPr>
              <w:t>1</w:t>
            </w:r>
            <w:r>
              <w:rPr>
                <w:rFonts w:eastAsiaTheme="minorEastAsia"/>
                <w:lang w:eastAsia="pl-PL"/>
              </w:rPr>
              <w:t>,</w:t>
            </w:r>
            <w:r w:rsidR="00AC3D14">
              <w:rPr>
                <w:rFonts w:eastAsiaTheme="minorEastAsia"/>
                <w:lang w:eastAsia="pl-PL"/>
              </w:rPr>
              <w:t>72</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4</w:t>
            </w:r>
            <w:r>
              <w:rPr>
                <w:rFonts w:eastAsiaTheme="minorEastAsia"/>
                <w:lang w:eastAsia="pl-PL"/>
              </w:rPr>
              <w:t>,</w:t>
            </w:r>
            <w:r w:rsidR="00AC3D14">
              <w:rPr>
                <w:rFonts w:eastAsiaTheme="minorEastAsia"/>
                <w:lang w:eastAsia="pl-PL"/>
              </w:rPr>
              <w:t>4</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w:t>
            </w:r>
            <w:r w:rsidR="00AC3D14">
              <w:rPr>
                <w:rFonts w:eastAsiaTheme="minorEastAsia"/>
                <w:b/>
                <w:color w:val="FF0000"/>
                <w:lang w:eastAsia="pl-PL"/>
              </w:rPr>
              <w:t>4</w:t>
            </w:r>
            <w:r>
              <w:rPr>
                <w:rFonts w:eastAsiaTheme="minorEastAsia"/>
                <w:b/>
                <w:color w:val="FF0000"/>
                <w:lang w:eastAsia="pl-PL"/>
              </w:rPr>
              <w:t>,</w:t>
            </w:r>
            <w:r w:rsidR="00AC3D14">
              <w:rPr>
                <w:rFonts w:eastAsiaTheme="minorEastAsia"/>
                <w:b/>
                <w:color w:val="FF0000"/>
                <w:lang w:eastAsia="pl-PL"/>
              </w:rPr>
              <w:t>4</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2 444,63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2</w:t>
            </w:r>
            <w:r>
              <w:rPr>
                <w:rFonts w:eastAsiaTheme="minorEastAsia"/>
                <w:lang w:eastAsia="pl-PL"/>
              </w:rPr>
              <w:t>,</w:t>
            </w:r>
            <w:r w:rsidR="00AC3D14">
              <w:rPr>
                <w:rFonts w:eastAsiaTheme="minorEastAsia"/>
                <w:lang w:eastAsia="pl-PL"/>
              </w:rPr>
              <w:t>6</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23 lipca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4"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22 lipca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22.07.2015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Eurocash</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41,26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5</w:t>
            </w:r>
            <w:r w:rsidR="00AC3D14">
              <w:rPr>
                <w:rFonts w:eastAsiaTheme="minorEastAsia"/>
                <w:lang w:eastAsia="pl-PL"/>
              </w:rPr>
              <w:t>3</w:t>
            </w:r>
            <w:r>
              <w:rPr>
                <w:rFonts w:eastAsiaTheme="minorEastAsia"/>
                <w:lang w:eastAsia="pl-PL"/>
              </w:rPr>
              <w:t>,</w:t>
            </w:r>
            <w:r w:rsidR="00AC3D14">
              <w:rPr>
                <w:rFonts w:eastAsiaTheme="minorEastAsia"/>
                <w:lang w:eastAsia="pl-PL"/>
              </w:rPr>
              <w:t>28</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w:t>
            </w:r>
            <w:r w:rsidR="00AC3D14">
              <w:rPr>
                <w:rFonts w:eastAsiaTheme="minorEastAsia"/>
                <w:lang w:eastAsia="pl-PL"/>
              </w:rPr>
              <w:t>9</w:t>
            </w:r>
            <w:r>
              <w:rPr>
                <w:rFonts w:eastAsiaTheme="minorEastAsia"/>
                <w:lang w:eastAsia="pl-PL"/>
              </w:rPr>
              <w:t>,</w:t>
            </w:r>
            <w:r w:rsidR="00AC3D14">
              <w:rPr>
                <w:rFonts w:eastAsiaTheme="minorEastAsia"/>
                <w:lang w:eastAsia="pl-PL"/>
              </w:rPr>
              <w:t>1</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+2</w:t>
            </w:r>
            <w:r w:rsidR="00AC3D14">
              <w:rPr>
                <w:rFonts w:eastAsiaTheme="minorEastAsia"/>
                <w:b/>
                <w:color w:val="FF0000"/>
                <w:lang w:eastAsia="pl-PL"/>
              </w:rPr>
              <w:t>9</w:t>
            </w:r>
            <w:r>
              <w:rPr>
                <w:rFonts w:eastAsiaTheme="minorEastAsia"/>
                <w:b/>
                <w:color w:val="FF0000"/>
                <w:lang w:eastAsia="pl-PL"/>
              </w:rPr>
              <w:t>,</w:t>
            </w:r>
            <w:r w:rsidR="00AC3D14">
              <w:rPr>
                <w:rFonts w:eastAsiaTheme="minorEastAsia"/>
                <w:b/>
                <w:color w:val="FF0000"/>
                <w:lang w:eastAsia="pl-PL"/>
              </w:rPr>
              <w:t>1</w:t>
            </w:r>
            <w:r>
              <w:rPr>
                <w:rFonts w:eastAsiaTheme="minorEastAsia"/>
                <w:b/>
                <w:color w:val="FF0000"/>
                <w:lang w:eastAsia="pl-PL"/>
              </w:rPr>
              <w:t>%</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2 185,83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0</w:t>
            </w:r>
            <w:r>
              <w:rPr>
                <w:rFonts w:eastAsiaTheme="minorEastAsia"/>
                <w:lang w:eastAsia="pl-PL"/>
              </w:rPr>
              <w:t>,</w:t>
            </w:r>
            <w:r w:rsidR="00AC3D14">
              <w:rPr>
                <w:rFonts w:eastAsiaTheme="minorEastAsia"/>
                <w:lang w:eastAsia="pl-PL"/>
              </w:rPr>
              <w:t>2</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lang w:eastAsia="pl-PL"/>
        </w:rPr>
      </w:pPr>
    </w:p>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3 września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5"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 września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02.09.2015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Agora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11,20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1</w:t>
            </w:r>
            <w:r w:rsidR="00AC3D14">
              <w:rPr>
                <w:rFonts w:eastAsiaTheme="minorEastAsia"/>
                <w:lang w:eastAsia="pl-PL"/>
              </w:rPr>
              <w:t>2</w:t>
            </w:r>
            <w:r>
              <w:rPr>
                <w:rFonts w:eastAsiaTheme="minorEastAsia"/>
                <w:lang w:eastAsia="pl-PL"/>
              </w:rPr>
              <w:t>,</w:t>
            </w:r>
            <w:r w:rsidR="00AC3D14">
              <w:rPr>
                <w:rFonts w:eastAsiaTheme="minorEastAsia"/>
                <w:lang w:eastAsia="pl-PL"/>
              </w:rPr>
              <w:t>69</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 xml:space="preserve">13,3 </w:t>
            </w:r>
            <w:r>
              <w:rPr>
                <w:rFonts w:eastAsiaTheme="minorEastAsia"/>
                <w:lang w:eastAsia="pl-PL"/>
              </w:rPr>
              <w:t>%</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13</w:t>
            </w:r>
            <w:r>
              <w:rPr>
                <w:rFonts w:eastAsiaTheme="minorEastAsia"/>
                <w:b/>
                <w:color w:val="FF0000"/>
                <w:lang w:eastAsia="pl-PL"/>
              </w:rPr>
              <w:t>,</w:t>
            </w:r>
            <w:r w:rsidR="00AC3D14">
              <w:rPr>
                <w:rFonts w:eastAsiaTheme="minorEastAsia"/>
                <w:b/>
                <w:color w:val="FF0000"/>
                <w:lang w:eastAsia="pl-PL"/>
              </w:rPr>
              <w:t>3</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2 107,58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6</w:t>
            </w:r>
            <w:r>
              <w:rPr>
                <w:rFonts w:eastAsiaTheme="minorEastAsia"/>
                <w:lang w:eastAsia="pl-PL"/>
              </w:rPr>
              <w:t>,</w:t>
            </w:r>
            <w:r w:rsidR="00AC3D14">
              <w:rPr>
                <w:rFonts w:eastAsiaTheme="minorEastAsia"/>
                <w:lang w:eastAsia="pl-PL"/>
              </w:rPr>
              <w:t xml:space="preserve">9 </w:t>
            </w:r>
            <w:r>
              <w:rPr>
                <w:rFonts w:eastAsiaTheme="minorEastAsia"/>
                <w:lang w:eastAsia="pl-PL"/>
              </w:rPr>
              <w:t>%</w:t>
            </w:r>
          </w:p>
        </w:tc>
      </w:tr>
    </w:tbl>
    <w:p w:rsidR="00A633D7" w:rsidRDefault="00A633D7" w:rsidP="00A633D7">
      <w:pPr>
        <w:spacing w:after="0" w:line="240" w:lineRule="auto"/>
        <w:jc w:val="both"/>
        <w:rPr>
          <w:rFonts w:eastAsia="Times New Roman" w:cs="Times New Roman"/>
          <w:sz w:val="32"/>
          <w:szCs w:val="32"/>
          <w:lang w:eastAsia="pl-PL"/>
        </w:rPr>
      </w:pPr>
    </w:p>
    <w:p w:rsidR="00A633D7" w:rsidRDefault="00A633D7" w:rsidP="00A633D7">
      <w:pPr>
        <w:spacing w:after="0" w:line="240" w:lineRule="auto"/>
        <w:jc w:val="both"/>
        <w:rPr>
          <w:rFonts w:eastAsia="Times New Roman" w:cs="Times New Roman"/>
          <w:sz w:val="32"/>
          <w:szCs w:val="32"/>
          <w:lang w:eastAsia="pl-PL"/>
        </w:rPr>
      </w:pPr>
    </w:p>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lastRenderedPageBreak/>
        <w:t xml:space="preserve">Tabela: Procentowa zmiana ceny akcji spółki, której akcje zostały umieszczone 4 września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6"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3 września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03.09.2015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BZWBK</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309,00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29</w:t>
            </w:r>
            <w:r w:rsidR="00AC3D14">
              <w:rPr>
                <w:rFonts w:eastAsiaTheme="minorEastAsia"/>
                <w:lang w:eastAsia="pl-PL"/>
              </w:rPr>
              <w:t>4</w:t>
            </w:r>
            <w:r>
              <w:rPr>
                <w:rFonts w:eastAsiaTheme="minorEastAsia"/>
                <w:lang w:eastAsia="pl-PL"/>
              </w:rPr>
              <w:t>,</w:t>
            </w:r>
            <w:r w:rsidR="00AC3D14">
              <w:rPr>
                <w:rFonts w:eastAsiaTheme="minorEastAsia"/>
                <w:lang w:eastAsia="pl-PL"/>
              </w:rPr>
              <w:t>2</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4</w:t>
            </w:r>
            <w:r>
              <w:rPr>
                <w:rFonts w:eastAsiaTheme="minorEastAsia"/>
                <w:lang w:eastAsia="pl-PL"/>
              </w:rPr>
              <w:t>,</w:t>
            </w:r>
            <w:r w:rsidR="00AC3D14">
              <w:rPr>
                <w:rFonts w:eastAsiaTheme="minorEastAsia"/>
                <w:lang w:eastAsia="pl-PL"/>
              </w:rPr>
              <w:t>8</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4</w:t>
            </w:r>
            <w:r>
              <w:rPr>
                <w:rFonts w:eastAsiaTheme="minorEastAsia"/>
                <w:b/>
                <w:color w:val="FF0000"/>
                <w:lang w:eastAsia="pl-PL"/>
              </w:rPr>
              <w:t>,</w:t>
            </w:r>
            <w:r w:rsidR="00AC3D14">
              <w:rPr>
                <w:rFonts w:eastAsiaTheme="minorEastAsia"/>
                <w:b/>
                <w:color w:val="FF0000"/>
                <w:lang w:eastAsia="pl-PL"/>
              </w:rPr>
              <w:t>8</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2 155,07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9</w:t>
            </w:r>
            <w:r>
              <w:rPr>
                <w:rFonts w:eastAsiaTheme="minorEastAsia"/>
                <w:lang w:eastAsia="pl-PL"/>
              </w:rPr>
              <w:t>,</w:t>
            </w:r>
            <w:r w:rsidR="00AC3D14">
              <w:rPr>
                <w:rFonts w:eastAsiaTheme="minorEastAsia"/>
                <w:lang w:eastAsia="pl-PL"/>
              </w:rPr>
              <w:t>0</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26"/>
          <w:szCs w:val="26"/>
          <w:lang w:eastAsia="pl-PL"/>
        </w:rPr>
      </w:pPr>
    </w:p>
    <w:p w:rsidR="00A633D7" w:rsidRDefault="00A633D7" w:rsidP="00A633D7">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9 października na stronie internetowej </w:t>
      </w:r>
      <w:hyperlink r:id="rId37"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października 2015 roku do 11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08.10.2015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Netmedia</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5,69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5,70zł.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+0,</w:t>
            </w:r>
            <w:r w:rsidR="00AC3D14">
              <w:rPr>
                <w:rFonts w:eastAsiaTheme="minorEastAsia"/>
                <w:lang w:eastAsia="pl-PL"/>
              </w:rPr>
              <w:t>2</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color w:val="000000" w:themeColor="text1"/>
                <w:lang w:eastAsia="pl-PL"/>
              </w:rPr>
            </w:pPr>
            <w:r>
              <w:rPr>
                <w:rFonts w:eastAsiaTheme="minorEastAsia"/>
                <w:color w:val="000000" w:themeColor="text1"/>
                <w:lang w:eastAsia="pl-PL"/>
              </w:rPr>
              <w:t xml:space="preserve">312,70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color w:val="000000" w:themeColor="text1"/>
                <w:lang w:eastAsia="pl-PL"/>
              </w:rPr>
            </w:pPr>
            <w:r>
              <w:rPr>
                <w:rFonts w:eastAsiaTheme="minorEastAsia"/>
                <w:color w:val="000000" w:themeColor="text1"/>
                <w:lang w:eastAsia="pl-PL"/>
              </w:rPr>
              <w:t>2</w:t>
            </w:r>
            <w:r w:rsidR="00AC3D14">
              <w:rPr>
                <w:rFonts w:eastAsiaTheme="minorEastAsia"/>
                <w:color w:val="000000" w:themeColor="text1"/>
                <w:lang w:eastAsia="pl-PL"/>
              </w:rPr>
              <w:t>95</w:t>
            </w:r>
            <w:r>
              <w:rPr>
                <w:rFonts w:eastAsiaTheme="minorEastAsia"/>
                <w:color w:val="000000" w:themeColor="text1"/>
                <w:lang w:eastAsia="pl-PL"/>
              </w:rPr>
              <w:t>,</w:t>
            </w:r>
            <w:r w:rsidR="00AC3D14">
              <w:rPr>
                <w:rFonts w:eastAsiaTheme="minorEastAsia"/>
                <w:color w:val="000000" w:themeColor="text1"/>
                <w:lang w:eastAsia="pl-PL"/>
              </w:rPr>
              <w:t>0</w:t>
            </w:r>
            <w:r>
              <w:rPr>
                <w:rFonts w:eastAsiaTheme="minorEastAsia"/>
                <w:color w:val="000000" w:themeColor="text1"/>
                <w:lang w:eastAsia="pl-PL"/>
              </w:rPr>
              <w:t xml:space="preserve">0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color w:val="000000" w:themeColor="text1"/>
                <w:lang w:eastAsia="pl-PL"/>
              </w:rPr>
            </w:pPr>
            <w:r>
              <w:rPr>
                <w:rFonts w:eastAsiaTheme="minorEastAsia"/>
                <w:color w:val="000000" w:themeColor="text1"/>
                <w:lang w:eastAsia="pl-PL"/>
              </w:rPr>
              <w:t xml:space="preserve"> -</w:t>
            </w:r>
            <w:r w:rsidR="00AC3D14">
              <w:rPr>
                <w:rFonts w:eastAsiaTheme="minorEastAsia"/>
                <w:color w:val="000000" w:themeColor="text1"/>
                <w:lang w:eastAsia="pl-PL"/>
              </w:rPr>
              <w:t>5</w:t>
            </w:r>
            <w:r>
              <w:rPr>
                <w:rFonts w:eastAsiaTheme="minorEastAsia"/>
                <w:color w:val="000000" w:themeColor="text1"/>
                <w:lang w:eastAsia="pl-PL"/>
              </w:rPr>
              <w:t>,</w:t>
            </w:r>
            <w:r w:rsidR="00AC3D14">
              <w:rPr>
                <w:rFonts w:eastAsiaTheme="minorEastAsia"/>
                <w:color w:val="000000" w:themeColor="text1"/>
                <w:lang w:eastAsia="pl-PL"/>
              </w:rPr>
              <w:t>7</w:t>
            </w:r>
            <w:r>
              <w:rPr>
                <w:rFonts w:eastAsiaTheme="minorEastAsia"/>
                <w:color w:val="000000" w:themeColor="text1"/>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w:t>
            </w:r>
            <w:r w:rsidR="00AC3D14">
              <w:rPr>
                <w:rFonts w:eastAsiaTheme="minorEastAsia"/>
                <w:b/>
                <w:color w:val="FF0000"/>
                <w:lang w:eastAsia="pl-PL"/>
              </w:rPr>
              <w:t>2</w:t>
            </w:r>
            <w:r>
              <w:rPr>
                <w:rFonts w:eastAsiaTheme="minorEastAsia"/>
                <w:b/>
                <w:color w:val="FF0000"/>
                <w:lang w:eastAsia="pl-PL"/>
              </w:rPr>
              <w:t>,</w:t>
            </w:r>
            <w:r w:rsidR="00AC3D14">
              <w:rPr>
                <w:rFonts w:eastAsiaTheme="minorEastAsia"/>
                <w:b/>
                <w:color w:val="FF0000"/>
                <w:lang w:eastAsia="pl-PL"/>
              </w:rPr>
              <w:t>7</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2 126,48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7</w:t>
            </w:r>
            <w:r>
              <w:rPr>
                <w:rFonts w:eastAsiaTheme="minorEastAsia"/>
                <w:lang w:eastAsia="pl-PL"/>
              </w:rPr>
              <w:t>,</w:t>
            </w:r>
            <w:r w:rsidR="00AC3D14">
              <w:rPr>
                <w:rFonts w:eastAsiaTheme="minorEastAsia"/>
                <w:lang w:eastAsia="pl-PL"/>
              </w:rPr>
              <w:t>7</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14 października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8"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13 października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13.10.2015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Cyfrowy Polsat</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24,93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2</w:t>
            </w:r>
            <w:r w:rsidR="00AC3D14">
              <w:rPr>
                <w:rFonts w:eastAsiaTheme="minorEastAsia"/>
                <w:lang w:eastAsia="pl-PL"/>
              </w:rPr>
              <w:t>2</w:t>
            </w:r>
            <w:r>
              <w:rPr>
                <w:rFonts w:eastAsiaTheme="minorEastAsia"/>
                <w:lang w:eastAsia="pl-PL"/>
              </w:rPr>
              <w:t>,</w:t>
            </w:r>
            <w:r w:rsidR="00AC3D14">
              <w:rPr>
                <w:rFonts w:eastAsiaTheme="minorEastAsia"/>
                <w:lang w:eastAsia="pl-PL"/>
              </w:rPr>
              <w:t>86</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8</w:t>
            </w:r>
            <w:r>
              <w:rPr>
                <w:rFonts w:eastAsiaTheme="minorEastAsia"/>
                <w:lang w:eastAsia="pl-PL"/>
              </w:rPr>
              <w:t>,3 %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8</w:t>
            </w:r>
            <w:r>
              <w:rPr>
                <w:rFonts w:eastAsiaTheme="minorEastAsia"/>
                <w:b/>
                <w:color w:val="FF0000"/>
                <w:lang w:eastAsia="pl-PL"/>
              </w:rPr>
              <w:t>,</w:t>
            </w:r>
            <w:r w:rsidR="00AC3D14">
              <w:rPr>
                <w:rFonts w:eastAsiaTheme="minorEastAsia"/>
                <w:b/>
                <w:color w:val="FF0000"/>
                <w:lang w:eastAsia="pl-PL"/>
              </w:rPr>
              <w:t>3</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2 123,43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7</w:t>
            </w:r>
            <w:r>
              <w:rPr>
                <w:rFonts w:eastAsiaTheme="minorEastAsia"/>
                <w:lang w:eastAsia="pl-PL"/>
              </w:rPr>
              <w:t>,</w:t>
            </w:r>
            <w:r w:rsidR="00AC3D14">
              <w:rPr>
                <w:rFonts w:eastAsiaTheme="minorEastAsia"/>
                <w:lang w:eastAsia="pl-PL"/>
              </w:rPr>
              <w:t>6</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lastRenderedPageBreak/>
        <w:t xml:space="preserve">Tabela: Procentowa zmiana ceny akcji spółki, której akcje zostały umieszczone 17 października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9"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13 października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16.10.2015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Dębica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85,40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8</w:t>
            </w:r>
            <w:r w:rsidR="00AC3D14">
              <w:rPr>
                <w:rFonts w:eastAsiaTheme="minorEastAsia"/>
                <w:lang w:eastAsia="pl-PL"/>
              </w:rPr>
              <w:t>6</w:t>
            </w:r>
            <w:r>
              <w:rPr>
                <w:rFonts w:eastAsiaTheme="minorEastAsia"/>
                <w:lang w:eastAsia="pl-PL"/>
              </w:rPr>
              <w:t>,</w:t>
            </w:r>
            <w:r w:rsidR="00AC3D14">
              <w:rPr>
                <w:rFonts w:eastAsiaTheme="minorEastAsia"/>
                <w:lang w:eastAsia="pl-PL"/>
              </w:rPr>
              <w:t>25</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1</w:t>
            </w:r>
            <w:r>
              <w:rPr>
                <w:rFonts w:eastAsiaTheme="minorEastAsia"/>
                <w:lang w:eastAsia="pl-PL"/>
              </w:rPr>
              <w:t>,</w:t>
            </w:r>
            <w:r w:rsidR="00AC3D14">
              <w:rPr>
                <w:rFonts w:eastAsiaTheme="minorEastAsia"/>
                <w:lang w:eastAsia="pl-PL"/>
              </w:rPr>
              <w:t>0</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1</w:t>
            </w:r>
            <w:r>
              <w:rPr>
                <w:rFonts w:eastAsiaTheme="minorEastAsia"/>
                <w:b/>
                <w:color w:val="FF0000"/>
                <w:lang w:eastAsia="pl-PL"/>
              </w:rPr>
              <w:t>,</w:t>
            </w:r>
            <w:r w:rsidR="00AC3D14">
              <w:rPr>
                <w:rFonts w:eastAsiaTheme="minorEastAsia"/>
                <w:b/>
                <w:color w:val="FF0000"/>
                <w:lang w:eastAsia="pl-PL"/>
              </w:rPr>
              <w:t>0</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2 121,94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w:t>
            </w:r>
            <w:r w:rsidR="00AC3D14">
              <w:rPr>
                <w:rFonts w:eastAsiaTheme="minorEastAsia"/>
                <w:lang w:eastAsia="pl-PL"/>
              </w:rPr>
              <w:t>7</w:t>
            </w:r>
            <w:r>
              <w:rPr>
                <w:rFonts w:eastAsiaTheme="minorEastAsia"/>
                <w:lang w:eastAsia="pl-PL"/>
              </w:rPr>
              <w:t>,</w:t>
            </w:r>
            <w:r w:rsidR="00AC3D14">
              <w:rPr>
                <w:rFonts w:eastAsiaTheme="minorEastAsia"/>
                <w:lang w:eastAsia="pl-PL"/>
              </w:rPr>
              <w:t>5</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4 listopada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4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 listopada </w:t>
      </w:r>
      <w:r>
        <w:rPr>
          <w:rFonts w:eastAsia="Times New Roman" w:cs="Times New Roman"/>
          <w:sz w:val="26"/>
          <w:szCs w:val="26"/>
          <w:lang w:eastAsia="pl-PL"/>
        </w:rPr>
        <w:t xml:space="preserve">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03.11.2015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Alta </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2,19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C3D14" w:rsidP="00AC3D14">
            <w:pPr>
              <w:jc w:val="center"/>
              <w:rPr>
                <w:rFonts w:eastAsiaTheme="minorEastAsia"/>
                <w:lang w:eastAsia="pl-PL"/>
              </w:rPr>
            </w:pPr>
            <w:r>
              <w:rPr>
                <w:rFonts w:eastAsiaTheme="minorEastAsia"/>
                <w:lang w:eastAsia="pl-PL"/>
              </w:rPr>
              <w:t>4</w:t>
            </w:r>
            <w:r w:rsidR="00A633D7">
              <w:rPr>
                <w:rFonts w:eastAsiaTheme="minorEastAsia"/>
                <w:lang w:eastAsia="pl-PL"/>
              </w:rPr>
              <w:t>,</w:t>
            </w:r>
            <w:r>
              <w:rPr>
                <w:rFonts w:eastAsiaTheme="minorEastAsia"/>
                <w:lang w:eastAsia="pl-PL"/>
              </w:rPr>
              <w:t>16</w:t>
            </w:r>
            <w:r w:rsidR="00A633D7">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90</w:t>
            </w:r>
            <w:r>
              <w:rPr>
                <w:rFonts w:eastAsiaTheme="minorEastAsia"/>
                <w:lang w:eastAsia="pl-PL"/>
              </w:rPr>
              <w:t>,</w:t>
            </w:r>
            <w:r w:rsidR="00AC3D14">
              <w:rPr>
                <w:rFonts w:eastAsiaTheme="minorEastAsia"/>
                <w:lang w:eastAsia="pl-PL"/>
              </w:rPr>
              <w:t>0</w:t>
            </w:r>
            <w:r>
              <w:rPr>
                <w:rFonts w:eastAsiaTheme="minorEastAsia"/>
                <w:lang w:eastAsia="pl-PL"/>
              </w:rPr>
              <w:t>%</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90</w:t>
            </w:r>
            <w:r>
              <w:rPr>
                <w:rFonts w:eastAsiaTheme="minorEastAsia"/>
                <w:b/>
                <w:color w:val="FF0000"/>
                <w:lang w:eastAsia="pl-PL"/>
              </w:rPr>
              <w:t>,</w:t>
            </w:r>
            <w:r w:rsidR="00AC3D14">
              <w:rPr>
                <w:rFonts w:eastAsiaTheme="minorEastAsia"/>
                <w:b/>
                <w:color w:val="FF0000"/>
                <w:lang w:eastAsia="pl-PL"/>
              </w:rPr>
              <w:t>0</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2 061,38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lang w:eastAsia="pl-PL"/>
              </w:rPr>
            </w:pPr>
            <w:r>
              <w:rPr>
                <w:rFonts w:eastAsiaTheme="minorEastAsia"/>
                <w:lang w:eastAsia="pl-PL"/>
              </w:rPr>
              <w:t>1 910,87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4</w:t>
            </w:r>
            <w:r>
              <w:rPr>
                <w:rFonts w:eastAsiaTheme="minorEastAsia"/>
                <w:lang w:eastAsia="pl-PL"/>
              </w:rPr>
              <w:t>,</w:t>
            </w:r>
            <w:r w:rsidR="00AC3D14">
              <w:rPr>
                <w:rFonts w:eastAsiaTheme="minorEastAsia"/>
                <w:lang w:eastAsia="pl-PL"/>
              </w:rPr>
              <w:t>8</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24"/>
          <w:szCs w:val="24"/>
          <w:lang w:eastAsia="pl-PL"/>
        </w:rPr>
      </w:pPr>
    </w:p>
    <w:p w:rsidR="00A633D7" w:rsidRDefault="00A633D7" w:rsidP="00A633D7">
      <w:pPr>
        <w:spacing w:after="0" w:line="240" w:lineRule="auto"/>
        <w:jc w:val="both"/>
        <w:rPr>
          <w:rFonts w:eastAsia="Times New Roman" w:cs="Times New Roman"/>
          <w:sz w:val="24"/>
          <w:szCs w:val="24"/>
          <w:lang w:eastAsia="pl-PL"/>
        </w:rPr>
      </w:pPr>
    </w:p>
    <w:p w:rsidR="00A633D7" w:rsidRDefault="00A633D7" w:rsidP="00A633D7">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30 listopada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41"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27 listopada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2"/>
          <w:szCs w:val="32"/>
          <w:lang w:eastAsia="pl-PL"/>
        </w:rPr>
        <w:t xml:space="preserve">oraz procentowa zmiana indeksu WIG 20 w tym okresie. </w:t>
      </w:r>
    </w:p>
    <w:p w:rsidR="00A633D7" w:rsidRDefault="00A633D7" w:rsidP="00A633D7">
      <w:pPr>
        <w:spacing w:after="0" w:line="240" w:lineRule="auto"/>
        <w:jc w:val="both"/>
        <w:rPr>
          <w:rFonts w:eastAsia="Times New Roman" w:cs="Times New Roman"/>
          <w:sz w:val="36"/>
          <w:szCs w:val="3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27.11.2015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58,06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5</w:t>
            </w:r>
            <w:r w:rsidR="00AC3D14">
              <w:rPr>
                <w:rFonts w:eastAsiaTheme="minorEastAsia"/>
                <w:lang w:eastAsia="pl-PL"/>
              </w:rPr>
              <w:t>9</w:t>
            </w:r>
            <w:r>
              <w:rPr>
                <w:rFonts w:eastAsiaTheme="minorEastAsia"/>
                <w:lang w:eastAsia="pl-PL"/>
              </w:rPr>
              <w:t>,</w:t>
            </w:r>
            <w:r w:rsidR="00AC3D14">
              <w:rPr>
                <w:rFonts w:eastAsiaTheme="minorEastAsia"/>
                <w:lang w:eastAsia="pl-PL"/>
              </w:rPr>
              <w:t>2</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+2,0</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b/>
                <w:color w:val="FF0000"/>
                <w:lang w:eastAsia="pl-PL"/>
              </w:rPr>
            </w:pPr>
            <w:r>
              <w:rPr>
                <w:rFonts w:eastAsiaTheme="minorEastAsia"/>
                <w:b/>
                <w:color w:val="FF0000"/>
                <w:lang w:eastAsia="pl-PL"/>
              </w:rPr>
              <w:t xml:space="preserve">  </w:t>
            </w:r>
            <w:r w:rsidR="00AC3D14">
              <w:rPr>
                <w:rFonts w:eastAsiaTheme="minorEastAsia"/>
                <w:b/>
                <w:color w:val="FF0000"/>
                <w:lang w:eastAsia="pl-PL"/>
              </w:rPr>
              <w:t>+2,0</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1 936,05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AC3D14">
            <w:pPr>
              <w:jc w:val="center"/>
              <w:rPr>
                <w:rFonts w:eastAsiaTheme="minorEastAsia"/>
                <w:lang w:eastAsia="pl-PL"/>
              </w:rPr>
            </w:pPr>
            <w:r>
              <w:rPr>
                <w:rFonts w:eastAsiaTheme="minorEastAsia"/>
                <w:lang w:eastAsia="pl-PL"/>
              </w:rPr>
              <w:t xml:space="preserve"> </w:t>
            </w:r>
            <w:r w:rsidR="00AC3D14">
              <w:rPr>
                <w:rFonts w:eastAsiaTheme="minorEastAsia"/>
                <w:lang w:eastAsia="pl-PL"/>
              </w:rPr>
              <w:t>+</w:t>
            </w:r>
            <w:r>
              <w:rPr>
                <w:rFonts w:eastAsiaTheme="minorEastAsia"/>
                <w:lang w:eastAsia="pl-PL"/>
              </w:rPr>
              <w:t>1,3 %</w:t>
            </w:r>
          </w:p>
        </w:tc>
      </w:tr>
    </w:tbl>
    <w:p w:rsidR="00A633D7" w:rsidRDefault="00A633D7" w:rsidP="00A633D7">
      <w:pPr>
        <w:spacing w:after="0" w:line="240" w:lineRule="auto"/>
        <w:jc w:val="both"/>
        <w:rPr>
          <w:rFonts w:eastAsia="Times New Roman" w:cs="Times New Roman"/>
          <w:sz w:val="36"/>
          <w:szCs w:val="36"/>
          <w:lang w:eastAsia="pl-PL"/>
        </w:rPr>
      </w:pPr>
      <w:r>
        <w:rPr>
          <w:rFonts w:eastAsia="Times New Roman" w:cs="Times New Roman"/>
          <w:sz w:val="36"/>
          <w:szCs w:val="36"/>
          <w:lang w:eastAsia="pl-PL"/>
        </w:rPr>
        <w:lastRenderedPageBreak/>
        <w:t xml:space="preserve">Tabela: Procentowa zmiana ceny akcji spółki, której akcje zostały umieszczone 7 grudnia 2015 roku </w:t>
      </w:r>
      <w:proofErr w:type="gramStart"/>
      <w:r>
        <w:rPr>
          <w:rFonts w:eastAsia="Times New Roman" w:cs="Times New Roman"/>
          <w:sz w:val="36"/>
          <w:szCs w:val="36"/>
          <w:lang w:eastAsia="pl-PL"/>
        </w:rPr>
        <w:t>na  stronie</w:t>
      </w:r>
      <w:proofErr w:type="gramEnd"/>
      <w:r>
        <w:rPr>
          <w:rFonts w:eastAsia="Times New Roman" w:cs="Times New Roman"/>
          <w:sz w:val="36"/>
          <w:szCs w:val="36"/>
          <w:lang w:eastAsia="pl-PL"/>
        </w:rPr>
        <w:t xml:space="preserve"> internetowej </w:t>
      </w:r>
      <w:hyperlink r:id="rId42" w:history="1">
        <w:r>
          <w:rPr>
            <w:rStyle w:val="Hipercze"/>
            <w:rFonts w:eastAsia="Times New Roman" w:cs="Times New Roman"/>
            <w:sz w:val="36"/>
            <w:szCs w:val="36"/>
            <w:lang w:eastAsia="pl-PL"/>
          </w:rPr>
          <w:t>www.analizy-rynkowe.pl</w:t>
        </w:r>
      </w:hyperlink>
      <w:r>
        <w:rPr>
          <w:rFonts w:eastAsia="Times New Roman" w:cs="Times New Roman"/>
          <w:sz w:val="36"/>
          <w:szCs w:val="36"/>
          <w:lang w:eastAsia="pl-PL"/>
        </w:rPr>
        <w:t xml:space="preserve"> w </w:t>
      </w:r>
      <w:proofErr w:type="gramStart"/>
      <w:r>
        <w:rPr>
          <w:rFonts w:eastAsia="Times New Roman" w:cs="Times New Roman"/>
          <w:sz w:val="36"/>
          <w:szCs w:val="36"/>
          <w:lang w:eastAsia="pl-PL"/>
        </w:rPr>
        <w:t>rubryce  ,,Wykres</w:t>
      </w:r>
      <w:proofErr w:type="gramEnd"/>
      <w:r>
        <w:rPr>
          <w:rFonts w:eastAsia="Times New Roman" w:cs="Times New Roman"/>
          <w:sz w:val="36"/>
          <w:szCs w:val="36"/>
          <w:lang w:eastAsia="pl-PL"/>
        </w:rPr>
        <w:t xml:space="preserve"> do przemyślenia” w okresie od 4 grudnia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36"/>
          <w:szCs w:val="36"/>
          <w:lang w:eastAsia="pl-PL"/>
        </w:rPr>
        <w:t xml:space="preserve">oraz procentowa zmiana indeksu WIG 20 w tym okresie. </w:t>
      </w:r>
    </w:p>
    <w:p w:rsidR="00A633D7" w:rsidRDefault="00A633D7" w:rsidP="00A633D7">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PeKaO</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139,80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1</w:t>
            </w:r>
            <w:r w:rsidR="00F47B25">
              <w:rPr>
                <w:rFonts w:eastAsiaTheme="minorEastAsia"/>
                <w:lang w:eastAsia="pl-PL"/>
              </w:rPr>
              <w:t>60</w:t>
            </w:r>
            <w:r>
              <w:rPr>
                <w:rFonts w:eastAsiaTheme="minorEastAsia"/>
                <w:lang w:eastAsia="pl-PL"/>
              </w:rPr>
              <w:t>,</w:t>
            </w:r>
            <w:r w:rsidR="00F47B25">
              <w:rPr>
                <w:rFonts w:eastAsiaTheme="minorEastAsia"/>
                <w:lang w:eastAsia="pl-PL"/>
              </w:rPr>
              <w:t>95</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+ 1</w:t>
            </w:r>
            <w:r w:rsidR="00F47B25">
              <w:rPr>
                <w:rFonts w:eastAsiaTheme="minorEastAsia"/>
                <w:lang w:eastAsia="pl-PL"/>
              </w:rPr>
              <w:t>5</w:t>
            </w:r>
            <w:r>
              <w:rPr>
                <w:rFonts w:eastAsiaTheme="minorEastAsia"/>
                <w:lang w:eastAsia="pl-PL"/>
              </w:rPr>
              <w:t>,</w:t>
            </w:r>
            <w:r w:rsidR="00F47B25">
              <w:rPr>
                <w:rFonts w:eastAsiaTheme="minorEastAsia"/>
                <w:lang w:eastAsia="pl-PL"/>
              </w:rPr>
              <w:t>1</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b/>
                <w:color w:val="FF0000"/>
                <w:lang w:eastAsia="pl-PL"/>
              </w:rPr>
            </w:pPr>
            <w:r>
              <w:rPr>
                <w:rFonts w:eastAsiaTheme="minorEastAsia"/>
                <w:b/>
                <w:color w:val="FF0000"/>
                <w:lang w:eastAsia="pl-PL"/>
              </w:rPr>
              <w:t xml:space="preserve"> + 1</w:t>
            </w:r>
            <w:r w:rsidR="00F47B25">
              <w:rPr>
                <w:rFonts w:eastAsiaTheme="minorEastAsia"/>
                <w:b/>
                <w:color w:val="FF0000"/>
                <w:lang w:eastAsia="pl-PL"/>
              </w:rPr>
              <w:t>5</w:t>
            </w:r>
            <w:r>
              <w:rPr>
                <w:rFonts w:eastAsiaTheme="minorEastAsia"/>
                <w:b/>
                <w:color w:val="FF0000"/>
                <w:lang w:eastAsia="pl-PL"/>
              </w:rPr>
              <w:t>,</w:t>
            </w:r>
            <w:r w:rsidR="00F47B25">
              <w:rPr>
                <w:rFonts w:eastAsiaTheme="minorEastAsia"/>
                <w:b/>
                <w:color w:val="FF0000"/>
                <w:lang w:eastAsia="pl-PL"/>
              </w:rPr>
              <w:t>1</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1 868,24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5</w:t>
            </w:r>
            <w:r>
              <w:rPr>
                <w:rFonts w:eastAsiaTheme="minorEastAsia"/>
                <w:lang w:eastAsia="pl-PL"/>
              </w:rPr>
              <w:t>,</w:t>
            </w:r>
            <w:r w:rsidR="00F47B25">
              <w:rPr>
                <w:rFonts w:eastAsiaTheme="minorEastAsia"/>
                <w:lang w:eastAsia="pl-PL"/>
              </w:rPr>
              <w:t>0</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lang w:eastAsia="pl-PL"/>
        </w:rPr>
      </w:pPr>
      <w:r>
        <w:rPr>
          <w:rFonts w:eastAsia="Times New Roman" w:cs="Times New Roman"/>
          <w:sz w:val="26"/>
          <w:szCs w:val="26"/>
          <w:lang w:eastAsia="pl-PL"/>
        </w:rPr>
        <w:t xml:space="preserve">Tabela: Procentowa zmiana ceny akcji spółki, której akcje zostały umieszczone 7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43"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4 grudnia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LC </w:t>
            </w:r>
            <w:proofErr w:type="spellStart"/>
            <w:r>
              <w:rPr>
                <w:rFonts w:eastAsiaTheme="minorEastAsia"/>
                <w:lang w:eastAsia="pl-PL"/>
              </w:rPr>
              <w:t>Corp</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1,62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2,</w:t>
            </w:r>
            <w:r w:rsidR="00F47B25">
              <w:rPr>
                <w:rFonts w:eastAsiaTheme="minorEastAsia"/>
                <w:lang w:eastAsia="pl-PL"/>
              </w:rPr>
              <w:t>30</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42</w:t>
            </w:r>
            <w:r>
              <w:rPr>
                <w:rFonts w:eastAsiaTheme="minorEastAsia"/>
                <w:lang w:eastAsia="pl-PL"/>
              </w:rPr>
              <w:t>,</w:t>
            </w:r>
            <w:r w:rsidR="00F47B25">
              <w:rPr>
                <w:rFonts w:eastAsiaTheme="minorEastAsia"/>
                <w:lang w:eastAsia="pl-PL"/>
              </w:rPr>
              <w:t>0</w:t>
            </w:r>
            <w:r>
              <w:rPr>
                <w:rFonts w:eastAsiaTheme="minorEastAsia"/>
                <w:lang w:eastAsia="pl-PL"/>
              </w:rPr>
              <w:t>%</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b/>
                <w:color w:val="FF0000"/>
                <w:lang w:eastAsia="pl-PL"/>
              </w:rPr>
            </w:pPr>
            <w:r>
              <w:rPr>
                <w:rFonts w:eastAsiaTheme="minorEastAsia"/>
                <w:b/>
                <w:color w:val="FF0000"/>
                <w:lang w:eastAsia="pl-PL"/>
              </w:rPr>
              <w:t xml:space="preserve">  +</w:t>
            </w:r>
            <w:r w:rsidR="00F47B25">
              <w:rPr>
                <w:rFonts w:eastAsiaTheme="minorEastAsia"/>
                <w:b/>
                <w:color w:val="FF0000"/>
                <w:lang w:eastAsia="pl-PL"/>
              </w:rPr>
              <w:t>42</w:t>
            </w:r>
            <w:r>
              <w:rPr>
                <w:rFonts w:eastAsiaTheme="minorEastAsia"/>
                <w:b/>
                <w:color w:val="FF0000"/>
                <w:lang w:eastAsia="pl-PL"/>
              </w:rPr>
              <w:t>,</w:t>
            </w:r>
            <w:r w:rsidR="00F47B25">
              <w:rPr>
                <w:rFonts w:eastAsiaTheme="minorEastAsia"/>
                <w:b/>
                <w:color w:val="FF0000"/>
                <w:lang w:eastAsia="pl-PL"/>
              </w:rPr>
              <w:t>0</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1 868,24 pkt.</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lang w:eastAsia="pl-PL"/>
              </w:rPr>
            </w:pPr>
            <w:r>
              <w:rPr>
                <w:rFonts w:eastAsiaTheme="minorEastAsia"/>
                <w:lang w:eastAsia="pl-PL"/>
              </w:rPr>
              <w:t>1 910,87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5</w:t>
            </w:r>
            <w:r>
              <w:rPr>
                <w:rFonts w:eastAsiaTheme="minorEastAsia"/>
                <w:lang w:eastAsia="pl-PL"/>
              </w:rPr>
              <w:t>,</w:t>
            </w:r>
            <w:r w:rsidR="00F47B25">
              <w:rPr>
                <w:rFonts w:eastAsiaTheme="minorEastAsia"/>
                <w:lang w:eastAsia="pl-PL"/>
              </w:rPr>
              <w:t>0</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28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4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23 grudnia 2015 roku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23.12.2015</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P.A. Nova</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21,50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19,</w:t>
            </w:r>
            <w:r w:rsidR="00F47B25">
              <w:rPr>
                <w:rFonts w:eastAsiaTheme="minorEastAsia"/>
                <w:lang w:eastAsia="pl-PL"/>
              </w:rPr>
              <w:t>5</w:t>
            </w:r>
            <w:r>
              <w:rPr>
                <w:rFonts w:eastAsiaTheme="minorEastAsia"/>
                <w:lang w:eastAsia="pl-PL"/>
              </w:rPr>
              <w:t>0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9</w:t>
            </w:r>
            <w:r>
              <w:rPr>
                <w:rFonts w:eastAsiaTheme="minorEastAsia"/>
                <w:lang w:eastAsia="pl-PL"/>
              </w:rPr>
              <w:t>,</w:t>
            </w:r>
            <w:r w:rsidR="00F47B25">
              <w:rPr>
                <w:rFonts w:eastAsiaTheme="minorEastAsia"/>
                <w:lang w:eastAsia="pl-PL"/>
              </w:rPr>
              <w:t>3</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b/>
                <w:color w:val="FF0000"/>
                <w:lang w:eastAsia="pl-PL"/>
              </w:rPr>
            </w:pPr>
            <w:r>
              <w:rPr>
                <w:rFonts w:eastAsiaTheme="minorEastAsia"/>
                <w:b/>
                <w:color w:val="FF0000"/>
                <w:lang w:eastAsia="pl-PL"/>
              </w:rPr>
              <w:t xml:space="preserve">  -</w:t>
            </w:r>
            <w:r w:rsidR="00F47B25">
              <w:rPr>
                <w:rFonts w:eastAsiaTheme="minorEastAsia"/>
                <w:b/>
                <w:color w:val="FF0000"/>
                <w:lang w:eastAsia="pl-PL"/>
              </w:rPr>
              <w:t xml:space="preserve">9,3 </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1 879,75 pkt.</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b/>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4</w:t>
            </w:r>
            <w:r>
              <w:rPr>
                <w:rFonts w:eastAsiaTheme="minorEastAsia"/>
                <w:lang w:eastAsia="pl-PL"/>
              </w:rPr>
              <w:t>,</w:t>
            </w:r>
            <w:r w:rsidR="00F47B25">
              <w:rPr>
                <w:rFonts w:eastAsiaTheme="minorEastAsia"/>
                <w:lang w:eastAsia="pl-PL"/>
              </w:rPr>
              <w:t>4</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6"/>
          <w:szCs w:val="36"/>
          <w:lang w:eastAsia="pl-PL"/>
        </w:rPr>
      </w:pPr>
    </w:p>
    <w:p w:rsidR="00A633D7" w:rsidRDefault="00A633D7" w:rsidP="00A633D7">
      <w:pPr>
        <w:spacing w:after="0" w:line="240" w:lineRule="auto"/>
        <w:jc w:val="both"/>
        <w:rPr>
          <w:rFonts w:eastAsia="Times New Roman" w:cs="Times New Roman"/>
          <w:sz w:val="36"/>
          <w:szCs w:val="36"/>
          <w:lang w:eastAsia="pl-PL"/>
        </w:rPr>
      </w:pPr>
    </w:p>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lastRenderedPageBreak/>
        <w:t xml:space="preserve">Tabela: Procentowa zmiana cen akcji trzech spółek, których akcje zostały umieszczone w dniu 15 lutego 2016 roku na stronie internetowej </w:t>
      </w:r>
      <w:hyperlink r:id="rId45" w:history="1">
        <w:r>
          <w:rPr>
            <w:rStyle w:val="Hipercze"/>
            <w:rFonts w:eastAsia="Times New Roman" w:cs="Times New Roman"/>
            <w:lang w:eastAsia="pl-PL"/>
          </w:rPr>
          <w:t>http://analizy-rynkowe.pl/</w:t>
        </w:r>
      </w:hyperlink>
      <w:r>
        <w:rPr>
          <w:rFonts w:eastAsia="Times New Roman" w:cs="Times New Roman"/>
          <w:lang w:eastAsia="pl-PL"/>
        </w:rPr>
        <w:t xml:space="preserve"> w rubryce ,,Wykres do przemyślenia” w okresie od 12 lutego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w:t>
      </w:r>
      <w:proofErr w:type="gramStart"/>
      <w:r>
        <w:rPr>
          <w:rFonts w:eastAsia="Times New Roman" w:cs="Times New Roman"/>
          <w:sz w:val="30"/>
          <w:szCs w:val="30"/>
          <w:lang w:eastAsia="pl-PL"/>
        </w:rPr>
        <w:t xml:space="preserve">roku  </w:t>
      </w:r>
      <w:r>
        <w:rPr>
          <w:rFonts w:eastAsia="Times New Roman" w:cs="Times New Roman"/>
          <w:lang w:eastAsia="pl-PL"/>
        </w:rPr>
        <w:t>oraz</w:t>
      </w:r>
      <w:proofErr w:type="gramEnd"/>
      <w:r>
        <w:rPr>
          <w:rFonts w:eastAsia="Times New Roman" w:cs="Times New Roman"/>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12.02.2016</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Poziom – 18.03.2016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Akcja spółki Efekt</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17,63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17,</w:t>
            </w:r>
            <w:r w:rsidR="00F47B25">
              <w:rPr>
                <w:rFonts w:eastAsiaTheme="minorEastAsia"/>
                <w:lang w:eastAsia="pl-PL"/>
              </w:rPr>
              <w:t>78</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F47B25" w:rsidP="00F47B25">
            <w:pPr>
              <w:jc w:val="center"/>
              <w:rPr>
                <w:rFonts w:eastAsiaTheme="minorEastAsia"/>
                <w:lang w:eastAsia="pl-PL"/>
              </w:rPr>
            </w:pPr>
            <w:r>
              <w:rPr>
                <w:rFonts w:eastAsiaTheme="minorEastAsia"/>
                <w:lang w:eastAsia="pl-PL"/>
              </w:rPr>
              <w:t>+0,9</w:t>
            </w:r>
            <w:r w:rsidR="00A633D7">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mBank</w:t>
            </w:r>
            <w:proofErr w:type="gram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323,00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3</w:t>
            </w:r>
            <w:r w:rsidR="00F47B25">
              <w:rPr>
                <w:rFonts w:eastAsiaTheme="minorEastAsia"/>
                <w:lang w:eastAsia="pl-PL"/>
              </w:rPr>
              <w:t>42</w:t>
            </w:r>
            <w:r>
              <w:rPr>
                <w:rFonts w:eastAsiaTheme="minorEastAsia"/>
                <w:lang w:eastAsia="pl-PL"/>
              </w:rPr>
              <w:t>,</w:t>
            </w:r>
            <w:r w:rsidR="00F47B25">
              <w:rPr>
                <w:rFonts w:eastAsiaTheme="minorEastAsia"/>
                <w:lang w:eastAsia="pl-PL"/>
              </w:rPr>
              <w:t>05</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w:t>
            </w:r>
            <w:r w:rsidR="00F47B25">
              <w:rPr>
                <w:rFonts w:eastAsiaTheme="minorEastAsia"/>
                <w:lang w:eastAsia="pl-PL"/>
              </w:rPr>
              <w:t>5</w:t>
            </w:r>
            <w:r>
              <w:rPr>
                <w:rFonts w:eastAsiaTheme="minorEastAsia"/>
                <w:lang w:eastAsia="pl-PL"/>
              </w:rPr>
              <w:t>,</w:t>
            </w:r>
            <w:r w:rsidR="00F47B25">
              <w:rPr>
                <w:rFonts w:eastAsiaTheme="minorEastAsia"/>
                <w:lang w:eastAsia="pl-PL"/>
              </w:rPr>
              <w:t>7</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    3,23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3,</w:t>
            </w:r>
            <w:r w:rsidR="00F47B25">
              <w:rPr>
                <w:rFonts w:eastAsiaTheme="minorEastAsia"/>
                <w:lang w:eastAsia="pl-PL"/>
              </w:rPr>
              <w:t>3</w:t>
            </w:r>
            <w:r>
              <w:rPr>
                <w:rFonts w:eastAsiaTheme="minorEastAsia"/>
                <w:lang w:eastAsia="pl-PL"/>
              </w:rPr>
              <w:t>9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F47B25" w:rsidP="00F47B25">
            <w:pPr>
              <w:jc w:val="center"/>
              <w:rPr>
                <w:rFonts w:eastAsiaTheme="minorEastAsia"/>
                <w:lang w:eastAsia="pl-PL"/>
              </w:rPr>
            </w:pPr>
            <w:r>
              <w:rPr>
                <w:rFonts w:eastAsiaTheme="minorEastAsia"/>
                <w:lang w:eastAsia="pl-PL"/>
              </w:rPr>
              <w:t>+5,0</w:t>
            </w:r>
            <w:r w:rsidR="00A633D7">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A633D7" w:rsidRDefault="00A633D7">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A633D7" w:rsidRDefault="00A633D7">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b/>
                <w:color w:val="FF0000"/>
                <w:lang w:eastAsia="pl-PL"/>
              </w:rPr>
            </w:pPr>
            <w:r>
              <w:rPr>
                <w:rFonts w:eastAsiaTheme="minorEastAsia"/>
                <w:b/>
                <w:color w:val="FF0000"/>
                <w:lang w:eastAsia="pl-PL"/>
              </w:rPr>
              <w:t xml:space="preserve">  + </w:t>
            </w:r>
            <w:r w:rsidR="00F47B25">
              <w:rPr>
                <w:rFonts w:eastAsiaTheme="minorEastAsia"/>
                <w:b/>
                <w:color w:val="FF0000"/>
                <w:lang w:eastAsia="pl-PL"/>
              </w:rPr>
              <w:t>3</w:t>
            </w:r>
            <w:r>
              <w:rPr>
                <w:rFonts w:eastAsiaTheme="minorEastAsia"/>
                <w:b/>
                <w:color w:val="FF0000"/>
                <w:lang w:eastAsia="pl-PL"/>
              </w:rPr>
              <w:t>,</w:t>
            </w:r>
            <w:r w:rsidR="00F47B25">
              <w:rPr>
                <w:rFonts w:eastAsiaTheme="minorEastAsia"/>
                <w:b/>
                <w:color w:val="FF0000"/>
                <w:lang w:eastAsia="pl-PL"/>
              </w:rPr>
              <w:t>8</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1 765,53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 xml:space="preserve">  +</w:t>
            </w:r>
            <w:r w:rsidR="00F47B25">
              <w:rPr>
                <w:rFonts w:eastAsiaTheme="minorEastAsia"/>
                <w:lang w:eastAsia="pl-PL"/>
              </w:rPr>
              <w:t>11</w:t>
            </w:r>
            <w:r>
              <w:rPr>
                <w:rFonts w:eastAsiaTheme="minorEastAsia"/>
                <w:lang w:eastAsia="pl-PL"/>
              </w:rPr>
              <w:t>,</w:t>
            </w:r>
            <w:r w:rsidR="00F47B25">
              <w:rPr>
                <w:rFonts w:eastAsiaTheme="minorEastAsia"/>
                <w:lang w:eastAsia="pl-PL"/>
              </w:rPr>
              <w:t>1</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6"/>
          <w:szCs w:val="36"/>
          <w:lang w:eastAsia="pl-PL"/>
        </w:rPr>
      </w:pPr>
    </w:p>
    <w:p w:rsidR="00A633D7" w:rsidRDefault="00A633D7" w:rsidP="00A633D7">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18 lutego 2016 roku na stronie internetowej </w:t>
      </w:r>
      <w:hyperlink r:id="rId4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17 lutego </w:t>
      </w:r>
      <w:r>
        <w:rPr>
          <w:rFonts w:eastAsia="Times New Roman" w:cs="Times New Roman"/>
          <w:sz w:val="30"/>
          <w:szCs w:val="30"/>
          <w:lang w:eastAsia="pl-PL"/>
        </w:rPr>
        <w:t>do 1</w:t>
      </w:r>
      <w:r w:rsidR="0071501F">
        <w:rPr>
          <w:rFonts w:eastAsia="Times New Roman" w:cs="Times New Roman"/>
          <w:sz w:val="30"/>
          <w:szCs w:val="30"/>
          <w:lang w:eastAsia="pl-PL"/>
        </w:rPr>
        <w:t>8</w:t>
      </w:r>
      <w:r>
        <w:rPr>
          <w:rFonts w:eastAsia="Times New Roman" w:cs="Times New Roman"/>
          <w:sz w:val="30"/>
          <w:szCs w:val="30"/>
          <w:lang w:eastAsia="pl-PL"/>
        </w:rPr>
        <w:t xml:space="preserve"> marca 2016 roku  </w:t>
      </w:r>
      <w:r>
        <w:rPr>
          <w:rFonts w:eastAsia="Times New Roman" w:cs="Times New Roman"/>
          <w:sz w:val="26"/>
          <w:szCs w:val="26"/>
          <w:lang w:eastAsia="pl-PL"/>
        </w:rPr>
        <w:t xml:space="preserve">oraz procentowa zmiana indeksu WIG 20 w tym okresie. </w:t>
      </w:r>
    </w:p>
    <w:p w:rsidR="00A633D7" w:rsidRDefault="00A633D7" w:rsidP="00A633D7">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Poziom – 17.02.2016</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EC6C8C">
            <w:pPr>
              <w:jc w:val="center"/>
              <w:rPr>
                <w:rFonts w:eastAsiaTheme="minorEastAsia"/>
                <w:lang w:eastAsia="pl-PL"/>
              </w:rPr>
            </w:pPr>
            <w:r>
              <w:rPr>
                <w:rFonts w:eastAsiaTheme="minorEastAsia"/>
                <w:lang w:eastAsia="pl-PL"/>
              </w:rPr>
              <w:t>Poziom – 1</w:t>
            </w:r>
            <w:r w:rsidR="00EC6C8C">
              <w:rPr>
                <w:rFonts w:eastAsiaTheme="minorEastAsia"/>
                <w:lang w:eastAsia="pl-PL"/>
              </w:rPr>
              <w:t>8</w:t>
            </w:r>
            <w:r>
              <w:rPr>
                <w:rFonts w:eastAsiaTheme="minorEastAsia"/>
                <w:lang w:eastAsia="pl-PL"/>
              </w:rPr>
              <w:t>.03.2016</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Zmiana (w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116,00 zł.</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13</w:t>
            </w:r>
            <w:r w:rsidR="00F47B25">
              <w:rPr>
                <w:rFonts w:eastAsiaTheme="minorEastAsia"/>
                <w:lang w:eastAsia="pl-PL"/>
              </w:rPr>
              <w:t>2</w:t>
            </w:r>
            <w:r>
              <w:rPr>
                <w:rFonts w:eastAsiaTheme="minorEastAsia"/>
                <w:lang w:eastAsia="pl-PL"/>
              </w:rPr>
              <w:t>,</w:t>
            </w:r>
            <w:r w:rsidR="00F47B25">
              <w:rPr>
                <w:rFonts w:eastAsiaTheme="minorEastAsia"/>
                <w:lang w:eastAsia="pl-PL"/>
              </w:rPr>
              <w:t>65</w:t>
            </w:r>
            <w:r>
              <w:rPr>
                <w:rFonts w:eastAsiaTheme="minorEastAsia"/>
                <w:lang w:eastAsia="pl-PL"/>
              </w:rPr>
              <w:t xml:space="preserve"> zł.</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+1</w:t>
            </w:r>
            <w:r w:rsidR="00F47B25">
              <w:rPr>
                <w:rFonts w:eastAsiaTheme="minorEastAsia"/>
                <w:lang w:eastAsia="pl-PL"/>
              </w:rPr>
              <w:t>4</w:t>
            </w:r>
            <w:r>
              <w:rPr>
                <w:rFonts w:eastAsiaTheme="minorEastAsia"/>
                <w:lang w:eastAsia="pl-PL"/>
              </w:rPr>
              <w:t>,</w:t>
            </w:r>
            <w:r w:rsidR="00F47B25">
              <w:rPr>
                <w:rFonts w:eastAsiaTheme="minorEastAsia"/>
                <w:lang w:eastAsia="pl-PL"/>
              </w:rPr>
              <w:t>4</w:t>
            </w:r>
            <w:r>
              <w:rPr>
                <w:rFonts w:eastAsiaTheme="minorEastAsia"/>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color w:val="000000" w:themeColor="text1"/>
                <w:lang w:eastAsia="pl-PL"/>
              </w:rPr>
            </w:pPr>
            <w:r>
              <w:rPr>
                <w:rFonts w:eastAsiaTheme="minorEastAsia"/>
                <w:color w:val="000000" w:themeColor="text1"/>
                <w:lang w:eastAsia="pl-PL"/>
              </w:rPr>
              <w:t xml:space="preserve">    7,25 zł.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color w:val="000000" w:themeColor="text1"/>
                <w:lang w:eastAsia="pl-PL"/>
              </w:rPr>
            </w:pPr>
            <w:r>
              <w:rPr>
                <w:rFonts w:eastAsiaTheme="minorEastAsia"/>
                <w:color w:val="000000" w:themeColor="text1"/>
                <w:lang w:eastAsia="pl-PL"/>
              </w:rPr>
              <w:t xml:space="preserve">    8,3</w:t>
            </w:r>
            <w:r w:rsidR="00F47B25">
              <w:rPr>
                <w:rFonts w:eastAsiaTheme="minorEastAsia"/>
                <w:color w:val="000000" w:themeColor="text1"/>
                <w:lang w:eastAsia="pl-PL"/>
              </w:rPr>
              <w:t>2</w:t>
            </w:r>
            <w:r>
              <w:rPr>
                <w:rFonts w:eastAsiaTheme="minorEastAsia"/>
                <w:color w:val="000000" w:themeColor="text1"/>
                <w:lang w:eastAsia="pl-PL"/>
              </w:rPr>
              <w:t xml:space="preserve"> zł. </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color w:val="000000" w:themeColor="text1"/>
                <w:lang w:eastAsia="pl-PL"/>
              </w:rPr>
            </w:pPr>
            <w:r>
              <w:rPr>
                <w:rFonts w:eastAsiaTheme="minorEastAsia"/>
                <w:color w:val="000000" w:themeColor="text1"/>
                <w:lang w:eastAsia="pl-PL"/>
              </w:rPr>
              <w:t>+1</w:t>
            </w:r>
            <w:r w:rsidR="00F47B25">
              <w:rPr>
                <w:rFonts w:eastAsiaTheme="minorEastAsia"/>
                <w:color w:val="000000" w:themeColor="text1"/>
                <w:lang w:eastAsia="pl-PL"/>
              </w:rPr>
              <w:t>4</w:t>
            </w:r>
            <w:r>
              <w:rPr>
                <w:rFonts w:eastAsiaTheme="minorEastAsia"/>
                <w:color w:val="000000" w:themeColor="text1"/>
                <w:lang w:eastAsia="pl-PL"/>
              </w:rPr>
              <w:t>,</w:t>
            </w:r>
            <w:r w:rsidR="00F47B25">
              <w:rPr>
                <w:rFonts w:eastAsiaTheme="minorEastAsia"/>
                <w:color w:val="000000" w:themeColor="text1"/>
                <w:lang w:eastAsia="pl-PL"/>
              </w:rPr>
              <w:t>8</w:t>
            </w:r>
            <w:r>
              <w:rPr>
                <w:rFonts w:eastAsiaTheme="minorEastAsia"/>
                <w:color w:val="000000" w:themeColor="text1"/>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A633D7" w:rsidRDefault="00A633D7">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b/>
                <w:color w:val="FF0000"/>
                <w:lang w:eastAsia="pl-PL"/>
              </w:rPr>
            </w:pPr>
            <w:r>
              <w:rPr>
                <w:rFonts w:eastAsiaTheme="minorEastAsia"/>
                <w:b/>
                <w:color w:val="FF0000"/>
                <w:lang w:eastAsia="pl-PL"/>
              </w:rPr>
              <w:t>+1</w:t>
            </w:r>
            <w:r w:rsidR="00F47B25">
              <w:rPr>
                <w:rFonts w:eastAsiaTheme="minorEastAsia"/>
                <w:b/>
                <w:color w:val="FF0000"/>
                <w:lang w:eastAsia="pl-PL"/>
              </w:rPr>
              <w:t>4</w:t>
            </w:r>
            <w:r>
              <w:rPr>
                <w:rFonts w:eastAsiaTheme="minorEastAsia"/>
                <w:b/>
                <w:color w:val="FF0000"/>
                <w:lang w:eastAsia="pl-PL"/>
              </w:rPr>
              <w:t>,</w:t>
            </w:r>
            <w:r w:rsidR="00F47B25">
              <w:rPr>
                <w:rFonts w:eastAsiaTheme="minorEastAsia"/>
                <w:b/>
                <w:color w:val="FF0000"/>
                <w:lang w:eastAsia="pl-PL"/>
              </w:rPr>
              <w:t>6</w:t>
            </w:r>
            <w:r>
              <w:rPr>
                <w:rFonts w:eastAsiaTheme="minorEastAsia"/>
                <w:b/>
                <w:color w:val="FF0000"/>
                <w:lang w:eastAsia="pl-PL"/>
              </w:rPr>
              <w:t xml:space="preserve"> %</w:t>
            </w:r>
          </w:p>
        </w:tc>
      </w:tr>
      <w:tr w:rsidR="00A633D7" w:rsidTr="00A633D7">
        <w:tc>
          <w:tcPr>
            <w:tcW w:w="34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A633D7" w:rsidRDefault="00A633D7">
            <w:pPr>
              <w:jc w:val="center"/>
              <w:rPr>
                <w:rFonts w:eastAsiaTheme="minorEastAsia"/>
                <w:lang w:eastAsia="pl-PL"/>
              </w:rPr>
            </w:pPr>
            <w:r>
              <w:rPr>
                <w:rFonts w:eastAsiaTheme="minorEastAsia"/>
                <w:lang w:eastAsia="pl-PL"/>
              </w:rPr>
              <w:t xml:space="preserve">1 847,06 pkt. </w:t>
            </w:r>
          </w:p>
        </w:tc>
        <w:tc>
          <w:tcPr>
            <w:tcW w:w="2303" w:type="dxa"/>
            <w:tcBorders>
              <w:top w:val="single" w:sz="4" w:space="0" w:color="auto"/>
              <w:left w:val="single" w:sz="4" w:space="0" w:color="auto"/>
              <w:bottom w:val="single" w:sz="4" w:space="0" w:color="auto"/>
              <w:right w:val="single" w:sz="4" w:space="0" w:color="auto"/>
            </w:tcBorders>
            <w:hideMark/>
          </w:tcPr>
          <w:p w:rsidR="00A633D7" w:rsidRDefault="00EC6C8C">
            <w:pPr>
              <w:jc w:val="center"/>
              <w:rPr>
                <w:rFonts w:eastAsiaTheme="minorEastAsia"/>
                <w:lang w:eastAsia="pl-PL"/>
              </w:rPr>
            </w:pPr>
            <w:r>
              <w:rPr>
                <w:rFonts w:eastAsiaTheme="minorEastAsia"/>
                <w:lang w:eastAsia="pl-PL"/>
              </w:rPr>
              <w:t>1 961,97 pkt.</w:t>
            </w:r>
          </w:p>
        </w:tc>
        <w:tc>
          <w:tcPr>
            <w:tcW w:w="1134" w:type="dxa"/>
            <w:tcBorders>
              <w:top w:val="single" w:sz="4" w:space="0" w:color="auto"/>
              <w:left w:val="single" w:sz="4" w:space="0" w:color="auto"/>
              <w:bottom w:val="single" w:sz="4" w:space="0" w:color="auto"/>
              <w:right w:val="single" w:sz="4" w:space="0" w:color="auto"/>
            </w:tcBorders>
            <w:hideMark/>
          </w:tcPr>
          <w:p w:rsidR="00A633D7" w:rsidRDefault="00A633D7" w:rsidP="00F47B25">
            <w:pPr>
              <w:jc w:val="center"/>
              <w:rPr>
                <w:rFonts w:eastAsiaTheme="minorEastAsia"/>
                <w:lang w:eastAsia="pl-PL"/>
              </w:rPr>
            </w:pPr>
            <w:r>
              <w:rPr>
                <w:rFonts w:eastAsiaTheme="minorEastAsia"/>
                <w:lang w:eastAsia="pl-PL"/>
              </w:rPr>
              <w:t>+</w:t>
            </w:r>
            <w:r w:rsidR="00F47B25">
              <w:rPr>
                <w:rFonts w:eastAsiaTheme="minorEastAsia"/>
                <w:lang w:eastAsia="pl-PL"/>
              </w:rPr>
              <w:t>6</w:t>
            </w:r>
            <w:r>
              <w:rPr>
                <w:rFonts w:eastAsiaTheme="minorEastAsia"/>
                <w:lang w:eastAsia="pl-PL"/>
              </w:rPr>
              <w:t>,</w:t>
            </w:r>
            <w:r w:rsidR="00F47B25">
              <w:rPr>
                <w:rFonts w:eastAsiaTheme="minorEastAsia"/>
                <w:lang w:eastAsia="pl-PL"/>
              </w:rPr>
              <w:t>2</w:t>
            </w:r>
            <w:r>
              <w:rPr>
                <w:rFonts w:eastAsiaTheme="minorEastAsia"/>
                <w:lang w:eastAsia="pl-PL"/>
              </w:rPr>
              <w:t xml:space="preserve"> %</w:t>
            </w:r>
          </w:p>
        </w:tc>
      </w:tr>
    </w:tbl>
    <w:p w:rsidR="00A633D7" w:rsidRDefault="00A633D7" w:rsidP="00A633D7">
      <w:pPr>
        <w:spacing w:after="0" w:line="240" w:lineRule="auto"/>
        <w:jc w:val="both"/>
        <w:rPr>
          <w:rFonts w:eastAsia="Times New Roman" w:cs="Times New Roman"/>
          <w:sz w:val="36"/>
          <w:szCs w:val="36"/>
          <w:lang w:eastAsia="pl-PL"/>
        </w:rPr>
      </w:pPr>
    </w:p>
    <w:p w:rsidR="00A633D7" w:rsidRDefault="00A633D7" w:rsidP="00A633D7">
      <w:pPr>
        <w:spacing w:after="0" w:line="240" w:lineRule="auto"/>
        <w:jc w:val="both"/>
        <w:rPr>
          <w:rFonts w:eastAsia="Times New Roman" w:cs="Times New Roman"/>
          <w:sz w:val="50"/>
          <w:szCs w:val="50"/>
          <w:u w:val="single"/>
          <w:lang w:eastAsia="pl-PL"/>
        </w:rPr>
      </w:pPr>
      <w:r>
        <w:rPr>
          <w:rFonts w:eastAsia="Times New Roman" w:cs="Times New Roman"/>
          <w:sz w:val="50"/>
          <w:szCs w:val="50"/>
          <w:lang w:eastAsia="pl-PL"/>
        </w:rPr>
        <w:t xml:space="preserve">Spółek, </w:t>
      </w:r>
      <w:r>
        <w:rPr>
          <w:rFonts w:eastAsia="Times New Roman" w:cs="Times New Roman"/>
          <w:sz w:val="50"/>
          <w:szCs w:val="50"/>
          <w:u w:val="single"/>
          <w:lang w:eastAsia="pl-PL"/>
        </w:rPr>
        <w:t>dla których nie można jeszcze obliczyć</w:t>
      </w:r>
      <w:r>
        <w:rPr>
          <w:rFonts w:eastAsia="Times New Roman" w:cs="Times New Roman"/>
          <w:sz w:val="50"/>
          <w:szCs w:val="50"/>
          <w:lang w:eastAsia="pl-PL"/>
        </w:rPr>
        <w:t xml:space="preserve"> procentowej zmiany kursu akcji po wprowadzeniu jej do rubryki </w:t>
      </w:r>
      <w:proofErr w:type="gramStart"/>
      <w:r>
        <w:rPr>
          <w:rFonts w:eastAsia="Times New Roman" w:cs="Times New Roman"/>
          <w:sz w:val="50"/>
          <w:szCs w:val="50"/>
          <w:lang w:eastAsia="pl-PL"/>
        </w:rPr>
        <w:t>,,</w:t>
      </w:r>
      <w:proofErr w:type="gramEnd"/>
      <w:r>
        <w:rPr>
          <w:rFonts w:eastAsia="Times New Roman" w:cs="Times New Roman"/>
          <w:sz w:val="50"/>
          <w:szCs w:val="50"/>
          <w:lang w:eastAsia="pl-PL"/>
        </w:rPr>
        <w:t xml:space="preserve">Wykres do przemyślenia” w okresie 12 pierwszych miesięcy po jej wprowadzeniu do tej rubryki </w:t>
      </w:r>
      <w:r>
        <w:rPr>
          <w:rFonts w:eastAsia="Times New Roman" w:cs="Times New Roman"/>
          <w:sz w:val="50"/>
          <w:szCs w:val="50"/>
          <w:u w:val="single"/>
          <w:lang w:eastAsia="pl-PL"/>
        </w:rPr>
        <w:t xml:space="preserve">jest </w:t>
      </w:r>
      <w:r>
        <w:rPr>
          <w:rFonts w:eastAsia="Times New Roman" w:cs="Times New Roman"/>
          <w:b/>
          <w:sz w:val="50"/>
          <w:szCs w:val="50"/>
          <w:u w:val="single"/>
          <w:lang w:eastAsia="pl-PL"/>
        </w:rPr>
        <w:t>23</w:t>
      </w:r>
    </w:p>
    <w:p w:rsidR="00A633D7" w:rsidRDefault="00A633D7" w:rsidP="00A633D7">
      <w:pPr>
        <w:spacing w:after="0" w:line="240" w:lineRule="auto"/>
        <w:jc w:val="both"/>
        <w:rPr>
          <w:rFonts w:eastAsia="Times New Roman" w:cs="Times New Roman"/>
          <w:sz w:val="50"/>
          <w:szCs w:val="50"/>
          <w:lang w:eastAsia="pl-PL"/>
        </w:rPr>
      </w:pPr>
      <w:r>
        <w:rPr>
          <w:rFonts w:eastAsia="Times New Roman" w:cs="Times New Roman"/>
          <w:sz w:val="50"/>
          <w:szCs w:val="50"/>
          <w:lang w:eastAsia="pl-PL"/>
        </w:rPr>
        <w:lastRenderedPageBreak/>
        <w:t xml:space="preserve">W odniesieniu do tej grupy </w:t>
      </w:r>
      <w:r>
        <w:rPr>
          <w:rFonts w:eastAsia="Times New Roman" w:cs="Times New Roman"/>
          <w:b/>
          <w:sz w:val="50"/>
          <w:szCs w:val="50"/>
          <w:u w:val="single"/>
          <w:lang w:eastAsia="pl-PL"/>
        </w:rPr>
        <w:t>23 spółki</w:t>
      </w:r>
      <w:r>
        <w:rPr>
          <w:rFonts w:eastAsia="Times New Roman" w:cs="Times New Roman"/>
          <w:sz w:val="50"/>
          <w:szCs w:val="50"/>
          <w:lang w:eastAsia="pl-PL"/>
        </w:rPr>
        <w:t xml:space="preserve"> można sformułować następujący wniosek: </w:t>
      </w:r>
    </w:p>
    <w:p w:rsidR="00A633D7" w:rsidRDefault="00A633D7" w:rsidP="00A633D7">
      <w:pPr>
        <w:spacing w:after="0" w:line="240" w:lineRule="auto"/>
        <w:jc w:val="both"/>
        <w:rPr>
          <w:rFonts w:eastAsia="Times New Roman" w:cs="Times New Roman"/>
          <w:sz w:val="50"/>
          <w:szCs w:val="50"/>
          <w:lang w:eastAsia="pl-PL"/>
        </w:rPr>
      </w:pPr>
    </w:p>
    <w:p w:rsidR="00A633D7" w:rsidRDefault="00A633D7" w:rsidP="00A633D7">
      <w:pPr>
        <w:spacing w:after="0" w:line="240" w:lineRule="auto"/>
        <w:jc w:val="both"/>
        <w:rPr>
          <w:rFonts w:eastAsia="Times New Roman" w:cs="Times New Roman"/>
          <w:sz w:val="50"/>
          <w:szCs w:val="50"/>
          <w:u w:val="single"/>
          <w:lang w:eastAsia="pl-PL"/>
        </w:rPr>
      </w:pPr>
      <w:r>
        <w:rPr>
          <w:rFonts w:eastAsia="Times New Roman" w:cs="Times New Roman"/>
          <w:sz w:val="50"/>
          <w:szCs w:val="50"/>
          <w:u w:val="single"/>
          <w:lang w:eastAsia="pl-PL"/>
        </w:rPr>
        <w:t xml:space="preserve">Wniosek </w:t>
      </w:r>
    </w:p>
    <w:p w:rsidR="00A633D7" w:rsidRDefault="00A633D7" w:rsidP="00A633D7">
      <w:pPr>
        <w:spacing w:after="0" w:line="240" w:lineRule="auto"/>
        <w:jc w:val="both"/>
        <w:rPr>
          <w:rFonts w:eastAsia="Times New Roman" w:cs="Times New Roman"/>
          <w:sz w:val="50"/>
          <w:szCs w:val="50"/>
          <w:lang w:eastAsia="pl-PL"/>
        </w:rPr>
      </w:pPr>
    </w:p>
    <w:p w:rsidR="00A633D7" w:rsidRDefault="00A633D7" w:rsidP="00A633D7">
      <w:pPr>
        <w:spacing w:after="0" w:line="240" w:lineRule="auto"/>
        <w:jc w:val="both"/>
        <w:rPr>
          <w:rFonts w:eastAsia="Times New Roman" w:cs="Times New Roman"/>
          <w:b/>
          <w:sz w:val="72"/>
          <w:szCs w:val="72"/>
          <w:lang w:eastAsia="pl-PL"/>
        </w:rPr>
      </w:pPr>
      <w:r>
        <w:rPr>
          <w:rFonts w:eastAsia="Times New Roman" w:cs="Times New Roman"/>
          <w:sz w:val="72"/>
          <w:szCs w:val="72"/>
          <w:lang w:eastAsia="pl-PL"/>
        </w:rPr>
        <w:t xml:space="preserve">Warto zauważyć, że </w:t>
      </w:r>
      <w:r>
        <w:rPr>
          <w:rFonts w:eastAsia="Times New Roman" w:cs="Times New Roman"/>
          <w:b/>
          <w:color w:val="000000" w:themeColor="text1"/>
          <w:sz w:val="72"/>
          <w:szCs w:val="72"/>
          <w:lang w:eastAsia="pl-PL"/>
        </w:rPr>
        <w:t xml:space="preserve">spośród </w:t>
      </w:r>
      <w:r>
        <w:rPr>
          <w:rFonts w:eastAsia="Times New Roman" w:cs="Times New Roman"/>
          <w:b/>
          <w:color w:val="000000" w:themeColor="text1"/>
          <w:sz w:val="72"/>
          <w:szCs w:val="72"/>
          <w:u w:val="single"/>
          <w:lang w:eastAsia="pl-PL"/>
        </w:rPr>
        <w:t xml:space="preserve">23 </w:t>
      </w:r>
      <w:proofErr w:type="gramStart"/>
      <w:r>
        <w:rPr>
          <w:rFonts w:eastAsia="Times New Roman" w:cs="Times New Roman"/>
          <w:b/>
          <w:color w:val="000000" w:themeColor="text1"/>
          <w:sz w:val="72"/>
          <w:szCs w:val="72"/>
          <w:u w:val="single"/>
          <w:lang w:eastAsia="pl-PL"/>
        </w:rPr>
        <w:t>spółek</w:t>
      </w:r>
      <w:r>
        <w:rPr>
          <w:rFonts w:eastAsia="Times New Roman" w:cs="Times New Roman"/>
          <w:sz w:val="72"/>
          <w:szCs w:val="72"/>
          <w:lang w:eastAsia="pl-PL"/>
        </w:rPr>
        <w:t xml:space="preserve"> (których</w:t>
      </w:r>
      <w:proofErr w:type="gramEnd"/>
      <w:r>
        <w:rPr>
          <w:rFonts w:eastAsia="Times New Roman" w:cs="Times New Roman"/>
          <w:sz w:val="72"/>
          <w:szCs w:val="72"/>
          <w:lang w:eastAsia="pl-PL"/>
        </w:rPr>
        <w:t xml:space="preserve"> lista </w:t>
      </w:r>
      <w:r>
        <w:rPr>
          <w:rFonts w:eastAsia="Times New Roman" w:cs="Times New Roman"/>
          <w:b/>
          <w:sz w:val="72"/>
          <w:szCs w:val="72"/>
          <w:lang w:eastAsia="pl-PL"/>
        </w:rPr>
        <w:t>opublikowana jest na str. 1</w:t>
      </w:r>
      <w:r w:rsidR="004F1CCB">
        <w:rPr>
          <w:rFonts w:eastAsia="Times New Roman" w:cs="Times New Roman"/>
          <w:b/>
          <w:sz w:val="72"/>
          <w:szCs w:val="72"/>
          <w:lang w:eastAsia="pl-PL"/>
        </w:rPr>
        <w:t>7</w:t>
      </w:r>
      <w:r>
        <w:rPr>
          <w:rFonts w:eastAsia="Times New Roman" w:cs="Times New Roman"/>
          <w:b/>
          <w:sz w:val="72"/>
          <w:szCs w:val="72"/>
          <w:lang w:eastAsia="pl-PL"/>
        </w:rPr>
        <w:t>-2</w:t>
      </w:r>
      <w:r w:rsidR="004F1CCB">
        <w:rPr>
          <w:rFonts w:eastAsia="Times New Roman" w:cs="Times New Roman"/>
          <w:b/>
          <w:sz w:val="72"/>
          <w:szCs w:val="72"/>
          <w:lang w:eastAsia="pl-PL"/>
        </w:rPr>
        <w:t>2</w:t>
      </w:r>
      <w:r>
        <w:rPr>
          <w:rFonts w:eastAsia="Times New Roman" w:cs="Times New Roman"/>
          <w:b/>
          <w:sz w:val="72"/>
          <w:szCs w:val="72"/>
          <w:lang w:eastAsia="pl-PL"/>
        </w:rPr>
        <w:t xml:space="preserve">) </w:t>
      </w:r>
    </w:p>
    <w:p w:rsidR="00A633D7" w:rsidRDefault="00A633D7" w:rsidP="00A633D7">
      <w:pPr>
        <w:spacing w:after="0" w:line="240" w:lineRule="auto"/>
        <w:jc w:val="both"/>
        <w:rPr>
          <w:rFonts w:eastAsia="Times New Roman" w:cs="Times New Roman"/>
          <w:sz w:val="72"/>
          <w:szCs w:val="72"/>
          <w:lang w:eastAsia="pl-PL"/>
        </w:rPr>
      </w:pPr>
    </w:p>
    <w:p w:rsidR="00A633D7" w:rsidRDefault="00A633D7" w:rsidP="00A633D7">
      <w:pPr>
        <w:spacing w:after="0" w:line="240" w:lineRule="auto"/>
        <w:jc w:val="both"/>
        <w:rPr>
          <w:rFonts w:eastAsia="Times New Roman" w:cs="Times New Roman"/>
          <w:b/>
          <w:sz w:val="72"/>
          <w:szCs w:val="72"/>
          <w:lang w:eastAsia="pl-PL"/>
        </w:rPr>
      </w:pPr>
      <w:proofErr w:type="gramStart"/>
      <w:r>
        <w:rPr>
          <w:rFonts w:eastAsia="Times New Roman" w:cs="Times New Roman"/>
          <w:b/>
          <w:sz w:val="72"/>
          <w:szCs w:val="72"/>
          <w:lang w:eastAsia="pl-PL"/>
        </w:rPr>
        <w:t>kursy</w:t>
      </w:r>
      <w:proofErr w:type="gramEnd"/>
      <w:r>
        <w:rPr>
          <w:rFonts w:eastAsia="Times New Roman" w:cs="Times New Roman"/>
          <w:b/>
          <w:sz w:val="72"/>
          <w:szCs w:val="72"/>
          <w:lang w:eastAsia="pl-PL"/>
        </w:rPr>
        <w:t xml:space="preserve"> akcji </w:t>
      </w:r>
      <w:r w:rsidR="00F104B9">
        <w:rPr>
          <w:rFonts w:eastAsia="Times New Roman" w:cs="Times New Roman"/>
          <w:b/>
          <w:color w:val="FF0000"/>
          <w:sz w:val="72"/>
          <w:szCs w:val="72"/>
          <w:lang w:eastAsia="pl-PL"/>
        </w:rPr>
        <w:t>18</w:t>
      </w:r>
      <w:r>
        <w:rPr>
          <w:rFonts w:eastAsia="Times New Roman" w:cs="Times New Roman"/>
          <w:b/>
          <w:color w:val="FF0000"/>
          <w:sz w:val="72"/>
          <w:szCs w:val="72"/>
          <w:lang w:eastAsia="pl-PL"/>
        </w:rPr>
        <w:t xml:space="preserve"> spółek</w:t>
      </w:r>
      <w:r>
        <w:rPr>
          <w:rFonts w:eastAsia="Times New Roman" w:cs="Times New Roman"/>
          <w:sz w:val="72"/>
          <w:szCs w:val="72"/>
          <w:lang w:eastAsia="pl-PL"/>
        </w:rPr>
        <w:t xml:space="preserve"> od momentu owego zakwalifikowania do tej rubryki do dnia </w:t>
      </w:r>
      <w:r w:rsidR="00F104B9">
        <w:rPr>
          <w:rFonts w:eastAsia="Times New Roman" w:cs="Times New Roman"/>
          <w:sz w:val="72"/>
          <w:szCs w:val="72"/>
          <w:lang w:eastAsia="pl-PL"/>
        </w:rPr>
        <w:t>18 marca</w:t>
      </w:r>
      <w:r>
        <w:rPr>
          <w:rFonts w:eastAsia="Times New Roman" w:cs="Times New Roman"/>
          <w:sz w:val="72"/>
          <w:szCs w:val="72"/>
          <w:lang w:eastAsia="pl-PL"/>
        </w:rPr>
        <w:t xml:space="preserve"> 2016 roku zachowywały się </w:t>
      </w:r>
      <w:r>
        <w:rPr>
          <w:rFonts w:eastAsia="Times New Roman" w:cs="Times New Roman"/>
          <w:b/>
          <w:color w:val="FF0000"/>
          <w:sz w:val="72"/>
          <w:szCs w:val="72"/>
          <w:u w:val="single"/>
          <w:lang w:eastAsia="pl-PL"/>
        </w:rPr>
        <w:t>lepiej</w:t>
      </w:r>
      <w:r>
        <w:rPr>
          <w:rFonts w:eastAsia="Times New Roman" w:cs="Times New Roman"/>
          <w:b/>
          <w:color w:val="FF0000"/>
          <w:sz w:val="72"/>
          <w:szCs w:val="72"/>
          <w:lang w:eastAsia="pl-PL"/>
        </w:rPr>
        <w:t xml:space="preserve"> od indeksu WIG20</w:t>
      </w:r>
      <w:r>
        <w:rPr>
          <w:rFonts w:eastAsia="Times New Roman" w:cs="Times New Roman"/>
          <w:b/>
          <w:sz w:val="72"/>
          <w:szCs w:val="72"/>
          <w:lang w:eastAsia="pl-PL"/>
        </w:rPr>
        <w:t xml:space="preserve"> a </w:t>
      </w:r>
      <w:r w:rsidR="00F104B9">
        <w:rPr>
          <w:rFonts w:eastAsia="Times New Roman" w:cs="Times New Roman"/>
          <w:b/>
          <w:sz w:val="72"/>
          <w:szCs w:val="72"/>
          <w:lang w:eastAsia="pl-PL"/>
        </w:rPr>
        <w:t>5</w:t>
      </w:r>
      <w:r>
        <w:rPr>
          <w:rFonts w:eastAsia="Times New Roman" w:cs="Times New Roman"/>
          <w:b/>
          <w:sz w:val="72"/>
          <w:szCs w:val="72"/>
          <w:lang w:eastAsia="pl-PL"/>
        </w:rPr>
        <w:t xml:space="preserve"> </w:t>
      </w:r>
      <w:r>
        <w:rPr>
          <w:rFonts w:eastAsia="Times New Roman" w:cs="Times New Roman"/>
          <w:b/>
          <w:sz w:val="72"/>
          <w:szCs w:val="72"/>
          <w:u w:val="single"/>
          <w:lang w:eastAsia="pl-PL"/>
        </w:rPr>
        <w:t xml:space="preserve">gorzej </w:t>
      </w:r>
      <w:r>
        <w:rPr>
          <w:rFonts w:eastAsia="Times New Roman" w:cs="Times New Roman"/>
          <w:b/>
          <w:sz w:val="72"/>
          <w:szCs w:val="72"/>
          <w:lang w:eastAsia="pl-PL"/>
        </w:rPr>
        <w:t xml:space="preserve">od indeksu WIG20 </w:t>
      </w:r>
    </w:p>
    <w:p w:rsidR="00A633D7" w:rsidRDefault="00A633D7" w:rsidP="00A633D7">
      <w:pPr>
        <w:spacing w:after="0" w:line="240" w:lineRule="auto"/>
        <w:jc w:val="both"/>
        <w:rPr>
          <w:rFonts w:eastAsia="Times New Roman" w:cs="Times New Roman"/>
          <w:color w:val="FF0000"/>
          <w:sz w:val="66"/>
          <w:szCs w:val="66"/>
          <w:lang w:eastAsia="pl-PL"/>
        </w:rPr>
      </w:pPr>
      <w:proofErr w:type="gramStart"/>
      <w:r>
        <w:rPr>
          <w:rFonts w:eastAsia="Times New Roman" w:cs="Times New Roman"/>
          <w:sz w:val="66"/>
          <w:szCs w:val="66"/>
          <w:lang w:eastAsia="pl-PL"/>
        </w:rPr>
        <w:lastRenderedPageBreak/>
        <w:t xml:space="preserve">Uwaga ! – </w:t>
      </w:r>
      <w:proofErr w:type="gramEnd"/>
      <w:r>
        <w:rPr>
          <w:rFonts w:eastAsia="Times New Roman" w:cs="Times New Roman"/>
          <w:sz w:val="66"/>
          <w:szCs w:val="66"/>
          <w:lang w:eastAsia="pl-PL"/>
        </w:rPr>
        <w:t xml:space="preserve">na poprzedniej stronie przedstawiłem wyniki badań dotyczących zachowania kursów akcji tych spółek, które znalazły się w rubryce </w:t>
      </w:r>
      <w:proofErr w:type="gramStart"/>
      <w:r>
        <w:rPr>
          <w:rFonts w:eastAsia="Times New Roman" w:cs="Times New Roman"/>
          <w:sz w:val="66"/>
          <w:szCs w:val="66"/>
          <w:lang w:eastAsia="pl-PL"/>
        </w:rPr>
        <w:t>,,</w:t>
      </w:r>
      <w:proofErr w:type="gramEnd"/>
      <w:r>
        <w:rPr>
          <w:rFonts w:eastAsia="Times New Roman" w:cs="Times New Roman"/>
          <w:sz w:val="66"/>
          <w:szCs w:val="66"/>
          <w:lang w:eastAsia="pl-PL"/>
        </w:rPr>
        <w:t xml:space="preserve">Wykres do przemyślenia” </w:t>
      </w:r>
      <w:r>
        <w:rPr>
          <w:rFonts w:eastAsia="Times New Roman" w:cs="Times New Roman"/>
          <w:b/>
          <w:color w:val="FF0000"/>
          <w:sz w:val="66"/>
          <w:szCs w:val="66"/>
          <w:u w:val="single"/>
          <w:lang w:eastAsia="pl-PL"/>
        </w:rPr>
        <w:t>na przestrzeni ostatnich 12 miesięcy.</w:t>
      </w:r>
    </w:p>
    <w:p w:rsidR="00A633D7" w:rsidRDefault="00A633D7" w:rsidP="00A633D7">
      <w:pPr>
        <w:spacing w:after="0" w:line="240" w:lineRule="auto"/>
        <w:jc w:val="both"/>
        <w:rPr>
          <w:rFonts w:eastAsia="Times New Roman" w:cs="Times New Roman"/>
          <w:sz w:val="66"/>
          <w:szCs w:val="66"/>
          <w:lang w:eastAsia="pl-PL"/>
        </w:rPr>
      </w:pPr>
    </w:p>
    <w:p w:rsidR="00A633D7" w:rsidRDefault="00A633D7" w:rsidP="00A633D7">
      <w:pPr>
        <w:spacing w:after="0" w:line="240" w:lineRule="auto"/>
        <w:jc w:val="both"/>
        <w:rPr>
          <w:rFonts w:eastAsia="Times New Roman" w:cs="Times New Roman"/>
          <w:sz w:val="66"/>
          <w:szCs w:val="66"/>
          <w:lang w:eastAsia="pl-PL"/>
        </w:rPr>
      </w:pPr>
      <w:r>
        <w:rPr>
          <w:rFonts w:eastAsia="Times New Roman" w:cs="Times New Roman"/>
          <w:sz w:val="66"/>
          <w:szCs w:val="66"/>
          <w:lang w:eastAsia="pl-PL"/>
        </w:rPr>
        <w:t xml:space="preserve">Spółki te będę starał się na prowadzonej przeze mnie stronie </w:t>
      </w:r>
      <w:proofErr w:type="gramStart"/>
      <w:r>
        <w:rPr>
          <w:rFonts w:eastAsia="Times New Roman" w:cs="Times New Roman"/>
          <w:sz w:val="66"/>
          <w:szCs w:val="66"/>
          <w:lang w:eastAsia="pl-PL"/>
        </w:rPr>
        <w:t xml:space="preserve">internetowej  </w:t>
      </w:r>
      <w:hyperlink r:id="rId47" w:history="1">
        <w:proofErr w:type="gramEnd"/>
        <w:r>
          <w:rPr>
            <w:rStyle w:val="Hipercze"/>
            <w:rFonts w:eastAsia="Times New Roman" w:cs="Times New Roman"/>
            <w:sz w:val="66"/>
            <w:szCs w:val="66"/>
            <w:lang w:eastAsia="pl-PL"/>
          </w:rPr>
          <w:t>http://analizy-rynkowe.pl/</w:t>
        </w:r>
      </w:hyperlink>
      <w:r>
        <w:rPr>
          <w:rFonts w:eastAsia="Times New Roman" w:cs="Times New Roman"/>
          <w:sz w:val="66"/>
          <w:szCs w:val="66"/>
          <w:lang w:eastAsia="pl-PL"/>
        </w:rPr>
        <w:t xml:space="preserve"> </w:t>
      </w:r>
      <w:r>
        <w:rPr>
          <w:rFonts w:eastAsia="Times New Roman" w:cs="Times New Roman"/>
          <w:b/>
          <w:color w:val="FF0000"/>
          <w:sz w:val="66"/>
          <w:szCs w:val="66"/>
          <w:u w:val="single"/>
          <w:lang w:eastAsia="pl-PL"/>
        </w:rPr>
        <w:t>otaczać szczególną opieką intelektualną</w:t>
      </w:r>
      <w:r>
        <w:rPr>
          <w:rFonts w:eastAsia="Times New Roman" w:cs="Times New Roman"/>
          <w:color w:val="FF0000"/>
          <w:sz w:val="66"/>
          <w:szCs w:val="66"/>
          <w:lang w:eastAsia="pl-PL"/>
        </w:rPr>
        <w:t xml:space="preserve"> </w:t>
      </w:r>
      <w:r>
        <w:rPr>
          <w:rFonts w:eastAsia="Times New Roman" w:cs="Times New Roman"/>
          <w:sz w:val="66"/>
          <w:szCs w:val="66"/>
          <w:lang w:eastAsia="pl-PL"/>
        </w:rPr>
        <w:t xml:space="preserve">to znaczy analizy publikowane na tej stronie będą w znacznej mierzy dotyczyć właśnie tych spółek. </w:t>
      </w:r>
    </w:p>
    <w:p w:rsidR="00A633D7" w:rsidRDefault="00A633D7" w:rsidP="00A633D7">
      <w:pPr>
        <w:spacing w:after="0" w:line="240" w:lineRule="auto"/>
        <w:jc w:val="both"/>
        <w:rPr>
          <w:rFonts w:eastAsia="Times New Roman" w:cs="Times New Roman"/>
          <w:sz w:val="66"/>
          <w:szCs w:val="66"/>
          <w:lang w:eastAsia="pl-PL"/>
        </w:rPr>
      </w:pPr>
    </w:p>
    <w:p w:rsidR="00A633D7" w:rsidRDefault="00A633D7" w:rsidP="00A633D7">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lastRenderedPageBreak/>
        <w:t>Generalny wniosek:</w:t>
      </w:r>
    </w:p>
    <w:p w:rsidR="00A633D7" w:rsidRDefault="00A633D7" w:rsidP="00A633D7">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t xml:space="preserve">kursy akcji spółki po wprowadzeniu jej do rubryki </w:t>
      </w:r>
      <w:proofErr w:type="gramStart"/>
      <w:r>
        <w:rPr>
          <w:rFonts w:eastAsia="Times New Roman" w:cs="Times New Roman"/>
          <w:b/>
          <w:color w:val="FFFFFF" w:themeColor="background1"/>
          <w:sz w:val="104"/>
          <w:szCs w:val="104"/>
          <w:lang w:eastAsia="pl-PL"/>
        </w:rPr>
        <w:t>,,</w:t>
      </w:r>
      <w:proofErr w:type="gramEnd"/>
      <w:r>
        <w:rPr>
          <w:rFonts w:eastAsia="Times New Roman" w:cs="Times New Roman"/>
          <w:b/>
          <w:color w:val="FFFFFF" w:themeColor="background1"/>
          <w:sz w:val="104"/>
          <w:szCs w:val="104"/>
          <w:lang w:eastAsia="pl-PL"/>
        </w:rPr>
        <w:t>Wykres do przemyślenia” zasadniczo rzecz biorąc wykazują relatywną przewagę nad indeksem WIG20</w:t>
      </w:r>
    </w:p>
    <w:p w:rsidR="00A633D7" w:rsidRDefault="00A633D7" w:rsidP="00A633D7">
      <w:pPr>
        <w:rPr>
          <w:rFonts w:eastAsia="Times New Roman" w:cs="Times New Roman"/>
          <w:lang w:eastAsia="pl-PL"/>
        </w:rPr>
      </w:pPr>
    </w:p>
    <w:p w:rsidR="00A633D7" w:rsidRDefault="00A633D7" w:rsidP="00A633D7">
      <w:pPr>
        <w:rPr>
          <w:rFonts w:eastAsia="Times New Roman" w:cs="Times New Roman"/>
          <w:lang w:eastAsia="pl-PL"/>
        </w:rPr>
      </w:pPr>
    </w:p>
    <w:p w:rsidR="00A633D7" w:rsidRDefault="00A633D7" w:rsidP="00A633D7">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A633D7" w:rsidRDefault="00A633D7" w:rsidP="00A633D7">
      <w:pPr>
        <w:spacing w:after="0" w:line="240" w:lineRule="auto"/>
        <w:jc w:val="both"/>
        <w:rPr>
          <w:rFonts w:eastAsia="Times New Roman" w:cs="Times New Roman"/>
          <w:lang w:eastAsia="pl-PL"/>
        </w:rPr>
      </w:pPr>
    </w:p>
    <w:p w:rsidR="00A633D7" w:rsidRDefault="00A633D7" w:rsidP="00A633D7">
      <w:pPr>
        <w:numPr>
          <w:ilvl w:val="0"/>
          <w:numId w:val="2"/>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A633D7" w:rsidRDefault="00A633D7" w:rsidP="00A633D7">
      <w:pPr>
        <w:spacing w:after="0" w:line="240" w:lineRule="auto"/>
        <w:contextualSpacing/>
        <w:jc w:val="both"/>
        <w:rPr>
          <w:rFonts w:eastAsia="Times New Roman" w:cs="Times New Roman"/>
          <w:b/>
          <w:color w:val="FF0000"/>
          <w:lang w:eastAsia="pl-PL"/>
        </w:rPr>
      </w:pPr>
    </w:p>
    <w:p w:rsidR="00A633D7" w:rsidRDefault="00A633D7" w:rsidP="00A633D7">
      <w:pPr>
        <w:numPr>
          <w:ilvl w:val="0"/>
          <w:numId w:val="2"/>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A633D7" w:rsidRDefault="00A633D7" w:rsidP="00A633D7">
      <w:pPr>
        <w:spacing w:after="0" w:line="240" w:lineRule="auto"/>
        <w:contextualSpacing/>
        <w:jc w:val="both"/>
        <w:rPr>
          <w:rFonts w:eastAsia="Times New Roman" w:cs="Times New Roman"/>
          <w:color w:val="000000" w:themeColor="text1"/>
          <w:lang w:eastAsia="pl-PL"/>
        </w:rPr>
      </w:pPr>
    </w:p>
    <w:p w:rsidR="00A633D7" w:rsidRPr="00BF6C38" w:rsidRDefault="00BF6C38" w:rsidP="00BF6C38">
      <w:pPr>
        <w:pStyle w:val="Akapitzlist"/>
        <w:numPr>
          <w:ilvl w:val="0"/>
          <w:numId w:val="2"/>
        </w:numPr>
        <w:spacing w:after="0" w:line="240" w:lineRule="auto"/>
        <w:jc w:val="both"/>
        <w:rPr>
          <w:color w:val="000000" w:themeColor="text1"/>
          <w:lang w:eastAsia="pl-PL"/>
        </w:rPr>
      </w:pPr>
      <w:r w:rsidRPr="00BF6C38">
        <w:rPr>
          <w:b/>
          <w:color w:val="000000" w:themeColor="text1"/>
          <w:lang w:eastAsia="pl-PL"/>
        </w:rPr>
        <w:t>Aktualnie na wykresie cen kontraktów terminowych na ropę naftową doszliśmy do spadkowej linii trendu</w:t>
      </w:r>
      <w:r w:rsidRPr="00BF6C38">
        <w:rPr>
          <w:color w:val="000000" w:themeColor="text1"/>
          <w:lang w:eastAsia="pl-PL"/>
        </w:rPr>
        <w:t xml:space="preserve"> poprowadzonej przez ważne szczyty. Układ średni średnich ruchomych jest typowy dla długoterminowej bessy. </w:t>
      </w:r>
      <w:r w:rsidRPr="00BF6C38">
        <w:rPr>
          <w:b/>
          <w:color w:val="000000" w:themeColor="text1"/>
          <w:lang w:eastAsia="pl-PL"/>
        </w:rPr>
        <w:t xml:space="preserve">W tej sytuacji pojawia się ryzyko rozpoczęcia spadków </w:t>
      </w:r>
      <w:r w:rsidRPr="00BF6C38">
        <w:rPr>
          <w:color w:val="000000" w:themeColor="text1"/>
          <w:lang w:eastAsia="pl-PL"/>
        </w:rPr>
        <w:t xml:space="preserve">cen kontraktów terminowych na ropę naftową a w konsekwencji spadków </w:t>
      </w:r>
      <w:r w:rsidRPr="00BF6C38">
        <w:rPr>
          <w:b/>
          <w:color w:val="000000" w:themeColor="text1"/>
          <w:lang w:eastAsia="pl-PL"/>
        </w:rPr>
        <w:t>indeksu WIG20</w:t>
      </w:r>
      <w:r w:rsidRPr="00BF6C38">
        <w:rPr>
          <w:color w:val="000000" w:themeColor="text1"/>
          <w:lang w:eastAsia="pl-PL"/>
        </w:rPr>
        <w:t>. Naturalnie pewności nie ma, ale ryzyko takie występuje.</w:t>
      </w:r>
    </w:p>
    <w:p w:rsidR="00A633D7" w:rsidRDefault="00A633D7" w:rsidP="00A633D7">
      <w:pPr>
        <w:pStyle w:val="Akapitzlist"/>
        <w:spacing w:after="0" w:line="240" w:lineRule="auto"/>
        <w:jc w:val="both"/>
        <w:rPr>
          <w:color w:val="000000" w:themeColor="text1"/>
          <w:lang w:eastAsia="pl-PL"/>
        </w:rPr>
      </w:pPr>
    </w:p>
    <w:p w:rsidR="00A633D7" w:rsidRPr="00BF6C38" w:rsidRDefault="00BF6C38" w:rsidP="00BF6C38">
      <w:pPr>
        <w:pStyle w:val="Akapitzlist"/>
        <w:numPr>
          <w:ilvl w:val="0"/>
          <w:numId w:val="2"/>
        </w:numPr>
        <w:spacing w:after="0" w:line="240" w:lineRule="auto"/>
        <w:jc w:val="both"/>
        <w:rPr>
          <w:lang w:eastAsia="pl-PL"/>
        </w:rPr>
      </w:pPr>
      <w:r w:rsidRPr="00BF6C38">
        <w:rPr>
          <w:b/>
          <w:color w:val="000000" w:themeColor="text1"/>
          <w:lang w:eastAsia="pl-PL"/>
        </w:rPr>
        <w:t>Doświadczenie uczy, że nawet w okresach stosunkowo silnych spadków indeksu WIG20 niektóre indeksy</w:t>
      </w:r>
      <w:r w:rsidRPr="00BF6C38">
        <w:rPr>
          <w:color w:val="000000" w:themeColor="text1"/>
          <w:lang w:eastAsia="pl-PL"/>
        </w:rPr>
        <w:t xml:space="preserve"> </w:t>
      </w:r>
      <w:r w:rsidRPr="00BF6C38">
        <w:rPr>
          <w:b/>
          <w:color w:val="000000" w:themeColor="text1"/>
          <w:lang w:eastAsia="pl-PL"/>
        </w:rPr>
        <w:t>branżowe</w:t>
      </w:r>
      <w:r w:rsidRPr="00BF6C38">
        <w:rPr>
          <w:color w:val="000000" w:themeColor="text1"/>
          <w:lang w:eastAsia="pl-PL"/>
        </w:rPr>
        <w:t xml:space="preserve"> (obliczane przez Giełdę Papierów Wartościowych w Warszawie oraz przez portal </w:t>
      </w:r>
      <w:hyperlink r:id="rId48" w:history="1">
        <w:r w:rsidRPr="00EE654E">
          <w:rPr>
            <w:rStyle w:val="Hipercze"/>
            <w:lang w:eastAsia="pl-PL"/>
          </w:rPr>
          <w:t>http://stooq.</w:t>
        </w:r>
        <w:proofErr w:type="gramStart"/>
        <w:r w:rsidRPr="00EE654E">
          <w:rPr>
            <w:rStyle w:val="Hipercze"/>
            <w:lang w:eastAsia="pl-PL"/>
          </w:rPr>
          <w:t>pl/</w:t>
        </w:r>
      </w:hyperlink>
      <w:r w:rsidRPr="00BF6C38">
        <w:rPr>
          <w:color w:val="000000" w:themeColor="text1"/>
          <w:lang w:eastAsia="pl-PL"/>
        </w:rPr>
        <w:t>)</w:t>
      </w:r>
      <w:r w:rsidRPr="00BF6C38">
        <w:rPr>
          <w:color w:val="000000" w:themeColor="text1"/>
          <w:lang w:eastAsia="pl-PL"/>
        </w:rPr>
        <w:t xml:space="preserve"> </w:t>
      </w:r>
      <w:r w:rsidRPr="00BF6C38">
        <w:rPr>
          <w:color w:val="000000" w:themeColor="text1"/>
          <w:lang w:eastAsia="pl-PL"/>
        </w:rPr>
        <w:t xml:space="preserve"> </w:t>
      </w:r>
      <w:r w:rsidRPr="00BF6C38">
        <w:rPr>
          <w:b/>
          <w:color w:val="000000" w:themeColor="text1"/>
          <w:lang w:eastAsia="pl-PL"/>
        </w:rPr>
        <w:t>mogą</w:t>
      </w:r>
      <w:proofErr w:type="gramEnd"/>
      <w:r w:rsidRPr="00BF6C38">
        <w:rPr>
          <w:b/>
          <w:color w:val="000000" w:themeColor="text1"/>
          <w:lang w:eastAsia="pl-PL"/>
        </w:rPr>
        <w:t xml:space="preserve"> zachowywać się stosunkowo mocno</w:t>
      </w:r>
      <w:r w:rsidRPr="00BF6C38">
        <w:rPr>
          <w:color w:val="000000" w:themeColor="text1"/>
          <w:lang w:eastAsia="pl-PL"/>
        </w:rPr>
        <w:t xml:space="preserve">. W tym kontekście </w:t>
      </w:r>
      <w:r w:rsidRPr="00BF6C38">
        <w:rPr>
          <w:b/>
          <w:color w:val="000000" w:themeColor="text1"/>
          <w:lang w:eastAsia="pl-PL"/>
        </w:rPr>
        <w:t>moją uwagę zwraca</w:t>
      </w:r>
      <w:r w:rsidRPr="00BF6C38">
        <w:rPr>
          <w:color w:val="000000" w:themeColor="text1"/>
          <w:lang w:eastAsia="pl-PL"/>
        </w:rPr>
        <w:t xml:space="preserve"> publikowany przez portal </w:t>
      </w:r>
      <w:hyperlink r:id="rId49" w:history="1">
        <w:r w:rsidRPr="00EE654E">
          <w:rPr>
            <w:rStyle w:val="Hipercze"/>
            <w:lang w:eastAsia="pl-PL"/>
          </w:rPr>
          <w:t>http://stooq.</w:t>
        </w:r>
        <w:proofErr w:type="gramStart"/>
        <w:r w:rsidRPr="00EE654E">
          <w:rPr>
            <w:rStyle w:val="Hipercze"/>
            <w:lang w:eastAsia="pl-PL"/>
          </w:rPr>
          <w:t>pl/</w:t>
        </w:r>
      </w:hyperlink>
      <w:r w:rsidRPr="00BF6C38">
        <w:rPr>
          <w:color w:val="000000" w:themeColor="text1"/>
          <w:lang w:eastAsia="pl-PL"/>
        </w:rPr>
        <w:t xml:space="preserve"> </w:t>
      </w:r>
      <w:r w:rsidRPr="00BF6C38">
        <w:rPr>
          <w:color w:val="000000" w:themeColor="text1"/>
          <w:lang w:eastAsia="pl-PL"/>
        </w:rPr>
        <w:t xml:space="preserve"> </w:t>
      </w:r>
      <w:r w:rsidRPr="00BF6C38">
        <w:rPr>
          <w:b/>
          <w:color w:val="000000" w:themeColor="text1"/>
          <w:lang w:eastAsia="pl-PL"/>
        </w:rPr>
        <w:t>indeks</w:t>
      </w:r>
      <w:proofErr w:type="gramEnd"/>
      <w:r w:rsidRPr="00BF6C38">
        <w:rPr>
          <w:b/>
          <w:color w:val="000000" w:themeColor="text1"/>
          <w:lang w:eastAsia="pl-PL"/>
        </w:rPr>
        <w:t xml:space="preserve"> branży deweloperskiej. </w:t>
      </w:r>
      <w:r w:rsidRPr="00BF6C38">
        <w:rPr>
          <w:color w:val="000000" w:themeColor="text1"/>
          <w:lang w:eastAsia="pl-PL"/>
        </w:rPr>
        <w:t>Nawiasem mówiąc branża deweloperska wymieniana jest wśród tych branż, które mogą zyskać na niskich stopach procentowych (a na razie RPP utrzymuje ja na niskim poziomie i z prognoz różnych banków wynika, że stóp tych na razie nie podwyższy</w:t>
      </w:r>
      <w:r w:rsidRPr="00BF6C38">
        <w:rPr>
          <w:color w:val="000000" w:themeColor="text1"/>
          <w:lang w:eastAsia="pl-PL"/>
        </w:rPr>
        <w:t>. M</w:t>
      </w:r>
      <w:r w:rsidRPr="00BF6C38">
        <w:rPr>
          <w:color w:val="000000" w:themeColor="text1"/>
          <w:lang w:eastAsia="pl-PL"/>
        </w:rPr>
        <w:t>ówi się nawet o (jak zasugerował to prof. Eryk Łon z RPP) możliwej obniżce stóp).</w:t>
      </w:r>
      <w:r w:rsidR="00A633D7" w:rsidRPr="00BF6C38">
        <w:rPr>
          <w:color w:val="000000" w:themeColor="text1"/>
          <w:lang w:eastAsia="pl-PL"/>
        </w:rPr>
        <w:t xml:space="preserve"> </w:t>
      </w:r>
      <w:r w:rsidRPr="00BF6C38">
        <w:rPr>
          <w:b/>
          <w:color w:val="000000" w:themeColor="text1"/>
          <w:lang w:eastAsia="pl-PL"/>
        </w:rPr>
        <w:t>Na wykresie indeksu branży deweloperskiej doszło do wybicia z formacji podwójnego dna</w:t>
      </w:r>
      <w:r w:rsidRPr="00BF6C38">
        <w:rPr>
          <w:color w:val="000000" w:themeColor="text1"/>
          <w:lang w:eastAsia="pl-PL"/>
        </w:rPr>
        <w:t xml:space="preserve">. Gdyby formacja ta miała się wypełnić powinno dojść do wzrostu tego indeksu </w:t>
      </w:r>
      <w:r w:rsidRPr="00BF6C38">
        <w:rPr>
          <w:b/>
          <w:color w:val="FF0000"/>
          <w:lang w:eastAsia="pl-PL"/>
        </w:rPr>
        <w:t>o 16,8 %.</w:t>
      </w:r>
      <w:r w:rsidR="00A633D7" w:rsidRPr="00BF6C38">
        <w:rPr>
          <w:color w:val="000000" w:themeColor="text1"/>
          <w:lang w:eastAsia="pl-PL"/>
        </w:rPr>
        <w:t xml:space="preserve">Warto zauważyć, że na przestrzeni ostatnich 12 miesięcy w rubryce </w:t>
      </w:r>
      <w:proofErr w:type="gramStart"/>
      <w:r w:rsidR="00A633D7" w:rsidRPr="00BF6C38">
        <w:rPr>
          <w:color w:val="000000" w:themeColor="text1"/>
          <w:lang w:eastAsia="pl-PL"/>
        </w:rPr>
        <w:t>,,</w:t>
      </w:r>
      <w:proofErr w:type="gramEnd"/>
      <w:r w:rsidR="00A633D7" w:rsidRPr="00BF6C38">
        <w:rPr>
          <w:color w:val="000000" w:themeColor="text1"/>
          <w:lang w:eastAsia="pl-PL"/>
        </w:rPr>
        <w:t xml:space="preserve">Wykres do przemyślenia” umieszczone zostały 3 spółki z </w:t>
      </w:r>
      <w:r w:rsidRPr="00BF6C38">
        <w:rPr>
          <w:color w:val="000000" w:themeColor="text1"/>
          <w:lang w:eastAsia="pl-PL"/>
        </w:rPr>
        <w:t>branży deweloperskiej</w:t>
      </w:r>
      <w:r w:rsidR="00A633D7" w:rsidRPr="00BF6C38">
        <w:rPr>
          <w:color w:val="000000" w:themeColor="text1"/>
          <w:lang w:eastAsia="pl-PL"/>
        </w:rPr>
        <w:t xml:space="preserve">- </w:t>
      </w:r>
      <w:r>
        <w:rPr>
          <w:b/>
          <w:color w:val="FF0000"/>
          <w:lang w:eastAsia="pl-PL"/>
        </w:rPr>
        <w:t xml:space="preserve">Polnord, LC </w:t>
      </w:r>
      <w:proofErr w:type="spellStart"/>
      <w:r>
        <w:rPr>
          <w:b/>
          <w:color w:val="FF0000"/>
          <w:lang w:eastAsia="pl-PL"/>
        </w:rPr>
        <w:t>Corp</w:t>
      </w:r>
      <w:proofErr w:type="spellEnd"/>
      <w:r>
        <w:rPr>
          <w:b/>
          <w:color w:val="FF0000"/>
          <w:lang w:eastAsia="pl-PL"/>
        </w:rPr>
        <w:t xml:space="preserve"> oraz Alta.</w:t>
      </w:r>
    </w:p>
    <w:p w:rsidR="00BF6C38" w:rsidRPr="00BF6C38" w:rsidRDefault="00BF6C38" w:rsidP="00BF6C38">
      <w:pPr>
        <w:pStyle w:val="Akapitzlist"/>
        <w:spacing w:after="0" w:line="240" w:lineRule="auto"/>
        <w:jc w:val="both"/>
        <w:rPr>
          <w:lang w:eastAsia="pl-PL"/>
        </w:rPr>
      </w:pPr>
    </w:p>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Opracował: Sławomir Kłusek, </w:t>
      </w:r>
      <w:r w:rsidR="00BF6C38">
        <w:rPr>
          <w:rFonts w:eastAsia="Times New Roman" w:cs="Times New Roman"/>
          <w:lang w:eastAsia="pl-PL"/>
        </w:rPr>
        <w:t>21</w:t>
      </w:r>
      <w:r>
        <w:rPr>
          <w:rFonts w:eastAsia="Times New Roman" w:cs="Times New Roman"/>
          <w:lang w:eastAsia="pl-PL"/>
        </w:rPr>
        <w:t xml:space="preserve"> marca 2016 roku</w:t>
      </w:r>
    </w:p>
    <w:p w:rsidR="00A633D7" w:rsidRDefault="00A633D7" w:rsidP="00A633D7">
      <w:pPr>
        <w:spacing w:after="0" w:line="240" w:lineRule="auto"/>
        <w:jc w:val="both"/>
        <w:rPr>
          <w:rFonts w:eastAsia="Times New Roman" w:cs="Times New Roman"/>
          <w:lang w:eastAsia="pl-PL"/>
        </w:rPr>
      </w:pPr>
    </w:p>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A633D7" w:rsidRDefault="00A633D7" w:rsidP="00A633D7">
      <w:pPr>
        <w:spacing w:after="0" w:line="240" w:lineRule="auto"/>
        <w:jc w:val="both"/>
        <w:rPr>
          <w:rFonts w:eastAsia="Times New Roman" w:cs="Times New Roman"/>
          <w:lang w:eastAsia="pl-PL"/>
        </w:rPr>
      </w:pPr>
    </w:p>
    <w:p w:rsidR="00A633D7" w:rsidRDefault="00A633D7" w:rsidP="00A633D7">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50"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A633D7" w:rsidRDefault="00A633D7" w:rsidP="00A633D7">
      <w:pPr>
        <w:spacing w:after="0" w:line="240" w:lineRule="auto"/>
        <w:jc w:val="both"/>
        <w:rPr>
          <w:rFonts w:eastAsia="Times New Roman" w:cs="Times New Roman"/>
          <w:lang w:eastAsia="pl-PL"/>
        </w:rPr>
      </w:pPr>
    </w:p>
    <w:p w:rsidR="005F76B8" w:rsidRDefault="00A633D7" w:rsidP="00A633D7">
      <w:pPr>
        <w:spacing w:after="0" w:line="240" w:lineRule="auto"/>
        <w:jc w:val="both"/>
      </w:pPr>
      <w:r>
        <w:rPr>
          <w:rFonts w:eastAsia="Times New Roman" w:cs="Times New Roman"/>
          <w:lang w:eastAsia="pl-PL"/>
        </w:rPr>
        <w:t xml:space="preserve">Autor nie ponosi odpowiedzialności za jakiekolwiek decyzje inwestycyjne podjęte na podstawie treści zawartych na stronie internetowej </w:t>
      </w:r>
      <w:hyperlink r:id="rId51" w:history="1">
        <w:r>
          <w:rPr>
            <w:rStyle w:val="Hipercze"/>
            <w:rFonts w:eastAsia="Times New Roman" w:cs="Times New Roman"/>
            <w:lang w:eastAsia="pl-PL"/>
          </w:rPr>
          <w:t>www.analizy-rynkowe.pl</w:t>
        </w:r>
      </w:hyperlink>
    </w:p>
    <w:sectPr w:rsidR="005F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D7"/>
    <w:rsid w:val="000227F3"/>
    <w:rsid w:val="002E6D0E"/>
    <w:rsid w:val="004F1CCB"/>
    <w:rsid w:val="005F76B8"/>
    <w:rsid w:val="00672251"/>
    <w:rsid w:val="0071501F"/>
    <w:rsid w:val="00796C03"/>
    <w:rsid w:val="00980C85"/>
    <w:rsid w:val="00997F18"/>
    <w:rsid w:val="009E6A01"/>
    <w:rsid w:val="00A633D7"/>
    <w:rsid w:val="00AC3D14"/>
    <w:rsid w:val="00BF6C38"/>
    <w:rsid w:val="00CB205C"/>
    <w:rsid w:val="00EC6C8C"/>
    <w:rsid w:val="00F104B9"/>
    <w:rsid w:val="00F215FC"/>
    <w:rsid w:val="00F47B25"/>
    <w:rsid w:val="00FD3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33D7"/>
    <w:rPr>
      <w:color w:val="0000FF" w:themeColor="hyperlink"/>
      <w:u w:val="single"/>
    </w:rPr>
  </w:style>
  <w:style w:type="character" w:styleId="UyteHipercze">
    <w:name w:val="FollowedHyperlink"/>
    <w:basedOn w:val="Domylnaczcionkaakapitu"/>
    <w:uiPriority w:val="99"/>
    <w:semiHidden/>
    <w:unhideWhenUsed/>
    <w:rsid w:val="00A633D7"/>
    <w:rPr>
      <w:color w:val="800080" w:themeColor="followedHyperlink"/>
      <w:u w:val="single"/>
    </w:rPr>
  </w:style>
  <w:style w:type="paragraph" w:styleId="NormalnyWeb">
    <w:name w:val="Normal (Web)"/>
    <w:basedOn w:val="Normalny"/>
    <w:uiPriority w:val="99"/>
    <w:semiHidden/>
    <w:unhideWhenUsed/>
    <w:rsid w:val="00A633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3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33D7"/>
    <w:rPr>
      <w:sz w:val="20"/>
      <w:szCs w:val="20"/>
    </w:rPr>
  </w:style>
  <w:style w:type="paragraph" w:styleId="Tekstdymka">
    <w:name w:val="Balloon Text"/>
    <w:basedOn w:val="Normalny"/>
    <w:link w:val="TekstdymkaZnak"/>
    <w:uiPriority w:val="99"/>
    <w:semiHidden/>
    <w:unhideWhenUsed/>
    <w:rsid w:val="00A633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3D7"/>
    <w:rPr>
      <w:rFonts w:ascii="Tahoma" w:hAnsi="Tahoma" w:cs="Tahoma"/>
      <w:sz w:val="16"/>
      <w:szCs w:val="16"/>
    </w:rPr>
  </w:style>
  <w:style w:type="paragraph" w:styleId="Bezodstpw">
    <w:name w:val="No Spacing"/>
    <w:uiPriority w:val="1"/>
    <w:qFormat/>
    <w:rsid w:val="00A633D7"/>
    <w:pPr>
      <w:spacing w:after="0" w:line="240" w:lineRule="auto"/>
    </w:pPr>
  </w:style>
  <w:style w:type="paragraph" w:styleId="Akapitzlist">
    <w:name w:val="List Paragraph"/>
    <w:basedOn w:val="Normalny"/>
    <w:uiPriority w:val="34"/>
    <w:qFormat/>
    <w:rsid w:val="00A633D7"/>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A633D7"/>
    <w:rPr>
      <w:vertAlign w:val="superscript"/>
    </w:rPr>
  </w:style>
  <w:style w:type="character" w:customStyle="1" w:styleId="TekstprzypisukocowegoZnak1">
    <w:name w:val="Tekst przypisu końcowego Znak1"/>
    <w:basedOn w:val="Domylnaczcionkaakapitu"/>
    <w:uiPriority w:val="99"/>
    <w:semiHidden/>
    <w:rsid w:val="00A633D7"/>
    <w:rPr>
      <w:sz w:val="20"/>
      <w:szCs w:val="20"/>
    </w:rPr>
  </w:style>
  <w:style w:type="table" w:styleId="Tabela-Siatka">
    <w:name w:val="Table Grid"/>
    <w:basedOn w:val="Standardowy"/>
    <w:uiPriority w:val="59"/>
    <w:rsid w:val="00A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33D7"/>
    <w:rPr>
      <w:color w:val="0000FF" w:themeColor="hyperlink"/>
      <w:u w:val="single"/>
    </w:rPr>
  </w:style>
  <w:style w:type="character" w:styleId="UyteHipercze">
    <w:name w:val="FollowedHyperlink"/>
    <w:basedOn w:val="Domylnaczcionkaakapitu"/>
    <w:uiPriority w:val="99"/>
    <w:semiHidden/>
    <w:unhideWhenUsed/>
    <w:rsid w:val="00A633D7"/>
    <w:rPr>
      <w:color w:val="800080" w:themeColor="followedHyperlink"/>
      <w:u w:val="single"/>
    </w:rPr>
  </w:style>
  <w:style w:type="paragraph" w:styleId="NormalnyWeb">
    <w:name w:val="Normal (Web)"/>
    <w:basedOn w:val="Normalny"/>
    <w:uiPriority w:val="99"/>
    <w:semiHidden/>
    <w:unhideWhenUsed/>
    <w:rsid w:val="00A633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3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33D7"/>
    <w:rPr>
      <w:sz w:val="20"/>
      <w:szCs w:val="20"/>
    </w:rPr>
  </w:style>
  <w:style w:type="paragraph" w:styleId="Tekstdymka">
    <w:name w:val="Balloon Text"/>
    <w:basedOn w:val="Normalny"/>
    <w:link w:val="TekstdymkaZnak"/>
    <w:uiPriority w:val="99"/>
    <w:semiHidden/>
    <w:unhideWhenUsed/>
    <w:rsid w:val="00A633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3D7"/>
    <w:rPr>
      <w:rFonts w:ascii="Tahoma" w:hAnsi="Tahoma" w:cs="Tahoma"/>
      <w:sz w:val="16"/>
      <w:szCs w:val="16"/>
    </w:rPr>
  </w:style>
  <w:style w:type="paragraph" w:styleId="Bezodstpw">
    <w:name w:val="No Spacing"/>
    <w:uiPriority w:val="1"/>
    <w:qFormat/>
    <w:rsid w:val="00A633D7"/>
    <w:pPr>
      <w:spacing w:after="0" w:line="240" w:lineRule="auto"/>
    </w:pPr>
  </w:style>
  <w:style w:type="paragraph" w:styleId="Akapitzlist">
    <w:name w:val="List Paragraph"/>
    <w:basedOn w:val="Normalny"/>
    <w:uiPriority w:val="34"/>
    <w:qFormat/>
    <w:rsid w:val="00A633D7"/>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A633D7"/>
    <w:rPr>
      <w:vertAlign w:val="superscript"/>
    </w:rPr>
  </w:style>
  <w:style w:type="character" w:customStyle="1" w:styleId="TekstprzypisukocowegoZnak1">
    <w:name w:val="Tekst przypisu końcowego Znak1"/>
    <w:basedOn w:val="Domylnaczcionkaakapitu"/>
    <w:uiPriority w:val="99"/>
    <w:semiHidden/>
    <w:rsid w:val="00A633D7"/>
    <w:rPr>
      <w:sz w:val="20"/>
      <w:szCs w:val="20"/>
    </w:rPr>
  </w:style>
  <w:style w:type="table" w:styleId="Tabela-Siatka">
    <w:name w:val="Table Grid"/>
    <w:basedOn w:val="Standardowy"/>
    <w:uiPriority w:val="59"/>
    <w:rsid w:val="00A6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6.gif"/><Relationship Id="rId26" Type="http://schemas.openxmlformats.org/officeDocument/2006/relationships/hyperlink" Target="http://www.analizy-rynkowe.pl" TargetMode="External"/><Relationship Id="rId39" Type="http://schemas.openxmlformats.org/officeDocument/2006/relationships/hyperlink" Target="http://www.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34" Type="http://schemas.openxmlformats.org/officeDocument/2006/relationships/hyperlink" Target="http://www.analizy-rynkowe.pl" TargetMode="External"/><Relationship Id="rId42" Type="http://schemas.openxmlformats.org/officeDocument/2006/relationships/hyperlink" Target="http://www.analizy-rynkowe.pl" TargetMode="External"/><Relationship Id="rId47" Type="http://schemas.openxmlformats.org/officeDocument/2006/relationships/hyperlink" Target="http://analizy-rynkowe.pl/" TargetMode="External"/><Relationship Id="rId50"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www.pb.pl/4426559,27052,morgan-stanley-rpp-obnizy-stopy-o-50-punktow-bazowych" TargetMode="External"/><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38" Type="http://schemas.openxmlformats.org/officeDocument/2006/relationships/hyperlink" Target="http://www.analizy-rynkowe.pl" TargetMode="External"/><Relationship Id="rId46"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s://www.google.pl/webhp?sourceid=chrome-instant&amp;ion=1&amp;espv=2&amp;ie=UTF-8"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41"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bserwatorfinansowy.pl/tematyka/finanse-publiczne/lon-przestrzen-do-obnizek-stop-nbp-nieznaczna-bez-znaczenia-dla-procesow-realnych/" TargetMode="External"/><Relationship Id="rId24" Type="http://schemas.openxmlformats.org/officeDocument/2006/relationships/hyperlink" Target="http://www.analizy-rynkowe.pl" TargetMode="External"/><Relationship Id="rId32" Type="http://schemas.openxmlformats.org/officeDocument/2006/relationships/hyperlink" Target="http://analizy-rynkowe.pl/" TargetMode="External"/><Relationship Id="rId37" Type="http://schemas.openxmlformats.org/officeDocument/2006/relationships/hyperlink" Target="http://www.analizy-rynkowe.pl" TargetMode="External"/><Relationship Id="rId40" Type="http://schemas.openxmlformats.org/officeDocument/2006/relationships/hyperlink" Target="http://www.analizy-rynkowe.pl" TargetMode="External"/><Relationship Id="rId45" Type="http://schemas.openxmlformats.org/officeDocument/2006/relationships/hyperlink" Target="http://analizy-rynkowe.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q.pl/"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www.analizy-rynkowe.pl" TargetMode="External"/><Relationship Id="rId49" Type="http://schemas.openxmlformats.org/officeDocument/2006/relationships/hyperlink" Target="http://stooq.pl/" TargetMode="External"/><Relationship Id="rId10" Type="http://schemas.openxmlformats.org/officeDocument/2006/relationships/hyperlink" Target="http://www.obserwatorfinansowy.pl/dispatches/lon-o-ewentualnej-obnizce-stop-nbp-zadecyduja-w-duzym-stopniu-czynniki-zewnetrzne/" TargetMode="External"/><Relationship Id="rId19" Type="http://schemas.openxmlformats.org/officeDocument/2006/relationships/hyperlink" Target="http://analizy-rynkowe.pl/" TargetMode="External"/><Relationship Id="rId31" Type="http://schemas.openxmlformats.org/officeDocument/2006/relationships/hyperlink" Target="http://www.analizy-rynkowe.pl" TargetMode="External"/><Relationship Id="rId44" Type="http://schemas.openxmlformats.org/officeDocument/2006/relationships/hyperlink" Target="http://www.analizy-rynkowe.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yklon.pl/" TargetMode="External"/><Relationship Id="rId14" Type="http://schemas.openxmlformats.org/officeDocument/2006/relationships/hyperlink" Target="http://stooq.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 Id="rId43" Type="http://schemas.openxmlformats.org/officeDocument/2006/relationships/hyperlink" Target="http://www.analizy-rynkowe.pl" TargetMode="External"/><Relationship Id="rId48" Type="http://schemas.openxmlformats.org/officeDocument/2006/relationships/hyperlink" Target="http://stooq.pl/" TargetMode="External"/><Relationship Id="rId8" Type="http://schemas.openxmlformats.org/officeDocument/2006/relationships/image" Target="media/image3.jpeg"/><Relationship Id="rId51"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4844</Words>
  <Characters>29067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4</cp:revision>
  <cp:lastPrinted>2016-03-20T08:09:00Z</cp:lastPrinted>
  <dcterms:created xsi:type="dcterms:W3CDTF">2016-03-20T08:07:00Z</dcterms:created>
  <dcterms:modified xsi:type="dcterms:W3CDTF">2016-03-20T08:10:00Z</dcterms:modified>
</cp:coreProperties>
</file>