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CB" w:rsidRDefault="004C1CCB" w:rsidP="004C1CC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bookmarkStart w:id="0" w:name="_GoBack"/>
      <w:bookmarkEnd w:id="0"/>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4C1CCB" w:rsidRDefault="004C1CCB" w:rsidP="004C1CCB">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4C1CCB" w:rsidRDefault="004C1CCB" w:rsidP="004C1CC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4C1CCB" w:rsidRDefault="004C1CCB" w:rsidP="004C1CCB">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4C1CCB" w:rsidRDefault="004C1CCB" w:rsidP="004C1CCB">
      <w:pPr>
        <w:spacing w:after="0" w:line="240" w:lineRule="auto"/>
        <w:jc w:val="center"/>
        <w:rPr>
          <w:rFonts w:eastAsiaTheme="minorEastAsia"/>
          <w:sz w:val="48"/>
          <w:szCs w:val="48"/>
          <w:lang w:eastAsia="pl-PL"/>
        </w:rPr>
      </w:pPr>
    </w:p>
    <w:p w:rsidR="004C1CCB" w:rsidRDefault="004C1CCB" w:rsidP="004C1CCB">
      <w:pPr>
        <w:spacing w:after="0" w:line="240" w:lineRule="auto"/>
        <w:jc w:val="center"/>
        <w:rPr>
          <w:rFonts w:eastAsiaTheme="minorEastAsia"/>
          <w:sz w:val="48"/>
          <w:szCs w:val="48"/>
          <w:lang w:eastAsia="pl-PL"/>
        </w:rPr>
      </w:pPr>
    </w:p>
    <w:p w:rsidR="004C1CCB" w:rsidRDefault="004C1CCB" w:rsidP="004C1CCB">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4C1CCB" w:rsidRDefault="004C1CCB" w:rsidP="004C1CCB">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4C1CCB" w:rsidRDefault="004C1CCB" w:rsidP="004C1CCB">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4C1CCB" w:rsidRDefault="004C1CCB" w:rsidP="004C1CC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BA16D1" w:rsidRDefault="00BA16D1" w:rsidP="004C1CC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4C1CCB" w:rsidRDefault="004C1CCB" w:rsidP="004C1CCB">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Poniedziałek, 7 marca 2016 roku</w:t>
      </w:r>
    </w:p>
    <w:p w:rsidR="004C1CCB" w:rsidRDefault="004C1CCB" w:rsidP="004C1CC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7 marca 2016 roku = 3,9277</w:t>
      </w:r>
    </w:p>
    <w:p w:rsidR="004C1CCB" w:rsidRDefault="004C1CCB" w:rsidP="004C1CCB">
      <w:pPr>
        <w:spacing w:after="0" w:line="240" w:lineRule="auto"/>
        <w:jc w:val="both"/>
        <w:rPr>
          <w:rFonts w:eastAsiaTheme="minorEastAsia"/>
          <w:lang w:eastAsia="pl-PL"/>
        </w:rPr>
      </w:pPr>
    </w:p>
    <w:p w:rsidR="004C1CCB" w:rsidRDefault="004C1CCB" w:rsidP="004C1CCB">
      <w:pPr>
        <w:spacing w:after="0" w:line="240" w:lineRule="auto"/>
        <w:jc w:val="both"/>
        <w:rPr>
          <w:rFonts w:eastAsiaTheme="minorEastAsia"/>
          <w:lang w:eastAsia="pl-PL"/>
        </w:rPr>
      </w:pPr>
      <w:r>
        <w:rPr>
          <w:rFonts w:eastAsiaTheme="minorEastAsia"/>
          <w:noProof/>
          <w:lang w:eastAsia="pl-PL"/>
        </w:rPr>
        <w:drawing>
          <wp:inline distT="0" distB="0" distL="0" distR="0" wp14:anchorId="7BC98428" wp14:editId="7CDFEC49">
            <wp:extent cx="4829175" cy="2905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4C1CCB" w:rsidRDefault="004C1CCB" w:rsidP="004C1CCB">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4C1CCB" w:rsidRDefault="004C1CCB" w:rsidP="004C1CCB">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7 marca 2016 roku = 4,3212</w:t>
      </w:r>
    </w:p>
    <w:p w:rsidR="004C1CCB" w:rsidRDefault="004C1CCB" w:rsidP="004C1CCB">
      <w:pPr>
        <w:spacing w:after="0" w:line="240" w:lineRule="auto"/>
        <w:jc w:val="both"/>
        <w:rPr>
          <w:rFonts w:eastAsiaTheme="minorEastAsia"/>
          <w:lang w:eastAsia="pl-PL"/>
        </w:rPr>
      </w:pPr>
    </w:p>
    <w:p w:rsidR="004C1CCB" w:rsidRDefault="004C1CCB" w:rsidP="004C1CCB">
      <w:pPr>
        <w:spacing w:after="0" w:line="240" w:lineRule="auto"/>
        <w:jc w:val="both"/>
        <w:rPr>
          <w:rFonts w:eastAsiaTheme="minorEastAsia"/>
          <w:lang w:eastAsia="pl-PL"/>
        </w:rPr>
      </w:pPr>
      <w:r>
        <w:rPr>
          <w:rFonts w:eastAsiaTheme="minorEastAsia"/>
          <w:noProof/>
          <w:lang w:eastAsia="pl-PL"/>
        </w:rPr>
        <w:drawing>
          <wp:inline distT="0" distB="0" distL="0" distR="0" wp14:anchorId="5E4C6ABE" wp14:editId="34A7E978">
            <wp:extent cx="4829175" cy="29051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341B7F" w:rsidRDefault="004C1CCB" w:rsidP="004C1CCB">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heme="minorEastAsia"/>
          <w:color w:val="000000" w:themeColor="text1"/>
          <w:lang w:eastAsia="pl-PL"/>
        </w:rPr>
        <w:t xml:space="preserve">4,3607 zł. Dojście do oporu (szczyt z 26 grudnia 2014 roku) może osłabiło kursu euro (w złotych). W piątek 15 stycznia popyt zaatakował. Przebite zostało roczne maksimum. Można oczekiwać wzrostu w kierunku </w:t>
      </w:r>
      <w:r>
        <w:rPr>
          <w:rFonts w:eastAsiaTheme="minorEastAsia"/>
          <w:b/>
          <w:color w:val="FF0000"/>
          <w:lang w:eastAsia="pl-PL"/>
        </w:rPr>
        <w:t>4,5644</w:t>
      </w:r>
      <w:r>
        <w:rPr>
          <w:rFonts w:eastAsiaTheme="minorEastAsia"/>
          <w:color w:val="FF0000"/>
          <w:lang w:eastAsia="pl-PL"/>
        </w:rPr>
        <w:t xml:space="preserve"> </w:t>
      </w:r>
      <w:r>
        <w:rPr>
          <w:rFonts w:eastAsiaTheme="minorEastAsia"/>
          <w:color w:val="000000" w:themeColor="text1"/>
          <w:lang w:eastAsia="pl-PL"/>
        </w:rPr>
        <w:t xml:space="preserve">(szczyt z 13 grudnia 2011 roku). </w:t>
      </w:r>
    </w:p>
    <w:p w:rsidR="00BA16D1" w:rsidRDefault="00BA16D1" w:rsidP="00BA16D1">
      <w:pPr>
        <w:pStyle w:val="Bezodstpw"/>
        <w:pBdr>
          <w:top w:val="single" w:sz="4" w:space="1" w:color="auto"/>
          <w:left w:val="single" w:sz="4" w:space="4" w:color="auto"/>
          <w:bottom w:val="single" w:sz="4" w:space="1" w:color="auto"/>
          <w:right w:val="single" w:sz="4" w:space="4" w:color="auto"/>
        </w:pBdr>
        <w:jc w:val="center"/>
        <w:rPr>
          <w:sz w:val="26"/>
          <w:szCs w:val="26"/>
        </w:rPr>
      </w:pPr>
      <w:r w:rsidRPr="002858C9">
        <w:rPr>
          <w:sz w:val="26"/>
          <w:szCs w:val="26"/>
        </w:rPr>
        <w:lastRenderedPageBreak/>
        <w:t xml:space="preserve">Uaktywnienie popytu na polskie akcje. Co będzie </w:t>
      </w:r>
      <w:proofErr w:type="gramStart"/>
      <w:r w:rsidRPr="002858C9">
        <w:rPr>
          <w:sz w:val="26"/>
          <w:szCs w:val="26"/>
        </w:rPr>
        <w:t>dalej ?</w:t>
      </w:r>
      <w:proofErr w:type="gramEnd"/>
    </w:p>
    <w:p w:rsidR="00BA16D1" w:rsidRDefault="00BA16D1" w:rsidP="00BA16D1">
      <w:pPr>
        <w:pStyle w:val="Bezodstpw"/>
        <w:jc w:val="center"/>
        <w:rPr>
          <w:sz w:val="26"/>
          <w:szCs w:val="26"/>
        </w:rPr>
      </w:pPr>
    </w:p>
    <w:p w:rsidR="00BA16D1" w:rsidRDefault="00BA16D1" w:rsidP="00BA16D1">
      <w:pPr>
        <w:pStyle w:val="Bezodstpw"/>
        <w:jc w:val="both"/>
        <w:rPr>
          <w:sz w:val="26"/>
          <w:szCs w:val="26"/>
        </w:rPr>
      </w:pPr>
      <w:r w:rsidRPr="002858C9">
        <w:rPr>
          <w:sz w:val="26"/>
          <w:szCs w:val="26"/>
        </w:rPr>
        <w:t xml:space="preserve">W minionym tygodniu doszło do wzrostów czołowych indeksów opisujących sytuację na polskim rynku akcji. WIG20 zyskał na wartości 1,6 %. </w:t>
      </w:r>
    </w:p>
    <w:p w:rsidR="00BA16D1" w:rsidRDefault="00BA16D1" w:rsidP="00BA16D1">
      <w:pPr>
        <w:pStyle w:val="Bezodstpw"/>
        <w:jc w:val="both"/>
        <w:rPr>
          <w:sz w:val="26"/>
          <w:szCs w:val="26"/>
        </w:rPr>
      </w:pPr>
    </w:p>
    <w:p w:rsidR="00BA16D1" w:rsidRPr="002858C9" w:rsidRDefault="00BA16D1" w:rsidP="00BA16D1">
      <w:pPr>
        <w:pStyle w:val="Bezodstpw"/>
        <w:jc w:val="both"/>
        <w:rPr>
          <w:sz w:val="26"/>
          <w:szCs w:val="26"/>
        </w:rPr>
      </w:pPr>
      <w:r w:rsidRPr="002858C9">
        <w:rPr>
          <w:sz w:val="26"/>
          <w:szCs w:val="26"/>
        </w:rPr>
        <w:t xml:space="preserve">Wzrosty były spowodowane w dużym stopniu poprawą sytuacji na dojrzałych rynkach akcji oraz wzrostem cen surowców, zwłaszcza ropy naftowej oraz miedzi. </w:t>
      </w:r>
      <w:r>
        <w:rPr>
          <w:sz w:val="26"/>
          <w:szCs w:val="26"/>
        </w:rPr>
        <w:t xml:space="preserve">Wzrosty cen surowców są szczególnie pozytywnie przyjmowane na wschodzących rynkach akcji </w:t>
      </w:r>
    </w:p>
    <w:p w:rsidR="00BA16D1" w:rsidRPr="002858C9" w:rsidRDefault="00BA16D1" w:rsidP="00BA16D1">
      <w:pPr>
        <w:pStyle w:val="Bezodstpw"/>
        <w:jc w:val="both"/>
        <w:rPr>
          <w:sz w:val="26"/>
          <w:szCs w:val="26"/>
        </w:rPr>
      </w:pPr>
    </w:p>
    <w:p w:rsidR="00BA16D1" w:rsidRPr="000772FE" w:rsidRDefault="00BA16D1" w:rsidP="00BA16D1">
      <w:pPr>
        <w:pStyle w:val="Bezodstpw"/>
        <w:jc w:val="both"/>
        <w:rPr>
          <w:b/>
          <w:sz w:val="26"/>
          <w:szCs w:val="26"/>
        </w:rPr>
      </w:pPr>
      <w:r w:rsidRPr="002858C9">
        <w:rPr>
          <w:sz w:val="26"/>
          <w:szCs w:val="26"/>
        </w:rPr>
        <w:t xml:space="preserve">Przede wszystkim warto zauważyć, że </w:t>
      </w:r>
      <w:r w:rsidRPr="00BA16D1">
        <w:rPr>
          <w:b/>
          <w:sz w:val="26"/>
          <w:szCs w:val="26"/>
        </w:rPr>
        <w:t>indeks ogólnoświatowy wybił się z małej formacji podwójnego dna</w:t>
      </w:r>
      <w:r w:rsidRPr="002858C9">
        <w:rPr>
          <w:sz w:val="26"/>
          <w:szCs w:val="26"/>
        </w:rPr>
        <w:t xml:space="preserve">. Formacja ta jeszcze się nie wypełniła, co stwarza szansę na dalsze wzrosty. </w:t>
      </w:r>
      <w:r>
        <w:rPr>
          <w:sz w:val="26"/>
          <w:szCs w:val="26"/>
        </w:rPr>
        <w:t xml:space="preserve">Gdyby formacja ta miała się wypełnić powinno dojść do wzrostów indeksu ogólnoświatowego </w:t>
      </w:r>
      <w:r w:rsidRPr="000772FE">
        <w:rPr>
          <w:b/>
          <w:sz w:val="26"/>
          <w:szCs w:val="26"/>
        </w:rPr>
        <w:t xml:space="preserve">o jeszcze 2,3 %. </w:t>
      </w:r>
    </w:p>
    <w:p w:rsidR="00BA16D1" w:rsidRPr="002858C9" w:rsidRDefault="00BA16D1" w:rsidP="00BA16D1">
      <w:pPr>
        <w:pStyle w:val="Bezodstpw"/>
        <w:jc w:val="both"/>
        <w:rPr>
          <w:sz w:val="26"/>
          <w:szCs w:val="26"/>
        </w:rPr>
      </w:pPr>
    </w:p>
    <w:p w:rsidR="00BA16D1" w:rsidRPr="002858C9" w:rsidRDefault="00BA16D1" w:rsidP="00BA16D1">
      <w:pPr>
        <w:pStyle w:val="Bezodstpw"/>
        <w:jc w:val="both"/>
        <w:rPr>
          <w:b/>
          <w:sz w:val="26"/>
          <w:szCs w:val="26"/>
          <w:u w:val="single"/>
        </w:rPr>
      </w:pPr>
      <w:r w:rsidRPr="002858C9">
        <w:rPr>
          <w:b/>
          <w:sz w:val="26"/>
          <w:szCs w:val="26"/>
          <w:u w:val="single"/>
        </w:rPr>
        <w:t>INDEKS OGÓLNOŚWIATOWY</w:t>
      </w:r>
    </w:p>
    <w:p w:rsidR="00BA16D1" w:rsidRPr="002858C9" w:rsidRDefault="00BA16D1" w:rsidP="00BA16D1">
      <w:pPr>
        <w:pStyle w:val="Bezodstpw"/>
        <w:jc w:val="both"/>
        <w:rPr>
          <w:sz w:val="26"/>
          <w:szCs w:val="26"/>
        </w:rPr>
      </w:pPr>
    </w:p>
    <w:p w:rsidR="00BA16D1" w:rsidRPr="002858C9" w:rsidRDefault="00BA16D1" w:rsidP="00BA16D1">
      <w:pPr>
        <w:pStyle w:val="Bezodstpw"/>
        <w:jc w:val="both"/>
        <w:rPr>
          <w:sz w:val="26"/>
          <w:szCs w:val="26"/>
        </w:rPr>
      </w:pPr>
      <w:r>
        <w:rPr>
          <w:noProof/>
          <w:sz w:val="26"/>
          <w:szCs w:val="26"/>
          <w:lang w:eastAsia="pl-PL"/>
        </w:rPr>
        <w:drawing>
          <wp:inline distT="0" distB="0" distL="0" distR="0" wp14:anchorId="242D1444" wp14:editId="706F3DD5">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BA16D1" w:rsidRDefault="00BA16D1" w:rsidP="00BA16D1">
      <w:pPr>
        <w:pStyle w:val="Bezodstpw"/>
        <w:jc w:val="both"/>
        <w:rPr>
          <w:b/>
          <w:sz w:val="26"/>
          <w:szCs w:val="26"/>
          <w:u w:val="single"/>
        </w:rPr>
      </w:pPr>
    </w:p>
    <w:p w:rsidR="00BA16D1" w:rsidRDefault="00BA16D1" w:rsidP="00BA16D1">
      <w:pPr>
        <w:pStyle w:val="Bezodstpw"/>
        <w:jc w:val="both"/>
        <w:rPr>
          <w:sz w:val="26"/>
          <w:szCs w:val="26"/>
        </w:rPr>
      </w:pPr>
      <w:r>
        <w:rPr>
          <w:sz w:val="26"/>
          <w:szCs w:val="26"/>
        </w:rPr>
        <w:t>Jeżeli do tych wzrostów dojdzie indeks ogólnoświatowy zbliży się do opadającej linii trendu spadkowego poprowadzonej przez kilka szczytów, z których pierwszy został ustanowiony w dniu 21 maja 2015 roku.</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Potencjał zwyżek </w:t>
      </w:r>
      <w:proofErr w:type="gramStart"/>
      <w:r>
        <w:rPr>
          <w:sz w:val="26"/>
          <w:szCs w:val="26"/>
        </w:rPr>
        <w:t>jest więc</w:t>
      </w:r>
      <w:proofErr w:type="gramEnd"/>
      <w:r>
        <w:rPr>
          <w:sz w:val="26"/>
          <w:szCs w:val="26"/>
        </w:rPr>
        <w:t xml:space="preserve"> nieznaczny. Tak się przynajmniej na razie wydaje. Czy możliwe będzie przebicie spadkowej linii trendu zaznaczonej kolorem czerwonym na </w:t>
      </w:r>
      <w:proofErr w:type="gramStart"/>
      <w:r>
        <w:rPr>
          <w:sz w:val="26"/>
          <w:szCs w:val="26"/>
        </w:rPr>
        <w:t xml:space="preserve">wykresie ? </w:t>
      </w:r>
      <w:proofErr w:type="gramEnd"/>
      <w:r>
        <w:rPr>
          <w:sz w:val="26"/>
          <w:szCs w:val="26"/>
        </w:rPr>
        <w:t xml:space="preserve">Jest to możliwe. </w:t>
      </w:r>
    </w:p>
    <w:p w:rsidR="00BA16D1" w:rsidRDefault="00BA16D1" w:rsidP="00BA16D1">
      <w:pPr>
        <w:pStyle w:val="Bezodstpw"/>
        <w:jc w:val="both"/>
        <w:rPr>
          <w:sz w:val="26"/>
          <w:szCs w:val="26"/>
        </w:rPr>
      </w:pPr>
    </w:p>
    <w:p w:rsidR="00BA16D1" w:rsidRPr="00BA16D1" w:rsidRDefault="00BA16D1" w:rsidP="00BA16D1">
      <w:pPr>
        <w:pStyle w:val="Bezodstpw"/>
        <w:jc w:val="both"/>
        <w:rPr>
          <w:b/>
          <w:sz w:val="26"/>
          <w:szCs w:val="26"/>
        </w:rPr>
      </w:pPr>
      <w:r>
        <w:rPr>
          <w:sz w:val="26"/>
          <w:szCs w:val="26"/>
        </w:rPr>
        <w:t xml:space="preserve">O tym, czy do tego dojdzie może zdecydować na przykład przebieg </w:t>
      </w:r>
      <w:r w:rsidRPr="00BA16D1">
        <w:rPr>
          <w:b/>
          <w:sz w:val="26"/>
          <w:szCs w:val="26"/>
        </w:rPr>
        <w:t xml:space="preserve">posiedzenia Europejskiego Banku Centralnego, które będzie miało miejsce w dniu 10 marca. </w:t>
      </w:r>
    </w:p>
    <w:p w:rsidR="00BA16D1" w:rsidRPr="002858C9" w:rsidRDefault="00BA16D1" w:rsidP="00BA16D1">
      <w:pPr>
        <w:pStyle w:val="Bezodstpw"/>
        <w:jc w:val="both"/>
        <w:rPr>
          <w:b/>
          <w:sz w:val="26"/>
          <w:szCs w:val="26"/>
          <w:u w:val="single"/>
        </w:rPr>
      </w:pPr>
      <w:r w:rsidRPr="002858C9">
        <w:rPr>
          <w:b/>
          <w:sz w:val="26"/>
          <w:szCs w:val="26"/>
          <w:u w:val="single"/>
        </w:rPr>
        <w:lastRenderedPageBreak/>
        <w:t xml:space="preserve">ROPA NAFTOWA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sidRPr="002858C9">
        <w:rPr>
          <w:sz w:val="26"/>
          <w:szCs w:val="26"/>
        </w:rPr>
        <w:t xml:space="preserve">Warto też zauważyć, że </w:t>
      </w:r>
      <w:r w:rsidRPr="00BA16D1">
        <w:rPr>
          <w:b/>
          <w:sz w:val="26"/>
          <w:szCs w:val="26"/>
        </w:rPr>
        <w:t>do wybicia z małej formacji podwójnego dna doszło na wykresie cen ropy naftowej</w:t>
      </w:r>
      <w:r w:rsidRPr="002858C9">
        <w:rPr>
          <w:sz w:val="26"/>
          <w:szCs w:val="26"/>
        </w:rPr>
        <w:t xml:space="preserve">, co także stwarza szasnę na dalsze wzrosty.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Gdyby formacja ta miała się wypełnić powinno dojść do wzrostów ceny ropy naftowej o jeszcze 10,8 %. </w:t>
      </w:r>
    </w:p>
    <w:p w:rsidR="00BA16D1" w:rsidRDefault="00BA16D1" w:rsidP="00BA16D1">
      <w:pPr>
        <w:pStyle w:val="Bezodstpw"/>
        <w:jc w:val="both"/>
        <w:rPr>
          <w:sz w:val="26"/>
          <w:szCs w:val="26"/>
        </w:rPr>
      </w:pPr>
    </w:p>
    <w:p w:rsidR="00BA16D1" w:rsidRPr="002858C9" w:rsidRDefault="00BA16D1" w:rsidP="00BA16D1">
      <w:pPr>
        <w:pStyle w:val="Bezodstpw"/>
        <w:jc w:val="both"/>
        <w:rPr>
          <w:sz w:val="26"/>
          <w:szCs w:val="26"/>
        </w:rPr>
      </w:pPr>
      <w:r>
        <w:rPr>
          <w:noProof/>
          <w:sz w:val="26"/>
          <w:szCs w:val="26"/>
          <w:lang w:eastAsia="pl-PL"/>
        </w:rPr>
        <w:drawing>
          <wp:inline distT="0" distB="0" distL="0" distR="0" wp14:anchorId="76A3F901" wp14:editId="0B949979">
            <wp:extent cx="5429250" cy="32575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Z drugiej strony warto zauważyć, że pewnym oporem jest spadkowa linia trendu poprowadzona przez kilka szczytów, z których pierwszym szczytem jest szczyt z czerwca 2015 roku. </w:t>
      </w:r>
    </w:p>
    <w:p w:rsidR="00BA16D1" w:rsidRDefault="00BA16D1" w:rsidP="00BA16D1">
      <w:pPr>
        <w:pStyle w:val="Bezodstpw"/>
        <w:jc w:val="both"/>
        <w:rPr>
          <w:sz w:val="26"/>
          <w:szCs w:val="26"/>
        </w:rPr>
      </w:pPr>
    </w:p>
    <w:p w:rsidR="00BA16D1" w:rsidRPr="00BA16D1" w:rsidRDefault="00BA16D1" w:rsidP="00BA16D1">
      <w:pPr>
        <w:pStyle w:val="Bezodstpw"/>
        <w:jc w:val="both"/>
        <w:rPr>
          <w:b/>
          <w:sz w:val="26"/>
          <w:szCs w:val="26"/>
        </w:rPr>
      </w:pPr>
      <w:r w:rsidRPr="00BA16D1">
        <w:rPr>
          <w:b/>
          <w:sz w:val="26"/>
          <w:szCs w:val="26"/>
        </w:rPr>
        <w:t xml:space="preserve">Do zwyżek indeksu WIG20 przyczyniły się między innymi zwyżki akcji banków.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Warto zwrócić uwagę na przykład na wykresy kursów akcji tych banków, które na przestrzeni ostatnich 12 miesięcy znalazły się w rubryce </w:t>
      </w:r>
      <w:proofErr w:type="gramStart"/>
      <w:r>
        <w:rPr>
          <w:sz w:val="26"/>
          <w:szCs w:val="26"/>
        </w:rPr>
        <w:t>,,</w:t>
      </w:r>
      <w:proofErr w:type="gramEnd"/>
      <w:r>
        <w:rPr>
          <w:sz w:val="26"/>
          <w:szCs w:val="26"/>
        </w:rPr>
        <w:t xml:space="preserve">Wykres do przemyślenia”: BZ WBK, </w:t>
      </w:r>
      <w:proofErr w:type="spellStart"/>
      <w:r>
        <w:rPr>
          <w:sz w:val="26"/>
          <w:szCs w:val="26"/>
        </w:rPr>
        <w:t>PeKaO</w:t>
      </w:r>
      <w:proofErr w:type="spellEnd"/>
      <w:r>
        <w:rPr>
          <w:sz w:val="26"/>
          <w:szCs w:val="26"/>
        </w:rPr>
        <w:t xml:space="preserve"> oraz mBanku.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2 pierwsze banki znalazły się w tej rubryce w 2015 roku a ten trzeci w tym roku.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W przypadku wykresów cen akcji wszystkich tych 3 banków doszło do wybicia z formacji podwójnego dna a formacja ta jeszcze się nie wypełniła, co stwarza szansę na dalsze wzrosty kursów akcji tych banków.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Oczywiście nie ma pewności, że wzrosty takie nastąpią, ale szansa jest. Popatrzmy na wykresy kursów akcji tych banków. </w:t>
      </w:r>
    </w:p>
    <w:p w:rsidR="00BA16D1" w:rsidRPr="009023D2" w:rsidRDefault="00BA16D1" w:rsidP="00BA16D1">
      <w:pPr>
        <w:pStyle w:val="Bezodstpw"/>
        <w:jc w:val="both"/>
        <w:rPr>
          <w:b/>
          <w:sz w:val="26"/>
          <w:szCs w:val="26"/>
        </w:rPr>
      </w:pPr>
      <w:proofErr w:type="gramStart"/>
      <w:r>
        <w:rPr>
          <w:sz w:val="26"/>
          <w:szCs w:val="26"/>
        </w:rPr>
        <w:lastRenderedPageBreak/>
        <w:t>wykresie</w:t>
      </w:r>
      <w:proofErr w:type="gramEnd"/>
      <w:r>
        <w:rPr>
          <w:sz w:val="26"/>
          <w:szCs w:val="26"/>
        </w:rPr>
        <w:t xml:space="preserve"> kursu akcji BZ WBK doszło do wybicia z formacji podwójnego dna. Jeżeli formacja ta miałaby się wypełnić powinno dojść do wzrostu kursu akcji tego banku do 324 złotych i 36 groszy, czyli </w:t>
      </w:r>
      <w:r w:rsidRPr="009023D2">
        <w:rPr>
          <w:b/>
          <w:sz w:val="26"/>
          <w:szCs w:val="26"/>
        </w:rPr>
        <w:t xml:space="preserve">o 11,8 %. </w:t>
      </w:r>
    </w:p>
    <w:p w:rsidR="00BA16D1" w:rsidRDefault="00BA16D1" w:rsidP="00BA16D1">
      <w:pPr>
        <w:pStyle w:val="Bezodstpw"/>
        <w:jc w:val="both"/>
        <w:rPr>
          <w:sz w:val="26"/>
          <w:szCs w:val="26"/>
        </w:rPr>
      </w:pPr>
    </w:p>
    <w:p w:rsidR="00BA16D1" w:rsidRDefault="00BA16D1" w:rsidP="00BA16D1">
      <w:pPr>
        <w:pStyle w:val="Bezodstpw"/>
        <w:jc w:val="both"/>
        <w:rPr>
          <w:b/>
          <w:sz w:val="26"/>
          <w:szCs w:val="26"/>
          <w:u w:val="single"/>
        </w:rPr>
      </w:pPr>
      <w:r w:rsidRPr="00130FDC">
        <w:rPr>
          <w:b/>
          <w:sz w:val="26"/>
          <w:szCs w:val="26"/>
          <w:u w:val="single"/>
        </w:rPr>
        <w:t>BZ</w:t>
      </w:r>
      <w:r>
        <w:rPr>
          <w:b/>
          <w:sz w:val="26"/>
          <w:szCs w:val="26"/>
          <w:u w:val="single"/>
        </w:rPr>
        <w:t xml:space="preserve"> </w:t>
      </w:r>
      <w:r w:rsidRPr="00130FDC">
        <w:rPr>
          <w:b/>
          <w:sz w:val="26"/>
          <w:szCs w:val="26"/>
          <w:u w:val="single"/>
        </w:rPr>
        <w:t xml:space="preserve">WBK </w:t>
      </w:r>
    </w:p>
    <w:p w:rsidR="00BA16D1" w:rsidRDefault="00BA16D1" w:rsidP="00BA16D1">
      <w:pPr>
        <w:pStyle w:val="Bezodstpw"/>
        <w:jc w:val="both"/>
        <w:rPr>
          <w:b/>
          <w:sz w:val="26"/>
          <w:szCs w:val="26"/>
          <w:u w:val="single"/>
        </w:rPr>
      </w:pPr>
      <w:r>
        <w:rPr>
          <w:b/>
          <w:noProof/>
          <w:sz w:val="26"/>
          <w:szCs w:val="26"/>
          <w:u w:val="single"/>
          <w:lang w:eastAsia="pl-PL"/>
        </w:rPr>
        <w:drawing>
          <wp:inline distT="0" distB="0" distL="0" distR="0" wp14:anchorId="5ED05F0B" wp14:editId="7ADB09A6">
            <wp:extent cx="5429250" cy="32575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BA16D1" w:rsidRDefault="00BA16D1" w:rsidP="00BA16D1">
      <w:pPr>
        <w:pStyle w:val="Bezodstpw"/>
        <w:jc w:val="both"/>
        <w:rPr>
          <w:sz w:val="26"/>
          <w:szCs w:val="26"/>
        </w:rPr>
      </w:pPr>
    </w:p>
    <w:p w:rsidR="00BA16D1" w:rsidRPr="00524104" w:rsidRDefault="00BA16D1" w:rsidP="00BA16D1">
      <w:pPr>
        <w:pStyle w:val="Bezodstpw"/>
        <w:jc w:val="both"/>
        <w:rPr>
          <w:b/>
          <w:sz w:val="26"/>
          <w:szCs w:val="26"/>
        </w:rPr>
      </w:pPr>
      <w:r w:rsidRPr="00130FDC">
        <w:rPr>
          <w:sz w:val="26"/>
          <w:szCs w:val="26"/>
        </w:rPr>
        <w:t xml:space="preserve">Na </w:t>
      </w:r>
      <w:r>
        <w:rPr>
          <w:sz w:val="26"/>
          <w:szCs w:val="26"/>
        </w:rPr>
        <w:t xml:space="preserve">wykresie kursu akcji </w:t>
      </w:r>
      <w:proofErr w:type="spellStart"/>
      <w:r>
        <w:rPr>
          <w:sz w:val="26"/>
          <w:szCs w:val="26"/>
        </w:rPr>
        <w:t>PeKaO</w:t>
      </w:r>
      <w:proofErr w:type="spellEnd"/>
      <w:r>
        <w:rPr>
          <w:sz w:val="26"/>
          <w:szCs w:val="26"/>
        </w:rPr>
        <w:t xml:space="preserve"> doszło do wybicia z formacji podwójnego dna. Jeżeli formacja ta miałaby się wypełnić powinno dojść do wzrostu kursu akcji tego banku do 167 złotych i 44 groszy, czyli </w:t>
      </w:r>
      <w:r w:rsidRPr="00524104">
        <w:rPr>
          <w:b/>
          <w:sz w:val="26"/>
          <w:szCs w:val="26"/>
        </w:rPr>
        <w:t xml:space="preserve">o 7,6 %. </w:t>
      </w:r>
    </w:p>
    <w:p w:rsidR="00BA16D1" w:rsidRDefault="00BA16D1" w:rsidP="00BA16D1">
      <w:pPr>
        <w:pStyle w:val="Bezodstpw"/>
        <w:jc w:val="both"/>
        <w:rPr>
          <w:sz w:val="26"/>
          <w:szCs w:val="26"/>
        </w:rPr>
      </w:pPr>
    </w:p>
    <w:p w:rsidR="00BA16D1" w:rsidRDefault="00BA16D1" w:rsidP="00BA16D1">
      <w:pPr>
        <w:pStyle w:val="Bezodstpw"/>
        <w:jc w:val="both"/>
        <w:rPr>
          <w:b/>
          <w:sz w:val="26"/>
          <w:szCs w:val="26"/>
          <w:u w:val="single"/>
        </w:rPr>
      </w:pPr>
      <w:r>
        <w:rPr>
          <w:b/>
          <w:sz w:val="26"/>
          <w:szCs w:val="26"/>
          <w:u w:val="single"/>
        </w:rPr>
        <w:t>PEKAO</w:t>
      </w:r>
    </w:p>
    <w:p w:rsidR="00BA16D1" w:rsidRDefault="00BA16D1" w:rsidP="00BA16D1">
      <w:pPr>
        <w:pStyle w:val="Bezodstpw"/>
        <w:jc w:val="both"/>
        <w:rPr>
          <w:b/>
          <w:sz w:val="26"/>
          <w:szCs w:val="26"/>
          <w:u w:val="single"/>
        </w:rPr>
      </w:pPr>
      <w:r>
        <w:rPr>
          <w:noProof/>
          <w:sz w:val="26"/>
          <w:szCs w:val="26"/>
          <w:lang w:eastAsia="pl-PL"/>
        </w:rPr>
        <w:drawing>
          <wp:inline distT="0" distB="0" distL="0" distR="0" wp14:anchorId="400E31A5" wp14:editId="7B936905">
            <wp:extent cx="5429250" cy="32575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BA16D1" w:rsidRPr="00524104" w:rsidRDefault="00BA16D1" w:rsidP="00BA16D1">
      <w:pPr>
        <w:pStyle w:val="Bezodstpw"/>
        <w:jc w:val="both"/>
        <w:rPr>
          <w:b/>
          <w:sz w:val="26"/>
          <w:szCs w:val="26"/>
        </w:rPr>
      </w:pPr>
      <w:r w:rsidRPr="00130FDC">
        <w:rPr>
          <w:sz w:val="26"/>
          <w:szCs w:val="26"/>
        </w:rPr>
        <w:lastRenderedPageBreak/>
        <w:t xml:space="preserve">Na </w:t>
      </w:r>
      <w:r>
        <w:rPr>
          <w:sz w:val="26"/>
          <w:szCs w:val="26"/>
        </w:rPr>
        <w:t xml:space="preserve">wykresie kursu akcji mBanku doszło do wybicia z formacji podwójnego dna. Jeżeli formacja ta miałaby się wypełnić powinno dojść do wzrostu kursu akcji tego banku do 367 złotych i 35 groszy, czyli </w:t>
      </w:r>
      <w:r w:rsidRPr="00524104">
        <w:rPr>
          <w:b/>
          <w:sz w:val="26"/>
          <w:szCs w:val="26"/>
        </w:rPr>
        <w:t xml:space="preserve">o </w:t>
      </w:r>
      <w:r>
        <w:rPr>
          <w:b/>
          <w:sz w:val="26"/>
          <w:szCs w:val="26"/>
        </w:rPr>
        <w:t>9</w:t>
      </w:r>
      <w:r w:rsidRPr="00524104">
        <w:rPr>
          <w:b/>
          <w:sz w:val="26"/>
          <w:szCs w:val="26"/>
        </w:rPr>
        <w:t>,</w:t>
      </w:r>
      <w:r>
        <w:rPr>
          <w:b/>
          <w:sz w:val="26"/>
          <w:szCs w:val="26"/>
        </w:rPr>
        <w:t>0</w:t>
      </w:r>
      <w:r w:rsidRPr="00524104">
        <w:rPr>
          <w:b/>
          <w:sz w:val="26"/>
          <w:szCs w:val="26"/>
        </w:rPr>
        <w:t xml:space="preserve"> %. </w:t>
      </w:r>
    </w:p>
    <w:p w:rsidR="00BA16D1" w:rsidRDefault="00BA16D1" w:rsidP="00BA16D1">
      <w:pPr>
        <w:pStyle w:val="Bezodstpw"/>
        <w:jc w:val="both"/>
        <w:rPr>
          <w:sz w:val="26"/>
          <w:szCs w:val="26"/>
        </w:rPr>
      </w:pPr>
    </w:p>
    <w:p w:rsidR="00BA16D1" w:rsidRDefault="00BA16D1" w:rsidP="00BA16D1">
      <w:pPr>
        <w:pStyle w:val="Bezodstpw"/>
        <w:jc w:val="both"/>
        <w:rPr>
          <w:b/>
          <w:sz w:val="26"/>
          <w:szCs w:val="26"/>
          <w:u w:val="single"/>
        </w:rPr>
      </w:pPr>
      <w:r>
        <w:rPr>
          <w:b/>
          <w:sz w:val="26"/>
          <w:szCs w:val="26"/>
          <w:u w:val="single"/>
        </w:rPr>
        <w:t>MBANK</w:t>
      </w:r>
    </w:p>
    <w:p w:rsidR="00BA16D1" w:rsidRDefault="00BA16D1" w:rsidP="00BA16D1">
      <w:pPr>
        <w:pStyle w:val="Bezodstpw"/>
        <w:jc w:val="both"/>
        <w:rPr>
          <w:b/>
          <w:sz w:val="26"/>
          <w:szCs w:val="26"/>
          <w:u w:val="single"/>
        </w:rPr>
      </w:pPr>
      <w:r>
        <w:rPr>
          <w:b/>
          <w:noProof/>
          <w:sz w:val="26"/>
          <w:szCs w:val="26"/>
          <w:u w:val="single"/>
          <w:lang w:eastAsia="pl-PL"/>
        </w:rPr>
        <w:drawing>
          <wp:inline distT="0" distB="0" distL="0" distR="0" wp14:anchorId="6130DC1A" wp14:editId="2A78B1E1">
            <wp:extent cx="5429250" cy="32575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BA16D1" w:rsidRDefault="00BA16D1" w:rsidP="00BA16D1">
      <w:pPr>
        <w:pStyle w:val="Bezodstpw"/>
        <w:jc w:val="both"/>
        <w:rPr>
          <w:b/>
          <w:sz w:val="26"/>
          <w:szCs w:val="26"/>
          <w:u w:val="single"/>
        </w:rPr>
      </w:pPr>
    </w:p>
    <w:p w:rsidR="00BA16D1" w:rsidRPr="007B4C21" w:rsidRDefault="00BA16D1" w:rsidP="00BA16D1">
      <w:pPr>
        <w:pStyle w:val="Bezodstpw"/>
        <w:pBdr>
          <w:top w:val="single" w:sz="4" w:space="1" w:color="auto"/>
          <w:left w:val="single" w:sz="4" w:space="4" w:color="auto"/>
          <w:bottom w:val="single" w:sz="4" w:space="1" w:color="auto"/>
          <w:right w:val="single" w:sz="4" w:space="4" w:color="auto"/>
        </w:pBdr>
        <w:jc w:val="center"/>
        <w:rPr>
          <w:b/>
          <w:sz w:val="26"/>
          <w:szCs w:val="26"/>
        </w:rPr>
      </w:pPr>
      <w:proofErr w:type="gramStart"/>
      <w:r w:rsidRPr="007B4C21">
        <w:rPr>
          <w:b/>
          <w:sz w:val="26"/>
          <w:szCs w:val="26"/>
        </w:rPr>
        <w:t>,,</w:t>
      </w:r>
      <w:proofErr w:type="gramEnd"/>
      <w:r w:rsidRPr="007B4C21">
        <w:rPr>
          <w:b/>
          <w:sz w:val="26"/>
          <w:szCs w:val="26"/>
        </w:rPr>
        <w:t>Portfel fundamentalny”</w:t>
      </w:r>
    </w:p>
    <w:p w:rsidR="00BA16D1" w:rsidRDefault="00BA16D1" w:rsidP="00BA16D1">
      <w:pPr>
        <w:pStyle w:val="Bezodstpw"/>
        <w:jc w:val="center"/>
        <w:rPr>
          <w:sz w:val="26"/>
          <w:szCs w:val="26"/>
        </w:rPr>
      </w:pPr>
    </w:p>
    <w:p w:rsidR="00BA16D1" w:rsidRDefault="00BA16D1" w:rsidP="00BA16D1">
      <w:pPr>
        <w:pStyle w:val="Bezodstpw"/>
        <w:jc w:val="both"/>
        <w:rPr>
          <w:sz w:val="26"/>
          <w:szCs w:val="26"/>
        </w:rPr>
      </w:pPr>
      <w:r w:rsidRPr="006C1E16">
        <w:rPr>
          <w:sz w:val="26"/>
          <w:szCs w:val="26"/>
        </w:rPr>
        <w:t xml:space="preserve">22 lutego 2016 roku opublikowałem listę spółek </w:t>
      </w:r>
      <w:proofErr w:type="gramStart"/>
      <w:r w:rsidRPr="006C1E16">
        <w:rPr>
          <w:sz w:val="26"/>
          <w:szCs w:val="26"/>
        </w:rPr>
        <w:t>,,</w:t>
      </w:r>
      <w:proofErr w:type="gramEnd"/>
      <w:r w:rsidRPr="006C1E16">
        <w:rPr>
          <w:sz w:val="26"/>
          <w:szCs w:val="26"/>
        </w:rPr>
        <w:t>atrakcyjnych fundamentalnie”.</w:t>
      </w:r>
    </w:p>
    <w:p w:rsidR="00BA16D1" w:rsidRPr="006C1E16" w:rsidRDefault="00BA16D1" w:rsidP="00BA16D1">
      <w:pPr>
        <w:pStyle w:val="Bezodstpw"/>
        <w:jc w:val="both"/>
        <w:rPr>
          <w:sz w:val="26"/>
          <w:szCs w:val="26"/>
        </w:rPr>
      </w:pPr>
    </w:p>
    <w:p w:rsidR="00BA16D1" w:rsidRDefault="00BA16D1" w:rsidP="00BA16D1">
      <w:pPr>
        <w:pStyle w:val="Bezodstpw"/>
        <w:jc w:val="both"/>
        <w:rPr>
          <w:sz w:val="26"/>
          <w:szCs w:val="26"/>
        </w:rPr>
      </w:pPr>
      <w:r w:rsidRPr="006C1E16">
        <w:rPr>
          <w:sz w:val="26"/>
          <w:szCs w:val="26"/>
        </w:rPr>
        <w:t xml:space="preserve">Przypomnę, że spółka </w:t>
      </w:r>
      <w:proofErr w:type="gramStart"/>
      <w:r w:rsidRPr="006C1E16">
        <w:rPr>
          <w:sz w:val="26"/>
          <w:szCs w:val="26"/>
        </w:rPr>
        <w:t>,,</w:t>
      </w:r>
      <w:proofErr w:type="gramEnd"/>
      <w:r w:rsidRPr="006C1E16">
        <w:rPr>
          <w:sz w:val="26"/>
          <w:szCs w:val="26"/>
        </w:rPr>
        <w:t>atrakcyjna fundamentalnie” powinna być umieszczona (na przestrzeni ostatnich 12 miesięcy) w rubryce ,,Wykres do przemyślenia” a poza tym powinna spełniać 3 kryteria fundamentalne”</w:t>
      </w:r>
    </w:p>
    <w:p w:rsidR="00BA16D1" w:rsidRPr="006C1E16" w:rsidRDefault="00BA16D1" w:rsidP="00BA16D1">
      <w:pPr>
        <w:pStyle w:val="Bezodstpw"/>
        <w:jc w:val="both"/>
        <w:rPr>
          <w:sz w:val="26"/>
          <w:szCs w:val="26"/>
        </w:rPr>
      </w:pPr>
    </w:p>
    <w:p w:rsidR="00BA16D1" w:rsidRPr="006C1E16" w:rsidRDefault="00BA16D1" w:rsidP="00BA16D1">
      <w:pPr>
        <w:pStyle w:val="Bezodstpw"/>
        <w:jc w:val="both"/>
        <w:rPr>
          <w:sz w:val="26"/>
          <w:szCs w:val="26"/>
        </w:rPr>
      </w:pPr>
      <w:r w:rsidRPr="006C1E16">
        <w:rPr>
          <w:rStyle w:val="Pogrubienie"/>
          <w:rFonts w:ascii="MyriadPro-Regular" w:hAnsi="MyriadPro-Regular"/>
          <w:color w:val="000000"/>
          <w:sz w:val="26"/>
          <w:szCs w:val="26"/>
        </w:rPr>
        <w:t>Kryterium 1</w:t>
      </w:r>
    </w:p>
    <w:p w:rsidR="00BA16D1" w:rsidRDefault="00BA16D1" w:rsidP="00BA16D1">
      <w:pPr>
        <w:pStyle w:val="Bezodstpw"/>
        <w:jc w:val="both"/>
        <w:rPr>
          <w:sz w:val="26"/>
          <w:szCs w:val="26"/>
        </w:rPr>
      </w:pPr>
      <w:r w:rsidRPr="006C1E16">
        <w:rPr>
          <w:sz w:val="26"/>
          <w:szCs w:val="26"/>
        </w:rPr>
        <w:t>C/WK niższy od 1,0</w:t>
      </w:r>
    </w:p>
    <w:p w:rsidR="00BA16D1" w:rsidRPr="006C1E16" w:rsidRDefault="00BA16D1" w:rsidP="00BA16D1">
      <w:pPr>
        <w:pStyle w:val="Bezodstpw"/>
        <w:jc w:val="both"/>
        <w:rPr>
          <w:sz w:val="26"/>
          <w:szCs w:val="26"/>
        </w:rPr>
      </w:pPr>
    </w:p>
    <w:p w:rsidR="00BA16D1" w:rsidRPr="006C1E16" w:rsidRDefault="00BA16D1" w:rsidP="00BA16D1">
      <w:pPr>
        <w:pStyle w:val="Bezodstpw"/>
        <w:jc w:val="both"/>
        <w:rPr>
          <w:sz w:val="26"/>
          <w:szCs w:val="26"/>
        </w:rPr>
      </w:pPr>
      <w:r w:rsidRPr="006C1E16">
        <w:rPr>
          <w:rStyle w:val="Pogrubienie"/>
          <w:rFonts w:ascii="MyriadPro-Regular" w:hAnsi="MyriadPro-Regular"/>
          <w:color w:val="000000"/>
          <w:sz w:val="26"/>
          <w:szCs w:val="26"/>
        </w:rPr>
        <w:t>Kryterium 2</w:t>
      </w:r>
    </w:p>
    <w:p w:rsidR="00BA16D1" w:rsidRDefault="00BA16D1" w:rsidP="00BA16D1">
      <w:pPr>
        <w:pStyle w:val="Bezodstpw"/>
        <w:jc w:val="both"/>
        <w:rPr>
          <w:sz w:val="26"/>
          <w:szCs w:val="26"/>
        </w:rPr>
      </w:pPr>
      <w:r w:rsidRPr="006C1E16">
        <w:rPr>
          <w:sz w:val="26"/>
          <w:szCs w:val="26"/>
        </w:rPr>
        <w:t>Płynność bieżąca wyższa od 1,5</w:t>
      </w:r>
    </w:p>
    <w:p w:rsidR="00BA16D1" w:rsidRPr="006C1E16" w:rsidRDefault="00BA16D1" w:rsidP="00BA16D1">
      <w:pPr>
        <w:pStyle w:val="Bezodstpw"/>
        <w:jc w:val="both"/>
        <w:rPr>
          <w:sz w:val="26"/>
          <w:szCs w:val="26"/>
        </w:rPr>
      </w:pPr>
    </w:p>
    <w:p w:rsidR="00BA16D1" w:rsidRPr="006C1E16" w:rsidRDefault="00BA16D1" w:rsidP="00BA16D1">
      <w:pPr>
        <w:pStyle w:val="Bezodstpw"/>
        <w:jc w:val="both"/>
        <w:rPr>
          <w:b/>
          <w:sz w:val="26"/>
          <w:szCs w:val="26"/>
        </w:rPr>
      </w:pPr>
      <w:r w:rsidRPr="006C1E16">
        <w:rPr>
          <w:b/>
          <w:sz w:val="26"/>
          <w:szCs w:val="26"/>
        </w:rPr>
        <w:t>Kryterium 3</w:t>
      </w:r>
    </w:p>
    <w:p w:rsidR="00BA16D1" w:rsidRDefault="00BA16D1" w:rsidP="00BA16D1">
      <w:pPr>
        <w:pStyle w:val="Bezodstpw"/>
        <w:jc w:val="both"/>
        <w:rPr>
          <w:sz w:val="26"/>
          <w:szCs w:val="26"/>
        </w:rPr>
      </w:pPr>
      <w:r w:rsidRPr="006C1E16">
        <w:rPr>
          <w:sz w:val="26"/>
          <w:szCs w:val="26"/>
        </w:rPr>
        <w:t>Rentowność/</w:t>
      </w:r>
      <w:proofErr w:type="gramStart"/>
      <w:r w:rsidRPr="006C1E16">
        <w:rPr>
          <w:sz w:val="26"/>
          <w:szCs w:val="26"/>
        </w:rPr>
        <w:t>Płynność (czyli</w:t>
      </w:r>
      <w:proofErr w:type="gramEnd"/>
      <w:r w:rsidRPr="006C1E16">
        <w:rPr>
          <w:sz w:val="26"/>
          <w:szCs w:val="26"/>
        </w:rPr>
        <w:t xml:space="preserve"> rentowność sprzedaży w %/płynność bieżąca w krotnościach) niższa od 3,0</w:t>
      </w:r>
    </w:p>
    <w:p w:rsidR="00BA16D1" w:rsidRPr="006C1E16" w:rsidRDefault="00BA16D1" w:rsidP="00BA16D1">
      <w:pPr>
        <w:pStyle w:val="Bezodstpw"/>
        <w:jc w:val="both"/>
        <w:rPr>
          <w:sz w:val="26"/>
          <w:szCs w:val="26"/>
        </w:rPr>
      </w:pPr>
    </w:p>
    <w:p w:rsidR="00BA16D1" w:rsidRDefault="00BA16D1" w:rsidP="00BA16D1">
      <w:pPr>
        <w:pStyle w:val="Bezodstpw"/>
        <w:jc w:val="both"/>
        <w:rPr>
          <w:sz w:val="26"/>
          <w:szCs w:val="26"/>
        </w:rPr>
      </w:pPr>
      <w:proofErr w:type="gramStart"/>
      <w:r w:rsidRPr="006C1E16">
        <w:rPr>
          <w:b/>
          <w:sz w:val="26"/>
          <w:szCs w:val="26"/>
        </w:rPr>
        <w:t>,,</w:t>
      </w:r>
      <w:proofErr w:type="gramEnd"/>
      <w:r w:rsidRPr="006C1E16">
        <w:rPr>
          <w:b/>
          <w:sz w:val="26"/>
          <w:szCs w:val="26"/>
        </w:rPr>
        <w:t>Spółką atrakcyjną fundamentalną”</w:t>
      </w:r>
      <w:r w:rsidRPr="006C1E16">
        <w:rPr>
          <w:sz w:val="26"/>
          <w:szCs w:val="26"/>
        </w:rPr>
        <w:t xml:space="preserve"> jest ta, której akcje są </w:t>
      </w:r>
      <w:r w:rsidRPr="006C1E16">
        <w:rPr>
          <w:rStyle w:val="Pogrubienie"/>
          <w:rFonts w:ascii="MyriadPro-Regular" w:hAnsi="MyriadPro-Regular"/>
          <w:b w:val="0"/>
          <w:color w:val="000000"/>
          <w:sz w:val="26"/>
          <w:szCs w:val="26"/>
        </w:rPr>
        <w:t>tanio wycenione w stosunku do wartości księgowej</w:t>
      </w:r>
      <w:r w:rsidRPr="006C1E16">
        <w:rPr>
          <w:sz w:val="26"/>
          <w:szCs w:val="26"/>
        </w:rPr>
        <w:t xml:space="preserve">, która charakteryzuje się relatywnie wysoką zdolnością do regulowania swych zobowiązań wobec dostawców oraz banków (o </w:t>
      </w:r>
      <w:r w:rsidRPr="006C1E16">
        <w:rPr>
          <w:sz w:val="26"/>
          <w:szCs w:val="26"/>
        </w:rPr>
        <w:lastRenderedPageBreak/>
        <w:t>czym świadczy </w:t>
      </w:r>
      <w:r w:rsidRPr="006C1E16">
        <w:rPr>
          <w:rStyle w:val="Pogrubienie"/>
          <w:rFonts w:ascii="MyriadPro-Regular" w:hAnsi="MyriadPro-Regular"/>
          <w:b w:val="0"/>
          <w:color w:val="000000"/>
          <w:sz w:val="26"/>
          <w:szCs w:val="26"/>
        </w:rPr>
        <w:t>wysoki wskaźnik płynności bieżącej</w:t>
      </w:r>
      <w:r w:rsidRPr="006C1E16">
        <w:rPr>
          <w:sz w:val="26"/>
          <w:szCs w:val="26"/>
        </w:rPr>
        <w:t> a poza tym charakteryzuje się stosunkowo niską rentownością (można bowiem założyć, że skoro</w:t>
      </w:r>
      <w:r w:rsidRPr="006C1E16">
        <w:rPr>
          <w:rStyle w:val="Pogrubienie"/>
          <w:rFonts w:ascii="MyriadPro-Regular" w:hAnsi="MyriadPro-Regular"/>
          <w:b w:val="0"/>
          <w:color w:val="000000"/>
          <w:sz w:val="26"/>
          <w:szCs w:val="26"/>
        </w:rPr>
        <w:t> rentowność jest obecnie relatywnie niska</w:t>
      </w:r>
      <w:r w:rsidRPr="006C1E16">
        <w:rPr>
          <w:sz w:val="26"/>
          <w:szCs w:val="26"/>
        </w:rPr>
        <w:t> to w przyszłości wzrośnie, a kurs akcji będzie rósł dyskontując ów przyszły wzrost rentowności; kursy akcji dyskontują bowiem przyszłość)</w:t>
      </w:r>
      <w:r>
        <w:rPr>
          <w:sz w:val="26"/>
          <w:szCs w:val="26"/>
        </w:rPr>
        <w:t xml:space="preserve">. </w:t>
      </w:r>
    </w:p>
    <w:p w:rsidR="00BA16D1" w:rsidRDefault="00BA16D1" w:rsidP="00BA16D1">
      <w:pPr>
        <w:pStyle w:val="Bezodstpw"/>
        <w:jc w:val="both"/>
        <w:rPr>
          <w:sz w:val="26"/>
          <w:szCs w:val="26"/>
        </w:rPr>
      </w:pPr>
    </w:p>
    <w:p w:rsidR="00BA16D1" w:rsidRPr="00BA16D1" w:rsidRDefault="00BA16D1" w:rsidP="00BA16D1">
      <w:pPr>
        <w:pStyle w:val="Bezodstpw"/>
        <w:jc w:val="both"/>
        <w:rPr>
          <w:b/>
          <w:color w:val="FF0000"/>
          <w:sz w:val="26"/>
          <w:szCs w:val="26"/>
        </w:rPr>
      </w:pPr>
      <w:r>
        <w:rPr>
          <w:sz w:val="26"/>
          <w:szCs w:val="26"/>
        </w:rPr>
        <w:t xml:space="preserve">Do spółek </w:t>
      </w:r>
      <w:proofErr w:type="gramStart"/>
      <w:r>
        <w:rPr>
          <w:sz w:val="26"/>
          <w:szCs w:val="26"/>
        </w:rPr>
        <w:t>,,</w:t>
      </w:r>
      <w:proofErr w:type="gramEnd"/>
      <w:r>
        <w:rPr>
          <w:sz w:val="26"/>
          <w:szCs w:val="26"/>
        </w:rPr>
        <w:t xml:space="preserve">atrakcyjnych fundamentalnie” zaliczone zostały: </w:t>
      </w:r>
      <w:r w:rsidRPr="00BA16D1">
        <w:rPr>
          <w:b/>
          <w:color w:val="FF0000"/>
          <w:sz w:val="26"/>
          <w:szCs w:val="26"/>
        </w:rPr>
        <w:t xml:space="preserve">Agora, Ceramika Nowa Gala, </w:t>
      </w:r>
      <w:proofErr w:type="spellStart"/>
      <w:r w:rsidRPr="00BA16D1">
        <w:rPr>
          <w:b/>
          <w:color w:val="FF0000"/>
          <w:sz w:val="26"/>
          <w:szCs w:val="26"/>
        </w:rPr>
        <w:t>Netmeduia</w:t>
      </w:r>
      <w:proofErr w:type="spellEnd"/>
      <w:r w:rsidRPr="00BA16D1">
        <w:rPr>
          <w:b/>
          <w:color w:val="FF0000"/>
          <w:sz w:val="26"/>
          <w:szCs w:val="26"/>
        </w:rPr>
        <w:t xml:space="preserve">, Stalprodukt, </w:t>
      </w:r>
      <w:proofErr w:type="spellStart"/>
      <w:r w:rsidRPr="00BA16D1">
        <w:rPr>
          <w:b/>
          <w:color w:val="FF0000"/>
          <w:sz w:val="26"/>
          <w:szCs w:val="26"/>
        </w:rPr>
        <w:t>Tesgas</w:t>
      </w:r>
      <w:proofErr w:type="spellEnd"/>
      <w:r w:rsidRPr="00BA16D1">
        <w:rPr>
          <w:b/>
          <w:color w:val="FF0000"/>
          <w:sz w:val="26"/>
          <w:szCs w:val="26"/>
        </w:rPr>
        <w:t xml:space="preserve"> oraz </w:t>
      </w:r>
      <w:proofErr w:type="spellStart"/>
      <w:r w:rsidRPr="00BA16D1">
        <w:rPr>
          <w:b/>
          <w:color w:val="FF0000"/>
          <w:sz w:val="26"/>
          <w:szCs w:val="26"/>
        </w:rPr>
        <w:t>Unima</w:t>
      </w:r>
      <w:proofErr w:type="spellEnd"/>
      <w:r w:rsidRPr="00BA16D1">
        <w:rPr>
          <w:b/>
          <w:color w:val="FF0000"/>
          <w:sz w:val="26"/>
          <w:szCs w:val="26"/>
        </w:rPr>
        <w:t xml:space="preserve"> 2000. </w:t>
      </w:r>
    </w:p>
    <w:p w:rsidR="00BA16D1" w:rsidRDefault="00BA16D1" w:rsidP="00BA16D1">
      <w:pPr>
        <w:pStyle w:val="Bezodstpw"/>
        <w:jc w:val="both"/>
        <w:rPr>
          <w:sz w:val="26"/>
          <w:szCs w:val="26"/>
        </w:rPr>
      </w:pPr>
    </w:p>
    <w:p w:rsidR="00BA16D1" w:rsidRDefault="00BA16D1" w:rsidP="00BA16D1">
      <w:pPr>
        <w:pStyle w:val="Bezodstpw"/>
        <w:jc w:val="both"/>
        <w:rPr>
          <w:sz w:val="26"/>
          <w:szCs w:val="26"/>
        </w:rPr>
      </w:pPr>
      <w:r>
        <w:rPr>
          <w:sz w:val="26"/>
          <w:szCs w:val="26"/>
        </w:rPr>
        <w:t xml:space="preserve">Postanowiłem sprawdzić, jaka była średnia procentowa zmiana kursu akcji tych 6 spółek w okresie od 19 lutego do 4 marca 2016 </w:t>
      </w:r>
      <w:proofErr w:type="gramStart"/>
      <w:r>
        <w:rPr>
          <w:sz w:val="26"/>
          <w:szCs w:val="26"/>
        </w:rPr>
        <w:t>roku  a</w:t>
      </w:r>
      <w:proofErr w:type="gramEnd"/>
      <w:r>
        <w:rPr>
          <w:sz w:val="26"/>
          <w:szCs w:val="26"/>
        </w:rPr>
        <w:t xml:space="preserve"> jakie było zachowanie indeksu WIG20 w tym okresie ?</w:t>
      </w:r>
    </w:p>
    <w:p w:rsidR="00BA16D1" w:rsidRDefault="00BA16D1" w:rsidP="00BA16D1">
      <w:pPr>
        <w:pStyle w:val="Bezodstpw"/>
        <w:jc w:val="both"/>
        <w:rPr>
          <w:sz w:val="26"/>
          <w:szCs w:val="26"/>
        </w:rPr>
      </w:pPr>
    </w:p>
    <w:p w:rsidR="00BA16D1" w:rsidRPr="00582514" w:rsidRDefault="00BA16D1" w:rsidP="00BA16D1">
      <w:pPr>
        <w:jc w:val="both"/>
        <w:rPr>
          <w:color w:val="FF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82514">
        <w:rPr>
          <w:color w:val="FF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Tabela: Procentowa zmiana kursów akcji 6 spółek uznanych za </w:t>
      </w:r>
      <w:proofErr w:type="gramStart"/>
      <w:r w:rsidRPr="00582514">
        <w:rPr>
          <w:color w:val="FF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roofErr w:type="gramEnd"/>
      <w:r w:rsidRPr="00582514">
        <w:rPr>
          <w:color w:val="FF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atrakcyjne fundamentalnie” w okresie pomiędzy 20 lutego 2015 roku a 19 lutego 2016 roku oraz procentowa zmiana indeksu WIG20 w tym okresie</w:t>
      </w:r>
    </w:p>
    <w:tbl>
      <w:tblPr>
        <w:tblStyle w:val="Tabela-Siatka"/>
        <w:tblW w:w="0" w:type="auto"/>
        <w:tblLook w:val="04A0" w:firstRow="1" w:lastRow="0" w:firstColumn="1" w:lastColumn="0" w:noHBand="0" w:noVBand="1"/>
      </w:tblPr>
      <w:tblGrid>
        <w:gridCol w:w="3356"/>
        <w:gridCol w:w="2291"/>
        <w:gridCol w:w="2292"/>
        <w:gridCol w:w="1349"/>
      </w:tblGrid>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36"/>
                <w:szCs w:val="36"/>
              </w:rPr>
            </w:pPr>
            <w:r w:rsidRPr="00EF12AC">
              <w:rPr>
                <w:sz w:val="36"/>
                <w:szCs w:val="36"/>
              </w:rPr>
              <w:t xml:space="preserve">Instrument </w:t>
            </w:r>
          </w:p>
          <w:p w:rsidR="00BA16D1" w:rsidRPr="00EF12AC" w:rsidRDefault="00BA16D1" w:rsidP="00C27464">
            <w:pPr>
              <w:jc w:val="center"/>
              <w:rPr>
                <w:rFonts w:eastAsiaTheme="minorEastAsia"/>
                <w:sz w:val="36"/>
                <w:szCs w:val="36"/>
              </w:rPr>
            </w:pPr>
            <w:proofErr w:type="gramStart"/>
            <w:r w:rsidRPr="00EF12AC">
              <w:rPr>
                <w:sz w:val="36"/>
                <w:szCs w:val="36"/>
              </w:rPr>
              <w:t>finansowy</w:t>
            </w:r>
            <w:proofErr w:type="gramEnd"/>
          </w:p>
        </w:tc>
        <w:tc>
          <w:tcPr>
            <w:tcW w:w="2291"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36"/>
                <w:szCs w:val="36"/>
              </w:rPr>
            </w:pPr>
            <w:r w:rsidRPr="00EF12AC">
              <w:rPr>
                <w:sz w:val="36"/>
                <w:szCs w:val="36"/>
              </w:rPr>
              <w:t xml:space="preserve">Poziom – </w:t>
            </w:r>
            <w:r>
              <w:rPr>
                <w:sz w:val="36"/>
                <w:szCs w:val="36"/>
              </w:rPr>
              <w:t>19</w:t>
            </w:r>
            <w:r w:rsidRPr="00EF12AC">
              <w:rPr>
                <w:sz w:val="36"/>
                <w:szCs w:val="36"/>
              </w:rPr>
              <w:t>.02.201</w:t>
            </w:r>
            <w:r>
              <w:rPr>
                <w:sz w:val="36"/>
                <w:szCs w:val="36"/>
              </w:rPr>
              <w:t>6</w:t>
            </w:r>
          </w:p>
        </w:tc>
        <w:tc>
          <w:tcPr>
            <w:tcW w:w="2292"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36"/>
                <w:szCs w:val="36"/>
              </w:rPr>
            </w:pPr>
            <w:r w:rsidRPr="00EF12AC">
              <w:rPr>
                <w:sz w:val="36"/>
                <w:szCs w:val="36"/>
              </w:rPr>
              <w:t xml:space="preserve">Poziom – </w:t>
            </w:r>
            <w:r>
              <w:rPr>
                <w:sz w:val="36"/>
                <w:szCs w:val="36"/>
              </w:rPr>
              <w:t>04</w:t>
            </w:r>
            <w:r w:rsidRPr="00EF12AC">
              <w:rPr>
                <w:sz w:val="36"/>
                <w:szCs w:val="36"/>
              </w:rPr>
              <w:t>.0</w:t>
            </w:r>
            <w:r>
              <w:rPr>
                <w:sz w:val="36"/>
                <w:szCs w:val="36"/>
              </w:rPr>
              <w:t>3</w:t>
            </w:r>
            <w:r w:rsidRPr="00EF12AC">
              <w:rPr>
                <w:sz w:val="36"/>
                <w:szCs w:val="36"/>
              </w:rPr>
              <w:t>.2016</w:t>
            </w:r>
          </w:p>
        </w:tc>
        <w:tc>
          <w:tcPr>
            <w:tcW w:w="1349"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36"/>
                <w:szCs w:val="36"/>
              </w:rPr>
            </w:pPr>
            <w:r w:rsidRPr="00EF12AC">
              <w:rPr>
                <w:sz w:val="36"/>
                <w:szCs w:val="36"/>
              </w:rPr>
              <w:t>Zmiana (w %)</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28"/>
                <w:szCs w:val="28"/>
              </w:rPr>
            </w:pPr>
            <w:r w:rsidRPr="00EF12AC">
              <w:rPr>
                <w:sz w:val="28"/>
                <w:szCs w:val="28"/>
              </w:rPr>
              <w:t>Akcja spółki Agora</w:t>
            </w:r>
          </w:p>
        </w:tc>
        <w:tc>
          <w:tcPr>
            <w:tcW w:w="2291"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11</w:t>
            </w:r>
            <w:r w:rsidRPr="00EF12AC">
              <w:rPr>
                <w:sz w:val="28"/>
                <w:szCs w:val="28"/>
              </w:rPr>
              <w:t>,</w:t>
            </w:r>
            <w:r>
              <w:rPr>
                <w:sz w:val="28"/>
                <w:szCs w:val="28"/>
              </w:rPr>
              <w:t>60</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11</w:t>
            </w:r>
            <w:r w:rsidRPr="00EF12AC">
              <w:rPr>
                <w:sz w:val="28"/>
                <w:szCs w:val="28"/>
              </w:rPr>
              <w:t>,</w:t>
            </w:r>
            <w:r>
              <w:rPr>
                <w:sz w:val="28"/>
                <w:szCs w:val="28"/>
              </w:rPr>
              <w:t>54</w:t>
            </w:r>
            <w:r w:rsidRPr="00EF12AC">
              <w:rPr>
                <w:sz w:val="28"/>
                <w:szCs w:val="28"/>
              </w:rPr>
              <w:t xml:space="preserve"> zł.</w:t>
            </w:r>
          </w:p>
        </w:tc>
        <w:tc>
          <w:tcPr>
            <w:tcW w:w="1349"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w:t>
            </w:r>
            <w:r w:rsidRPr="00EF12AC">
              <w:rPr>
                <w:sz w:val="28"/>
                <w:szCs w:val="28"/>
              </w:rPr>
              <w:t>-</w:t>
            </w:r>
            <w:r>
              <w:rPr>
                <w:sz w:val="28"/>
                <w:szCs w:val="28"/>
              </w:rPr>
              <w:t>0</w:t>
            </w:r>
            <w:r w:rsidRPr="00EF12AC">
              <w:rPr>
                <w:sz w:val="28"/>
                <w:szCs w:val="28"/>
              </w:rPr>
              <w:t>,</w:t>
            </w:r>
            <w:r>
              <w:rPr>
                <w:sz w:val="28"/>
                <w:szCs w:val="28"/>
              </w:rPr>
              <w:t>5</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28"/>
                <w:szCs w:val="28"/>
              </w:rPr>
            </w:pPr>
            <w:r w:rsidRPr="00EF12AC">
              <w:rPr>
                <w:sz w:val="28"/>
                <w:szCs w:val="28"/>
              </w:rPr>
              <w:t>Akcja spółki Nowa Gala</w:t>
            </w:r>
          </w:p>
        </w:tc>
        <w:tc>
          <w:tcPr>
            <w:tcW w:w="2291"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1</w:t>
            </w:r>
            <w:r w:rsidRPr="00EF12AC">
              <w:rPr>
                <w:sz w:val="28"/>
                <w:szCs w:val="28"/>
              </w:rPr>
              <w:t>,</w:t>
            </w:r>
            <w:r>
              <w:rPr>
                <w:sz w:val="28"/>
                <w:szCs w:val="28"/>
              </w:rPr>
              <w:t>20</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1</w:t>
            </w:r>
            <w:r w:rsidRPr="00EF12AC">
              <w:rPr>
                <w:sz w:val="28"/>
                <w:szCs w:val="28"/>
              </w:rPr>
              <w:t>,</w:t>
            </w:r>
            <w:r>
              <w:rPr>
                <w:sz w:val="28"/>
                <w:szCs w:val="28"/>
              </w:rPr>
              <w:t>23</w:t>
            </w:r>
            <w:r w:rsidRPr="00EF12AC">
              <w:rPr>
                <w:sz w:val="28"/>
                <w:szCs w:val="28"/>
              </w:rPr>
              <w:t xml:space="preserve"> zł.</w:t>
            </w:r>
          </w:p>
        </w:tc>
        <w:tc>
          <w:tcPr>
            <w:tcW w:w="1349"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w:t>
            </w:r>
            <w:r w:rsidRPr="00EF12AC">
              <w:rPr>
                <w:sz w:val="28"/>
                <w:szCs w:val="28"/>
              </w:rPr>
              <w:t>+</w:t>
            </w:r>
            <w:r>
              <w:rPr>
                <w:sz w:val="28"/>
                <w:szCs w:val="28"/>
              </w:rPr>
              <w:t>2</w:t>
            </w:r>
            <w:r w:rsidRPr="00EF12AC">
              <w:rPr>
                <w:sz w:val="28"/>
                <w:szCs w:val="28"/>
              </w:rPr>
              <w:t>,</w:t>
            </w:r>
            <w:r>
              <w:rPr>
                <w:sz w:val="28"/>
                <w:szCs w:val="28"/>
              </w:rPr>
              <w:t>5</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28"/>
                <w:szCs w:val="28"/>
              </w:rPr>
            </w:pPr>
            <w:r w:rsidRPr="00EF12AC">
              <w:rPr>
                <w:sz w:val="28"/>
                <w:szCs w:val="28"/>
              </w:rPr>
              <w:t xml:space="preserve">Akcja </w:t>
            </w:r>
            <w:proofErr w:type="gramStart"/>
            <w:r w:rsidRPr="00EF12AC">
              <w:rPr>
                <w:sz w:val="28"/>
                <w:szCs w:val="28"/>
              </w:rPr>
              <w:t xml:space="preserve">spółki  </w:t>
            </w:r>
            <w:proofErr w:type="spellStart"/>
            <w:r w:rsidRPr="00EF12AC">
              <w:rPr>
                <w:sz w:val="28"/>
                <w:szCs w:val="28"/>
              </w:rPr>
              <w:t>Netmedia</w:t>
            </w:r>
            <w:proofErr w:type="spellEnd"/>
            <w:proofErr w:type="gramEnd"/>
          </w:p>
        </w:tc>
        <w:tc>
          <w:tcPr>
            <w:tcW w:w="2291"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5</w:t>
            </w:r>
            <w:r w:rsidRPr="00EF12AC">
              <w:rPr>
                <w:sz w:val="28"/>
                <w:szCs w:val="28"/>
              </w:rPr>
              <w:t>,</w:t>
            </w:r>
            <w:r>
              <w:rPr>
                <w:sz w:val="28"/>
                <w:szCs w:val="28"/>
              </w:rPr>
              <w:t>03</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w:t>
            </w:r>
            <w:r w:rsidRPr="00EF12AC">
              <w:rPr>
                <w:sz w:val="28"/>
                <w:szCs w:val="28"/>
              </w:rPr>
              <w:t>5,</w:t>
            </w:r>
            <w:r>
              <w:rPr>
                <w:sz w:val="28"/>
                <w:szCs w:val="28"/>
              </w:rPr>
              <w:t>85</w:t>
            </w:r>
            <w:r w:rsidRPr="00EF12AC">
              <w:rPr>
                <w:sz w:val="28"/>
                <w:szCs w:val="28"/>
              </w:rPr>
              <w:t>zł.</w:t>
            </w:r>
          </w:p>
        </w:tc>
        <w:tc>
          <w:tcPr>
            <w:tcW w:w="1349"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sidRPr="00EF12AC">
              <w:rPr>
                <w:sz w:val="28"/>
                <w:szCs w:val="28"/>
              </w:rPr>
              <w:t>+</w:t>
            </w:r>
            <w:r>
              <w:rPr>
                <w:sz w:val="28"/>
                <w:szCs w:val="28"/>
              </w:rPr>
              <w:t>1</w:t>
            </w:r>
            <w:r w:rsidRPr="00EF12AC">
              <w:rPr>
                <w:sz w:val="28"/>
                <w:szCs w:val="28"/>
              </w:rPr>
              <w:t>6,</w:t>
            </w:r>
            <w:r>
              <w:rPr>
                <w:sz w:val="28"/>
                <w:szCs w:val="28"/>
              </w:rPr>
              <w:t>3</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rFonts w:eastAsiaTheme="minorEastAsia"/>
                <w:sz w:val="28"/>
                <w:szCs w:val="28"/>
              </w:rPr>
            </w:pPr>
            <w:r w:rsidRPr="00EF12AC">
              <w:rPr>
                <w:sz w:val="28"/>
                <w:szCs w:val="28"/>
              </w:rPr>
              <w:t>Akcja spółki Stalprodukt</w:t>
            </w:r>
          </w:p>
        </w:tc>
        <w:tc>
          <w:tcPr>
            <w:tcW w:w="2291"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237</w:t>
            </w:r>
            <w:r w:rsidRPr="00EF12AC">
              <w:rPr>
                <w:sz w:val="28"/>
                <w:szCs w:val="28"/>
              </w:rPr>
              <w:t>,1</w:t>
            </w:r>
            <w:r>
              <w:rPr>
                <w:sz w:val="28"/>
                <w:szCs w:val="28"/>
              </w:rPr>
              <w:t>0</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257</w:t>
            </w:r>
            <w:r w:rsidRPr="00EF12AC">
              <w:rPr>
                <w:sz w:val="28"/>
                <w:szCs w:val="28"/>
              </w:rPr>
              <w:t>,</w:t>
            </w:r>
            <w:r>
              <w:rPr>
                <w:sz w:val="28"/>
                <w:szCs w:val="28"/>
              </w:rPr>
              <w:t>80</w:t>
            </w:r>
            <w:r w:rsidRPr="00EF12AC">
              <w:rPr>
                <w:sz w:val="28"/>
                <w:szCs w:val="28"/>
              </w:rPr>
              <w:t xml:space="preserve"> zł.</w:t>
            </w:r>
          </w:p>
        </w:tc>
        <w:tc>
          <w:tcPr>
            <w:tcW w:w="1349" w:type="dxa"/>
            <w:tcBorders>
              <w:top w:val="single" w:sz="4" w:space="0" w:color="auto"/>
              <w:left w:val="single" w:sz="4" w:space="0" w:color="auto"/>
              <w:bottom w:val="single" w:sz="4" w:space="0" w:color="auto"/>
              <w:right w:val="single" w:sz="4" w:space="0" w:color="auto"/>
            </w:tcBorders>
            <w:hideMark/>
          </w:tcPr>
          <w:p w:rsidR="00BA16D1" w:rsidRPr="00EF12AC" w:rsidRDefault="00BA16D1" w:rsidP="00C27464">
            <w:pPr>
              <w:jc w:val="center"/>
              <w:rPr>
                <w:sz w:val="28"/>
                <w:szCs w:val="28"/>
              </w:rPr>
            </w:pPr>
            <w:r>
              <w:rPr>
                <w:sz w:val="28"/>
                <w:szCs w:val="28"/>
              </w:rPr>
              <w:t xml:space="preserve">  </w:t>
            </w:r>
            <w:r w:rsidRPr="00EF12AC">
              <w:rPr>
                <w:sz w:val="28"/>
                <w:szCs w:val="28"/>
              </w:rPr>
              <w:t>+</w:t>
            </w:r>
            <w:r>
              <w:rPr>
                <w:sz w:val="28"/>
                <w:szCs w:val="28"/>
              </w:rPr>
              <w:t>8</w:t>
            </w:r>
            <w:r w:rsidRPr="00EF12AC">
              <w:rPr>
                <w:sz w:val="28"/>
                <w:szCs w:val="28"/>
              </w:rPr>
              <w:t>,</w:t>
            </w:r>
            <w:r>
              <w:rPr>
                <w:sz w:val="28"/>
                <w:szCs w:val="28"/>
              </w:rPr>
              <w:t>7</w:t>
            </w:r>
          </w:p>
        </w:tc>
      </w:tr>
      <w:tr w:rsidR="00BA16D1" w:rsidTr="00C27464">
        <w:tc>
          <w:tcPr>
            <w:tcW w:w="3356"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sidRPr="00EF12AC">
              <w:rPr>
                <w:sz w:val="28"/>
                <w:szCs w:val="28"/>
              </w:rPr>
              <w:t xml:space="preserve">Akcja spółki </w:t>
            </w:r>
            <w:proofErr w:type="spellStart"/>
            <w:r w:rsidRPr="00EF12AC">
              <w:rPr>
                <w:sz w:val="28"/>
                <w:szCs w:val="28"/>
              </w:rPr>
              <w:t>Tesgas</w:t>
            </w:r>
            <w:proofErr w:type="spellEnd"/>
          </w:p>
        </w:tc>
        <w:tc>
          <w:tcPr>
            <w:tcW w:w="2291"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3</w:t>
            </w:r>
            <w:r w:rsidRPr="00EF12AC">
              <w:rPr>
                <w:sz w:val="28"/>
                <w:szCs w:val="28"/>
              </w:rPr>
              <w:t>,</w:t>
            </w:r>
            <w:r>
              <w:rPr>
                <w:sz w:val="28"/>
                <w:szCs w:val="28"/>
              </w:rPr>
              <w:t>19</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3</w:t>
            </w:r>
            <w:r w:rsidRPr="00EF12AC">
              <w:rPr>
                <w:sz w:val="28"/>
                <w:szCs w:val="28"/>
              </w:rPr>
              <w:t>,</w:t>
            </w:r>
            <w:r>
              <w:rPr>
                <w:sz w:val="28"/>
                <w:szCs w:val="28"/>
              </w:rPr>
              <w:t>10</w:t>
            </w:r>
            <w:r w:rsidRPr="00EF12AC">
              <w:rPr>
                <w:sz w:val="28"/>
                <w:szCs w:val="28"/>
              </w:rPr>
              <w:t xml:space="preserve"> zł.</w:t>
            </w:r>
          </w:p>
        </w:tc>
        <w:tc>
          <w:tcPr>
            <w:tcW w:w="1349"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-2,8</w:t>
            </w:r>
          </w:p>
        </w:tc>
      </w:tr>
      <w:tr w:rsidR="00BA16D1" w:rsidTr="00C27464">
        <w:tc>
          <w:tcPr>
            <w:tcW w:w="3356"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sidRPr="00EF12AC">
              <w:rPr>
                <w:sz w:val="28"/>
                <w:szCs w:val="28"/>
              </w:rPr>
              <w:t xml:space="preserve">Akcja spółki </w:t>
            </w:r>
            <w:proofErr w:type="spellStart"/>
            <w:r w:rsidRPr="00EF12AC">
              <w:rPr>
                <w:sz w:val="28"/>
                <w:szCs w:val="28"/>
              </w:rPr>
              <w:t>Unima</w:t>
            </w:r>
            <w:proofErr w:type="spellEnd"/>
            <w:r w:rsidRPr="00EF12AC">
              <w:rPr>
                <w:sz w:val="28"/>
                <w:szCs w:val="28"/>
              </w:rPr>
              <w:t xml:space="preserve"> 2000</w:t>
            </w:r>
          </w:p>
        </w:tc>
        <w:tc>
          <w:tcPr>
            <w:tcW w:w="2291"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2</w:t>
            </w:r>
            <w:r w:rsidRPr="00EF12AC">
              <w:rPr>
                <w:sz w:val="28"/>
                <w:szCs w:val="28"/>
              </w:rPr>
              <w:t>,</w:t>
            </w:r>
            <w:r>
              <w:rPr>
                <w:sz w:val="28"/>
                <w:szCs w:val="28"/>
              </w:rPr>
              <w:t>30</w:t>
            </w:r>
            <w:r w:rsidRPr="00EF12AC">
              <w:rPr>
                <w:sz w:val="28"/>
                <w:szCs w:val="28"/>
              </w:rPr>
              <w:t xml:space="preserve"> zł.</w:t>
            </w:r>
          </w:p>
        </w:tc>
        <w:tc>
          <w:tcPr>
            <w:tcW w:w="2292"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2</w:t>
            </w:r>
            <w:r w:rsidRPr="00EF12AC">
              <w:rPr>
                <w:sz w:val="28"/>
                <w:szCs w:val="28"/>
              </w:rPr>
              <w:t>,</w:t>
            </w:r>
            <w:r>
              <w:rPr>
                <w:sz w:val="28"/>
                <w:szCs w:val="28"/>
              </w:rPr>
              <w:t>42</w:t>
            </w:r>
            <w:r w:rsidRPr="00EF12AC">
              <w:rPr>
                <w:sz w:val="28"/>
                <w:szCs w:val="28"/>
              </w:rPr>
              <w:t xml:space="preserve"> zł.</w:t>
            </w:r>
          </w:p>
        </w:tc>
        <w:tc>
          <w:tcPr>
            <w:tcW w:w="1349" w:type="dxa"/>
            <w:tcBorders>
              <w:top w:val="single" w:sz="4" w:space="0" w:color="auto"/>
              <w:left w:val="single" w:sz="4" w:space="0" w:color="auto"/>
              <w:bottom w:val="single" w:sz="4" w:space="0" w:color="auto"/>
              <w:right w:val="single" w:sz="4" w:space="0" w:color="auto"/>
            </w:tcBorders>
          </w:tcPr>
          <w:p w:rsidR="00BA16D1" w:rsidRPr="00EF12AC" w:rsidRDefault="00BA16D1" w:rsidP="00C27464">
            <w:pPr>
              <w:jc w:val="center"/>
              <w:rPr>
                <w:sz w:val="28"/>
                <w:szCs w:val="28"/>
              </w:rPr>
            </w:pPr>
            <w:r>
              <w:rPr>
                <w:sz w:val="28"/>
                <w:szCs w:val="28"/>
              </w:rPr>
              <w:t xml:space="preserve">  +5,2</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b/>
                <w:color w:val="FF0000"/>
                <w:sz w:val="60"/>
                <w:szCs w:val="60"/>
              </w:rPr>
            </w:pPr>
            <w:r w:rsidRPr="00D572E9">
              <w:rPr>
                <w:b/>
                <w:color w:val="FF0000"/>
                <w:sz w:val="60"/>
                <w:szCs w:val="60"/>
              </w:rPr>
              <w:t>Średnio</w:t>
            </w:r>
          </w:p>
        </w:tc>
        <w:tc>
          <w:tcPr>
            <w:tcW w:w="2291" w:type="dxa"/>
            <w:tcBorders>
              <w:top w:val="single" w:sz="4" w:space="0" w:color="auto"/>
              <w:left w:val="single" w:sz="4" w:space="0" w:color="auto"/>
              <w:bottom w:val="single" w:sz="4" w:space="0" w:color="auto"/>
              <w:right w:val="nil"/>
            </w:tcBorders>
          </w:tcPr>
          <w:p w:rsidR="00BA16D1" w:rsidRPr="00D572E9" w:rsidRDefault="00BA16D1" w:rsidP="00C27464">
            <w:pPr>
              <w:jc w:val="center"/>
              <w:rPr>
                <w:rFonts w:eastAsiaTheme="minorEastAsia"/>
                <w:b/>
                <w:color w:val="FF0000"/>
                <w:sz w:val="60"/>
                <w:szCs w:val="60"/>
              </w:rPr>
            </w:pPr>
          </w:p>
        </w:tc>
        <w:tc>
          <w:tcPr>
            <w:tcW w:w="2292" w:type="dxa"/>
            <w:tcBorders>
              <w:top w:val="single" w:sz="4" w:space="0" w:color="auto"/>
              <w:left w:val="nil"/>
              <w:bottom w:val="single" w:sz="4" w:space="0" w:color="auto"/>
              <w:right w:val="single" w:sz="4" w:space="0" w:color="auto"/>
            </w:tcBorders>
          </w:tcPr>
          <w:p w:rsidR="00BA16D1" w:rsidRPr="00D572E9" w:rsidRDefault="00BA16D1" w:rsidP="00C27464">
            <w:pPr>
              <w:jc w:val="center"/>
              <w:rPr>
                <w:rFonts w:eastAsiaTheme="minorEastAsia"/>
                <w:b/>
                <w:color w:val="FF0000"/>
                <w:sz w:val="60"/>
                <w:szCs w:val="60"/>
              </w:rPr>
            </w:pPr>
          </w:p>
        </w:tc>
        <w:tc>
          <w:tcPr>
            <w:tcW w:w="1349"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b/>
                <w:color w:val="FF0000"/>
                <w:sz w:val="60"/>
                <w:szCs w:val="60"/>
              </w:rPr>
            </w:pPr>
            <w:r w:rsidRPr="00D572E9">
              <w:rPr>
                <w:b/>
                <w:color w:val="FF0000"/>
                <w:sz w:val="60"/>
                <w:szCs w:val="60"/>
              </w:rPr>
              <w:t>+4,9</w:t>
            </w:r>
          </w:p>
        </w:tc>
      </w:tr>
      <w:tr w:rsidR="00BA16D1" w:rsidTr="00C27464">
        <w:tc>
          <w:tcPr>
            <w:tcW w:w="3356"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sz w:val="36"/>
                <w:szCs w:val="36"/>
              </w:rPr>
            </w:pPr>
            <w:r w:rsidRPr="00D572E9">
              <w:rPr>
                <w:sz w:val="36"/>
                <w:szCs w:val="36"/>
              </w:rPr>
              <w:t>WIG 20</w:t>
            </w:r>
          </w:p>
        </w:tc>
        <w:tc>
          <w:tcPr>
            <w:tcW w:w="2291"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sz w:val="36"/>
                <w:szCs w:val="36"/>
              </w:rPr>
            </w:pPr>
            <w:r w:rsidRPr="00D572E9">
              <w:rPr>
                <w:sz w:val="36"/>
                <w:szCs w:val="36"/>
              </w:rPr>
              <w:t>1 841,06 pkt.</w:t>
            </w:r>
          </w:p>
        </w:tc>
        <w:tc>
          <w:tcPr>
            <w:tcW w:w="2292"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sz w:val="36"/>
                <w:szCs w:val="36"/>
              </w:rPr>
            </w:pPr>
            <w:r w:rsidRPr="00D572E9">
              <w:rPr>
                <w:sz w:val="36"/>
                <w:szCs w:val="36"/>
              </w:rPr>
              <w:t>1 873,51 pkt.</w:t>
            </w:r>
          </w:p>
        </w:tc>
        <w:tc>
          <w:tcPr>
            <w:tcW w:w="1349" w:type="dxa"/>
            <w:tcBorders>
              <w:top w:val="single" w:sz="4" w:space="0" w:color="auto"/>
              <w:left w:val="single" w:sz="4" w:space="0" w:color="auto"/>
              <w:bottom w:val="single" w:sz="4" w:space="0" w:color="auto"/>
              <w:right w:val="single" w:sz="4" w:space="0" w:color="auto"/>
            </w:tcBorders>
            <w:hideMark/>
          </w:tcPr>
          <w:p w:rsidR="00BA16D1" w:rsidRPr="00D572E9" w:rsidRDefault="00BA16D1" w:rsidP="00C27464">
            <w:pPr>
              <w:jc w:val="center"/>
              <w:rPr>
                <w:rFonts w:eastAsiaTheme="minorEastAsia"/>
                <w:sz w:val="36"/>
                <w:szCs w:val="36"/>
              </w:rPr>
            </w:pPr>
            <w:r w:rsidRPr="00D572E9">
              <w:rPr>
                <w:sz w:val="36"/>
                <w:szCs w:val="36"/>
              </w:rPr>
              <w:t>+1,8</w:t>
            </w:r>
          </w:p>
        </w:tc>
      </w:tr>
    </w:tbl>
    <w:p w:rsidR="00BA16D1" w:rsidRDefault="00BA16D1" w:rsidP="00BA16D1">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BA16D1" w:rsidRDefault="00BA16D1" w:rsidP="00BA16D1">
      <w:pPr>
        <w:spacing w:after="0" w:line="240" w:lineRule="auto"/>
        <w:jc w:val="both"/>
        <w:rPr>
          <w:rFonts w:eastAsia="Times New Roman" w:cs="Times New Roman"/>
          <w:b/>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p>
    <w:p w:rsidR="00BA16D1" w:rsidRDefault="00BA16D1" w:rsidP="00BA16D1">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4 marca 2016 roku</w:t>
      </w:r>
    </w:p>
    <w:p w:rsidR="00BA16D1" w:rsidRDefault="00BA16D1" w:rsidP="00BA16D1">
      <w:pPr>
        <w:spacing w:after="0" w:line="240" w:lineRule="auto"/>
        <w:jc w:val="center"/>
        <w:rPr>
          <w:rFonts w:eastAsia="Times New Roman" w:cs="Times New Roman"/>
          <w:b/>
          <w:sz w:val="32"/>
          <w:szCs w:val="32"/>
          <w:u w:val="single"/>
          <w:lang w:eastAsia="pl-PL"/>
        </w:rPr>
      </w:pPr>
    </w:p>
    <w:p w:rsidR="00BA16D1" w:rsidRDefault="00BA16D1" w:rsidP="00BA16D1">
      <w:pPr>
        <w:spacing w:after="0" w:line="240" w:lineRule="auto"/>
        <w:jc w:val="both"/>
        <w:rPr>
          <w:rFonts w:eastAsia="Times New Roman" w:cs="Times New Roman"/>
          <w:b/>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lastRenderedPageBreak/>
        <w:t xml:space="preserve">Wprowadzenie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13"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Ile wynosiła średnia procentowa zmiana indeksu WIG 20 w tym okresie ?”. Odpowiedź na te pytania przedstawiłem w tabeli na następnej stronie. </w:t>
      </w: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+15,2 %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+11,3 %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+55,4 %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+58,1 %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+35,0 %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-15,5 %</w:t>
            </w:r>
          </w:p>
        </w:tc>
      </w:tr>
    </w:tbl>
    <w:p w:rsidR="00BA16D1" w:rsidRDefault="00BA16D1" w:rsidP="00BA16D1">
      <w:pPr>
        <w:spacing w:after="0" w:line="240" w:lineRule="auto"/>
        <w:jc w:val="both"/>
        <w:rPr>
          <w:rFonts w:ascii="Calibri" w:eastAsia="Times New Roman" w:hAnsi="Calibri" w:cs="Times New Roman"/>
          <w:sz w:val="36"/>
          <w:szCs w:val="36"/>
          <w:u w:val="single"/>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BA16D1" w:rsidRDefault="00BA16D1" w:rsidP="00BA16D1">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-20,8 %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-20,8 %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-12,5 %</w:t>
            </w:r>
          </w:p>
        </w:tc>
      </w:tr>
    </w:tbl>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4"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BA16D1" w:rsidRDefault="00BA16D1" w:rsidP="00BA16D1">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24,2 %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24,2 %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-12,2 %</w:t>
            </w:r>
          </w:p>
        </w:tc>
      </w:tr>
    </w:tbl>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BA16D1" w:rsidRDefault="00BA16D1" w:rsidP="00BA16D1">
      <w:pPr>
        <w:spacing w:after="0" w:line="240" w:lineRule="auto"/>
        <w:jc w:val="both"/>
        <w:rPr>
          <w:rFonts w:eastAsiaTheme="minorEastAsia"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2,3 %</w:t>
            </w:r>
          </w:p>
        </w:tc>
      </w:tr>
      <w:tr w:rsidR="00BA16D1" w:rsidTr="00C27464">
        <w:trPr>
          <w:trHeight w:val="310"/>
        </w:trPr>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2,3 %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-13,2 %</w:t>
            </w:r>
          </w:p>
        </w:tc>
      </w:tr>
    </w:tbl>
    <w:p w:rsidR="00BA16D1" w:rsidRDefault="00BA16D1" w:rsidP="00BA16D1">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25 września na stronie internetowej </w:t>
      </w:r>
      <w:hyperlink r:id="rId15"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+29,7 %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+29,7 %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-15,8 %</w:t>
            </w:r>
          </w:p>
        </w:tc>
      </w:tr>
    </w:tbl>
    <w:p w:rsidR="00BA16D1" w:rsidRDefault="00BA16D1" w:rsidP="00BA16D1">
      <w:pPr>
        <w:spacing w:after="0" w:line="240" w:lineRule="auto"/>
        <w:jc w:val="both"/>
        <w:rPr>
          <w:rFonts w:eastAsiaTheme="minorEastAsia" w:cs="Times New Roman"/>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BA16D1" w:rsidRDefault="00BA16D1" w:rsidP="00BA16D1">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+19,9 %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+61,5 %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- 49,9 %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+10,5%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- 15,8 %</w:t>
            </w:r>
          </w:p>
        </w:tc>
      </w:tr>
    </w:tbl>
    <w:p w:rsidR="00BA16D1" w:rsidRDefault="00BA16D1" w:rsidP="00BA16D1">
      <w:pPr>
        <w:spacing w:after="0" w:line="240" w:lineRule="auto"/>
        <w:rPr>
          <w:rFonts w:ascii="Calibri" w:eastAsia="Times New Roman" w:hAnsi="Calibri" w:cs="Times New Roman"/>
          <w:sz w:val="26"/>
          <w:szCs w:val="26"/>
          <w:u w:val="single"/>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+13,9 %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+13,9 %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-16,7 %</w:t>
            </w:r>
          </w:p>
        </w:tc>
      </w:tr>
    </w:tbl>
    <w:p w:rsidR="00BA16D1" w:rsidRDefault="00BA16D1" w:rsidP="00BA16D1">
      <w:pPr>
        <w:spacing w:after="0" w:line="240" w:lineRule="auto"/>
        <w:rPr>
          <w:rFonts w:ascii="Calibri" w:eastAsia="Times New Roman" w:hAnsi="Calibri" w:cs="Times New Roman"/>
          <w:sz w:val="26"/>
          <w:szCs w:val="26"/>
          <w:u w:val="single"/>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BA16D1" w:rsidRDefault="00BA16D1" w:rsidP="00BA16D1">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-38,0 %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-38,0 %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-11,6 %</w:t>
            </w:r>
          </w:p>
        </w:tc>
      </w:tr>
    </w:tbl>
    <w:p w:rsidR="00BA16D1" w:rsidRDefault="00BA16D1" w:rsidP="00BA16D1">
      <w:pPr>
        <w:spacing w:after="0" w:line="240" w:lineRule="auto"/>
        <w:rPr>
          <w:rFonts w:ascii="Calibri" w:eastAsia="Times New Roman" w:hAnsi="Calibri" w:cs="Times New Roman"/>
          <w:sz w:val="42"/>
          <w:szCs w:val="42"/>
          <w:u w:val="single"/>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22 października na stronie internetowej </w:t>
      </w:r>
      <w:hyperlink r:id="rId1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BA16D1" w:rsidRDefault="00BA16D1" w:rsidP="00BA16D1">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+ 114,5 %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+ 55,6 %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-13,1 %</w:t>
            </w:r>
          </w:p>
        </w:tc>
      </w:tr>
    </w:tbl>
    <w:p w:rsidR="00BA16D1" w:rsidRDefault="00BA16D1" w:rsidP="00BA16D1">
      <w:pPr>
        <w:spacing w:after="0" w:line="240" w:lineRule="auto"/>
        <w:jc w:val="both"/>
        <w:rPr>
          <w:rFonts w:eastAsiaTheme="minorEastAsia" w:cs="Times New Roman"/>
          <w:lang w:eastAsia="pl-PL"/>
        </w:rPr>
      </w:pP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BA16D1" w:rsidRDefault="00BA16D1" w:rsidP="00BA16D1">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-14,4 %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-14,4 %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-13,1 %</w:t>
            </w:r>
          </w:p>
        </w:tc>
      </w:tr>
    </w:tbl>
    <w:p w:rsidR="00BA16D1" w:rsidRDefault="00BA16D1" w:rsidP="00BA16D1">
      <w:pPr>
        <w:spacing w:after="0" w:line="240" w:lineRule="auto"/>
        <w:jc w:val="both"/>
        <w:rPr>
          <w:rFonts w:ascii="Calibri" w:eastAsia="Times New Roman" w:hAnsi="Calibri" w:cs="Times New Roman"/>
          <w:sz w:val="30"/>
          <w:szCs w:val="30"/>
          <w:u w:val="single"/>
          <w:lang w:eastAsia="pl-PL"/>
        </w:rPr>
      </w:pPr>
    </w:p>
    <w:p w:rsidR="00BA16D1" w:rsidRDefault="00BA16D1" w:rsidP="00BA16D1">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BA16D1" w:rsidRDefault="00BA16D1" w:rsidP="00BA16D1">
      <w:pPr>
        <w:spacing w:after="0" w:line="240" w:lineRule="auto"/>
        <w:jc w:val="both"/>
        <w:rPr>
          <w:rFonts w:eastAsia="Times New Roman" w:cs="Times New Roman"/>
          <w:sz w:val="28"/>
          <w:szCs w:val="28"/>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-19,8 %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-19,8 %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-16,4 %</w:t>
            </w:r>
          </w:p>
        </w:tc>
      </w:tr>
    </w:tbl>
    <w:p w:rsidR="00BA16D1" w:rsidRDefault="00BA16D1" w:rsidP="00BA16D1">
      <w:pPr>
        <w:spacing w:after="0" w:line="240" w:lineRule="auto"/>
        <w:jc w:val="both"/>
        <w:rPr>
          <w:rFonts w:ascii="Calibri" w:eastAsia="Times New Roman" w:hAnsi="Calibri" w:cs="Times New Roman"/>
          <w:sz w:val="26"/>
          <w:szCs w:val="26"/>
          <w:u w:val="single"/>
          <w:lang w:eastAsia="pl-PL"/>
        </w:rPr>
      </w:pPr>
    </w:p>
    <w:p w:rsidR="00BA16D1" w:rsidRDefault="00BA16D1" w:rsidP="00BA16D1">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BA16D1" w:rsidRDefault="00BA16D1" w:rsidP="00BA16D1">
      <w:pPr>
        <w:spacing w:after="0" w:line="240" w:lineRule="auto"/>
        <w:jc w:val="both"/>
        <w:rPr>
          <w:rFonts w:eastAsiaTheme="minorEastAsia"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+73,6 %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+73,6 %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-19,9 %</w:t>
            </w:r>
          </w:p>
        </w:tc>
      </w:tr>
    </w:tbl>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-27,8 %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-27,8 %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-20,4 %</w:t>
            </w:r>
          </w:p>
        </w:tc>
      </w:tr>
    </w:tbl>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+5,7 %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+5,7 %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  25,5 %</w:t>
            </w:r>
          </w:p>
        </w:tc>
      </w:tr>
    </w:tbl>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8"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-1,3 %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-19,7  %</w:t>
            </w:r>
          </w:p>
        </w:tc>
      </w:tr>
    </w:tbl>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19" w:history="1">
        <w:r>
          <w:rPr>
            <w:rStyle w:val="Hipercze"/>
            <w:rFonts w:eastAsia="Times New Roman" w:cs="Times New Roman"/>
            <w:lang w:eastAsia="pl-PL"/>
          </w:rPr>
          <w:t>www.analizy-rynkowe.</w:t>
        </w:r>
        <w:proofErr w:type="gramStart"/>
        <w:r>
          <w:rPr>
            <w:rStyle w:val="Hipercze"/>
            <w:rFonts w:eastAsia="Times New Roman" w:cs="Times New Roman"/>
            <w:lang w:eastAsia="pl-PL"/>
          </w:rPr>
          <w:t>pl</w:t>
        </w:r>
      </w:hyperlink>
      <w:r>
        <w:rPr>
          <w:rFonts w:eastAsia="Times New Roman" w:cs="Times New Roman"/>
          <w:lang w:eastAsia="pl-PL"/>
        </w:rPr>
        <w:t>na  stronie</w:t>
      </w:r>
      <w:proofErr w:type="gramEnd"/>
      <w:r>
        <w:rPr>
          <w:rFonts w:eastAsia="Times New Roman" w:cs="Times New Roman"/>
          <w:lang w:eastAsia="pl-PL"/>
        </w:rPr>
        <w:t xml:space="preserve"> internetowej </w:t>
      </w:r>
      <w:hyperlink r:id="rId2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2015 roku do 8 stycznia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08.012016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2,84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-15,0 %0</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-15,0 %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1 725,14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-28,6 %</w:t>
            </w:r>
          </w:p>
        </w:tc>
      </w:tr>
    </w:tbl>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2015 roku </w:t>
      </w:r>
      <w:r>
        <w:rPr>
          <w:rFonts w:eastAsia="Times New Roman" w:cs="Times New Roman"/>
          <w:lang w:eastAsia="pl-PL"/>
        </w:rPr>
        <w:t xml:space="preserve">do 29 stycznia 2016 roku  </w:t>
      </w:r>
      <w:r>
        <w:rPr>
          <w:rFonts w:eastAsia="Times New Roman" w:cs="Times New Roman"/>
          <w:sz w:val="26"/>
          <w:szCs w:val="26"/>
          <w:lang w:eastAsia="pl-PL"/>
        </w:rPr>
        <w:t xml:space="preserve">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29.01.2016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0,78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-29,7 %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-29,7 %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1 780,25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-26,3 %</w:t>
            </w:r>
          </w:p>
        </w:tc>
      </w:tr>
    </w:tbl>
    <w:p w:rsidR="00BA16D1" w:rsidRDefault="00BA16D1" w:rsidP="00BA16D1">
      <w:pPr>
        <w:spacing w:after="0" w:line="240" w:lineRule="auto"/>
        <w:jc w:val="both"/>
        <w:rPr>
          <w:rFonts w:eastAsiaTheme="minorEastAsia" w:cs="Times New Roman"/>
          <w:lang w:eastAsia="pl-PL"/>
        </w:rPr>
      </w:pPr>
    </w:p>
    <w:p w:rsidR="00BA16D1" w:rsidRDefault="00BA16D1" w:rsidP="00BA16D1">
      <w:pPr>
        <w:spacing w:after="0" w:line="240" w:lineRule="auto"/>
        <w:jc w:val="both"/>
        <w:rPr>
          <w:rFonts w:eastAsiaTheme="minorEastAsia" w:cs="Times New Roman"/>
          <w:lang w:eastAsia="pl-PL"/>
        </w:rPr>
      </w:pPr>
    </w:p>
    <w:p w:rsidR="00BA16D1" w:rsidRPr="00052A1B" w:rsidRDefault="00BA16D1" w:rsidP="00BA16D1">
      <w:pPr>
        <w:spacing w:after="0" w:line="240" w:lineRule="auto"/>
        <w:jc w:val="both"/>
        <w:rPr>
          <w:rFonts w:eastAsia="Times New Roman" w:cs="Times New Roman"/>
          <w:sz w:val="30"/>
          <w:szCs w:val="30"/>
          <w:lang w:eastAsia="pl-PL"/>
        </w:rPr>
      </w:pPr>
      <w:r w:rsidRPr="00052A1B">
        <w:rPr>
          <w:rFonts w:eastAsia="Times New Roman" w:cs="Times New Roman"/>
          <w:sz w:val="30"/>
          <w:szCs w:val="30"/>
          <w:lang w:eastAsia="pl-PL"/>
        </w:rPr>
        <w:t xml:space="preserve">Tabela: Procentowa zmiana ceny akcji spółki, której akcje zostały umieszczone 10 lutego 2015 roku </w:t>
      </w:r>
      <w:proofErr w:type="gramStart"/>
      <w:r w:rsidRPr="00052A1B">
        <w:rPr>
          <w:rFonts w:eastAsia="Times New Roman" w:cs="Times New Roman"/>
          <w:sz w:val="30"/>
          <w:szCs w:val="30"/>
          <w:lang w:eastAsia="pl-PL"/>
        </w:rPr>
        <w:t>na  stronie</w:t>
      </w:r>
      <w:proofErr w:type="gramEnd"/>
      <w:r w:rsidRPr="00052A1B">
        <w:rPr>
          <w:rFonts w:eastAsia="Times New Roman" w:cs="Times New Roman"/>
          <w:sz w:val="30"/>
          <w:szCs w:val="30"/>
          <w:lang w:eastAsia="pl-PL"/>
        </w:rPr>
        <w:t xml:space="preserve"> internetowej </w:t>
      </w:r>
      <w:hyperlink r:id="rId22" w:history="1">
        <w:r w:rsidRPr="00052A1B">
          <w:rPr>
            <w:rStyle w:val="Hipercze"/>
            <w:rFonts w:eastAsia="Times New Roman" w:cs="Times New Roman"/>
            <w:sz w:val="30"/>
            <w:szCs w:val="30"/>
            <w:lang w:eastAsia="pl-PL"/>
          </w:rPr>
          <w:t>www.analizy-rynkowe.pl</w:t>
        </w:r>
      </w:hyperlink>
      <w:r w:rsidRPr="00052A1B">
        <w:rPr>
          <w:rFonts w:eastAsia="Times New Roman" w:cs="Times New Roman"/>
          <w:sz w:val="30"/>
          <w:szCs w:val="30"/>
          <w:lang w:eastAsia="pl-PL"/>
        </w:rPr>
        <w:t xml:space="preserve"> w </w:t>
      </w:r>
      <w:proofErr w:type="gramStart"/>
      <w:r w:rsidRPr="00052A1B">
        <w:rPr>
          <w:rFonts w:eastAsia="Times New Roman" w:cs="Times New Roman"/>
          <w:sz w:val="30"/>
          <w:szCs w:val="30"/>
          <w:lang w:eastAsia="pl-PL"/>
        </w:rPr>
        <w:t>rubryce  ,,Wykres</w:t>
      </w:r>
      <w:proofErr w:type="gramEnd"/>
      <w:r w:rsidRPr="00052A1B">
        <w:rPr>
          <w:rFonts w:eastAsia="Times New Roman" w:cs="Times New Roman"/>
          <w:sz w:val="30"/>
          <w:szCs w:val="30"/>
          <w:lang w:eastAsia="pl-PL"/>
        </w:rPr>
        <w:t xml:space="preserve"> do przemyślenia” w okresie od 9 lutego 2015 roku do 9 lutego 2016 roku  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09.02.2016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4,00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-11,1 %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1 790,87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-24,5%</w:t>
            </w:r>
          </w:p>
        </w:tc>
      </w:tr>
    </w:tbl>
    <w:p w:rsidR="00BA16D1" w:rsidRDefault="00BA16D1" w:rsidP="00BA16D1">
      <w:pPr>
        <w:spacing w:after="0" w:line="240" w:lineRule="auto"/>
        <w:jc w:val="both"/>
        <w:rPr>
          <w:rFonts w:eastAsiaTheme="minorEastAsia" w:cs="Times New Roman"/>
          <w:lang w:eastAsia="pl-PL"/>
        </w:rPr>
      </w:pPr>
    </w:p>
    <w:p w:rsidR="00BA16D1" w:rsidRDefault="00BA16D1" w:rsidP="00BA16D1">
      <w:pPr>
        <w:spacing w:after="0" w:line="240" w:lineRule="auto"/>
        <w:jc w:val="both"/>
        <w:rPr>
          <w:rFonts w:eastAsia="Times New Roman" w:cs="Times New Roman"/>
          <w:lang w:eastAsia="pl-PL"/>
        </w:rPr>
      </w:pPr>
      <w:r>
        <w:rPr>
          <w:rFonts w:eastAsia="Times New Roman" w:cs="Times New Roman"/>
          <w:sz w:val="30"/>
          <w:szCs w:val="30"/>
          <w:lang w:eastAsia="pl-PL"/>
        </w:rPr>
        <w:t xml:space="preserve">Tabela: Procentowa zmiana ceny akcji spółki, której akcje zostały umieszczone 3 marca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3"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2 marca 2015 roku do 2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02.03.2016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14,38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+90,0 %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+90,0 %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1 844,57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-21,8 %</w:t>
            </w:r>
          </w:p>
        </w:tc>
      </w:tr>
    </w:tbl>
    <w:p w:rsidR="00BA16D1" w:rsidRPr="000161EC" w:rsidRDefault="00BA16D1" w:rsidP="00BA16D1">
      <w:pPr>
        <w:spacing w:after="0" w:line="240" w:lineRule="auto"/>
        <w:jc w:val="both"/>
        <w:rPr>
          <w:rFonts w:ascii="Calibri" w:eastAsia="Times New Roman" w:hAnsi="Calibri" w:cs="Times New Roman"/>
          <w:sz w:val="90"/>
          <w:szCs w:val="90"/>
          <w:u w:val="single"/>
          <w:lang w:eastAsia="pl-PL"/>
        </w:rPr>
      </w:pPr>
      <w:r w:rsidRPr="000161EC">
        <w:rPr>
          <w:rFonts w:ascii="Calibri" w:eastAsia="Times New Roman" w:hAnsi="Calibri" w:cs="Times New Roman"/>
          <w:sz w:val="90"/>
          <w:szCs w:val="90"/>
          <w:u w:val="single"/>
          <w:lang w:eastAsia="pl-PL"/>
        </w:rPr>
        <w:lastRenderedPageBreak/>
        <w:t>Wniosek końcowy z powyższych rozważań brzmi następująco:</w:t>
      </w:r>
    </w:p>
    <w:p w:rsidR="00BA16D1" w:rsidRPr="000161EC" w:rsidRDefault="00BA16D1" w:rsidP="00BA16D1">
      <w:pPr>
        <w:spacing w:after="0" w:line="240" w:lineRule="auto"/>
        <w:jc w:val="both"/>
        <w:rPr>
          <w:rFonts w:ascii="Calibri" w:eastAsia="Times New Roman" w:hAnsi="Calibri" w:cs="Times New Roman"/>
          <w:color w:val="FF0000"/>
          <w:sz w:val="90"/>
          <w:szCs w:val="90"/>
          <w:u w:val="single"/>
          <w:lang w:eastAsia="pl-PL"/>
        </w:rPr>
      </w:pPr>
    </w:p>
    <w:p w:rsidR="00BA16D1" w:rsidRPr="000161EC" w:rsidRDefault="00BA16D1" w:rsidP="00BA16D1">
      <w:pPr>
        <w:spacing w:after="0" w:line="240" w:lineRule="auto"/>
        <w:jc w:val="both"/>
        <w:rPr>
          <w:rFonts w:ascii="Calibri" w:eastAsia="Times New Roman" w:hAnsi="Calibri" w:cs="Times New Roman"/>
          <w:b/>
          <w:color w:val="000000" w:themeColor="text1"/>
          <w:sz w:val="70"/>
          <w:szCs w:val="70"/>
          <w:u w:val="single"/>
          <w:lang w:eastAsia="pl-PL"/>
        </w:rPr>
      </w:pPr>
      <w:r w:rsidRPr="000161EC">
        <w:rPr>
          <w:rFonts w:ascii="Calibri" w:eastAsia="Times New Roman" w:hAnsi="Calibri" w:cs="Times New Roman"/>
          <w:color w:val="000000"/>
          <w:sz w:val="70"/>
          <w:szCs w:val="70"/>
          <w:lang w:eastAsia="pl-PL"/>
        </w:rPr>
        <w:t xml:space="preserve">Średnia procentowa zmiana kursu akcji spółki po wprowadzeniu jej do rubryki </w:t>
      </w:r>
      <w:proofErr w:type="gramStart"/>
      <w:r w:rsidRPr="000161EC">
        <w:rPr>
          <w:rFonts w:ascii="Calibri" w:eastAsia="Times New Roman" w:hAnsi="Calibri" w:cs="Times New Roman"/>
          <w:b/>
          <w:color w:val="FF0000"/>
          <w:sz w:val="70"/>
          <w:szCs w:val="70"/>
          <w:lang w:eastAsia="pl-PL"/>
        </w:rPr>
        <w:t>,,</w:t>
      </w:r>
      <w:proofErr w:type="gramEnd"/>
      <w:r w:rsidRPr="000161EC">
        <w:rPr>
          <w:rFonts w:ascii="Calibri" w:eastAsia="Times New Roman" w:hAnsi="Calibri" w:cs="Times New Roman"/>
          <w:b/>
          <w:color w:val="FF0000"/>
          <w:sz w:val="70"/>
          <w:szCs w:val="70"/>
          <w:lang w:eastAsia="pl-PL"/>
        </w:rPr>
        <w:t>Wykres do przemyślenia”</w:t>
      </w:r>
      <w:r w:rsidRPr="000161EC">
        <w:rPr>
          <w:rFonts w:ascii="Calibri" w:eastAsia="Times New Roman" w:hAnsi="Calibri" w:cs="Times New Roman"/>
          <w:color w:val="000000"/>
          <w:sz w:val="70"/>
          <w:szCs w:val="70"/>
          <w:lang w:eastAsia="pl-PL"/>
        </w:rPr>
        <w:t xml:space="preserve"> w okresie 12 pierwszych miesięcy po jej wprowadzeniu do tej rubryki wynosiła </w:t>
      </w:r>
      <w:r w:rsidRPr="000161EC">
        <w:rPr>
          <w:rFonts w:ascii="Calibri" w:eastAsia="Times New Roman" w:hAnsi="Calibri" w:cs="Times New Roman"/>
          <w:b/>
          <w:color w:val="FF0000"/>
          <w:sz w:val="70"/>
          <w:szCs w:val="70"/>
          <w:lang w:eastAsia="pl-PL"/>
        </w:rPr>
        <w:t>plus 14,2 %.</w:t>
      </w:r>
      <w:r w:rsidRPr="000161EC">
        <w:rPr>
          <w:rFonts w:ascii="Calibri" w:eastAsia="Times New Roman" w:hAnsi="Calibri" w:cs="Times New Roman"/>
          <w:color w:val="FF0000"/>
          <w:sz w:val="70"/>
          <w:szCs w:val="70"/>
          <w:lang w:eastAsia="pl-PL"/>
        </w:rPr>
        <w:t xml:space="preserve"> </w:t>
      </w:r>
      <w:r w:rsidRPr="000161EC">
        <w:rPr>
          <w:rFonts w:ascii="Calibri" w:eastAsia="Times New Roman" w:hAnsi="Calibri" w:cs="Times New Roman"/>
          <w:color w:val="000000" w:themeColor="text1"/>
          <w:sz w:val="70"/>
          <w:szCs w:val="70"/>
          <w:lang w:eastAsia="pl-PL"/>
        </w:rPr>
        <w:t xml:space="preserve">Średnia procentowa zmiana indeksu </w:t>
      </w:r>
      <w:r w:rsidRPr="000161EC">
        <w:rPr>
          <w:rFonts w:ascii="Calibri" w:eastAsia="Times New Roman" w:hAnsi="Calibri" w:cs="Times New Roman"/>
          <w:color w:val="000000" w:themeColor="text1"/>
          <w:sz w:val="70"/>
          <w:szCs w:val="70"/>
          <w:u w:val="single"/>
          <w:lang w:eastAsia="pl-PL"/>
        </w:rPr>
        <w:t xml:space="preserve">WIG20 </w:t>
      </w:r>
      <w:r w:rsidRPr="000161EC">
        <w:rPr>
          <w:rFonts w:ascii="Calibri" w:eastAsia="Times New Roman" w:hAnsi="Calibri" w:cs="Times New Roman"/>
          <w:color w:val="000000" w:themeColor="text1"/>
          <w:sz w:val="70"/>
          <w:szCs w:val="70"/>
          <w:lang w:eastAsia="pl-PL"/>
        </w:rPr>
        <w:t xml:space="preserve">w tym okresie wynosiła </w:t>
      </w:r>
      <w:r w:rsidRPr="000161EC">
        <w:rPr>
          <w:rFonts w:ascii="Calibri" w:eastAsia="Times New Roman" w:hAnsi="Calibri" w:cs="Times New Roman"/>
          <w:b/>
          <w:color w:val="000000" w:themeColor="text1"/>
          <w:sz w:val="70"/>
          <w:szCs w:val="70"/>
          <w:u w:val="single"/>
          <w:lang w:eastAsia="pl-PL"/>
        </w:rPr>
        <w:t xml:space="preserve">minus 17,4 %. </w:t>
      </w:r>
    </w:p>
    <w:p w:rsidR="00BA16D1" w:rsidRDefault="00BA16D1" w:rsidP="00BA16D1">
      <w:pPr>
        <w:spacing w:after="0" w:line="240" w:lineRule="auto"/>
        <w:jc w:val="both"/>
        <w:rPr>
          <w:rFonts w:ascii="Calibri" w:eastAsia="Times New Roman" w:hAnsi="Calibri" w:cs="Times New Roman"/>
          <w:b/>
          <w:color w:val="000000" w:themeColor="text1"/>
          <w:sz w:val="42"/>
          <w:szCs w:val="42"/>
          <w:u w:val="single"/>
          <w:lang w:eastAsia="pl-PL"/>
        </w:rPr>
      </w:pPr>
    </w:p>
    <w:p w:rsidR="00BA16D1" w:rsidRDefault="00BA16D1" w:rsidP="00BA16D1">
      <w:pPr>
        <w:shd w:val="clear" w:color="auto" w:fill="FFFF00"/>
        <w:spacing w:after="0" w:line="240" w:lineRule="auto"/>
        <w:jc w:val="center"/>
        <w:rPr>
          <w:rFonts w:eastAsia="Times New Roman" w:cs="Times New Roman"/>
          <w:b/>
          <w:sz w:val="96"/>
          <w:szCs w:val="96"/>
          <w:lang w:eastAsia="pl-PL"/>
        </w:rPr>
      </w:pPr>
      <w:r>
        <w:rPr>
          <w:rFonts w:eastAsia="Times New Roman" w:cs="Times New Roman"/>
          <w:b/>
          <w:sz w:val="96"/>
          <w:szCs w:val="96"/>
          <w:lang w:eastAsia="pl-PL"/>
        </w:rPr>
        <w:lastRenderedPageBreak/>
        <w:t xml:space="preserve">Spółki dla których nie można jeszcze obliczyć procentowej zmiany kursu akcji po wprowadzeniu jej do rubryki </w:t>
      </w:r>
      <w:proofErr w:type="gramStart"/>
      <w:r>
        <w:rPr>
          <w:rFonts w:eastAsia="Times New Roman" w:cs="Times New Roman"/>
          <w:b/>
          <w:sz w:val="96"/>
          <w:szCs w:val="96"/>
          <w:lang w:eastAsia="pl-PL"/>
        </w:rPr>
        <w:t>,,</w:t>
      </w:r>
      <w:proofErr w:type="gramEnd"/>
      <w:r>
        <w:rPr>
          <w:rFonts w:eastAsia="Times New Roman" w:cs="Times New Roman"/>
          <w:b/>
          <w:sz w:val="96"/>
          <w:szCs w:val="96"/>
          <w:lang w:eastAsia="pl-PL"/>
        </w:rPr>
        <w:t xml:space="preserve">Wykres do przemyślenia” w okresie 12 pierwszych miesięcy po jej wprowadzeniu do tej rubryki </w:t>
      </w:r>
    </w:p>
    <w:p w:rsidR="00BA16D1" w:rsidRDefault="00BA16D1" w:rsidP="00BA16D1">
      <w:pPr>
        <w:spacing w:after="0" w:line="240" w:lineRule="auto"/>
        <w:jc w:val="both"/>
        <w:rPr>
          <w:rFonts w:eastAsia="Times New Roman" w:cs="Times New Roman"/>
          <w:b/>
          <w:sz w:val="26"/>
          <w:szCs w:val="26"/>
          <w:lang w:eastAsia="pl-PL"/>
        </w:rPr>
      </w:pPr>
    </w:p>
    <w:p w:rsidR="00BA16D1" w:rsidRDefault="00BA16D1" w:rsidP="00BA16D1">
      <w:pPr>
        <w:spacing w:after="0" w:line="240" w:lineRule="auto"/>
        <w:jc w:val="both"/>
        <w:rPr>
          <w:rFonts w:eastAsia="Times New Roman" w:cs="Times New Roman"/>
          <w:b/>
          <w:sz w:val="26"/>
          <w:szCs w:val="26"/>
          <w:lang w:eastAsia="pl-PL"/>
        </w:rPr>
      </w:pPr>
    </w:p>
    <w:p w:rsidR="00BA16D1" w:rsidRDefault="00BA16D1" w:rsidP="00BA16D1">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4 marca 2016 roku</w:t>
      </w:r>
    </w:p>
    <w:p w:rsidR="00BA16D1" w:rsidRDefault="00BA16D1" w:rsidP="00BA16D1">
      <w:pPr>
        <w:spacing w:after="0" w:line="240" w:lineRule="auto"/>
        <w:jc w:val="both"/>
        <w:rPr>
          <w:rFonts w:eastAsia="Times New Roman" w:cs="Times New Roman"/>
          <w:lang w:eastAsia="pl-PL"/>
        </w:rPr>
      </w:pPr>
      <w:r>
        <w:rPr>
          <w:rFonts w:eastAsia="Times New Roman" w:cs="Times New Roman"/>
          <w:sz w:val="30"/>
          <w:szCs w:val="30"/>
          <w:lang w:eastAsia="pl-PL"/>
        </w:rPr>
        <w:lastRenderedPageBreak/>
        <w:t xml:space="preserve">Tabela: Procentowa zmiana ceny akcji spółki, której akcje zostały umieszczone 9 kwietnia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4"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kwietnia 2015 roku do 4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1,22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-1,6%</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-22,7 %</w:t>
            </w:r>
          </w:p>
        </w:tc>
      </w:tr>
    </w:tbl>
    <w:p w:rsidR="00BA16D1" w:rsidRDefault="00BA16D1" w:rsidP="00BA16D1">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5 maja 2015 roku </w:t>
      </w:r>
      <w:proofErr w:type="gramStart"/>
      <w:r>
        <w:rPr>
          <w:rFonts w:eastAsia="Times New Roman" w:cs="Times New Roman"/>
          <w:sz w:val="30"/>
          <w:szCs w:val="30"/>
          <w:lang w:eastAsia="pl-PL"/>
        </w:rPr>
        <w:t>na  stronie</w:t>
      </w:r>
      <w:proofErr w:type="gramEnd"/>
      <w:r>
        <w:rPr>
          <w:rFonts w:eastAsia="Times New Roman" w:cs="Times New Roman"/>
          <w:sz w:val="30"/>
          <w:szCs w:val="30"/>
          <w:lang w:eastAsia="pl-PL"/>
        </w:rPr>
        <w:t xml:space="preserve"> internetowej </w:t>
      </w:r>
      <w:hyperlink r:id="rId25"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4 maja 2015 roku do 4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10,75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-3,2  %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2 523,09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-25,7 %</w:t>
            </w:r>
          </w:p>
        </w:tc>
      </w:tr>
    </w:tbl>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 akcji trzech spółek, których akcje zostały umieszczone w dniu 1 lipca na stronie internetowej </w:t>
      </w:r>
      <w:hyperlink r:id="rId26" w:history="1">
        <w:r>
          <w:rPr>
            <w:rStyle w:val="Hipercze"/>
            <w:rFonts w:eastAsia="Times New Roman" w:cs="Times New Roman"/>
            <w:sz w:val="32"/>
            <w:szCs w:val="32"/>
            <w:lang w:eastAsia="pl-PL"/>
          </w:rPr>
          <w:t>http://analizy-rynkowe.pl/</w:t>
        </w:r>
      </w:hyperlink>
      <w:r>
        <w:rPr>
          <w:rFonts w:eastAsia="Times New Roman" w:cs="Times New Roman"/>
          <w:sz w:val="32"/>
          <w:szCs w:val="32"/>
          <w:lang w:eastAsia="pl-PL"/>
        </w:rPr>
        <w:t xml:space="preserve"> w rubryce ,,Wykres do przemyślenia” w okresie od 30 czerwca 2015 roku </w:t>
      </w:r>
      <w:r>
        <w:rPr>
          <w:rFonts w:eastAsia="Times New Roman" w:cs="Times New Roman"/>
          <w:sz w:val="30"/>
          <w:szCs w:val="30"/>
          <w:lang w:eastAsia="pl-PL"/>
        </w:rPr>
        <w:t xml:space="preserve">do 4 marca 2016 </w:t>
      </w:r>
      <w:proofErr w:type="gramStart"/>
      <w:r>
        <w:rPr>
          <w:rFonts w:eastAsia="Times New Roman" w:cs="Times New Roman"/>
          <w:sz w:val="30"/>
          <w:szCs w:val="30"/>
          <w:lang w:eastAsia="pl-PL"/>
        </w:rPr>
        <w:t xml:space="preserve">roku  </w:t>
      </w:r>
      <w:r>
        <w:rPr>
          <w:rFonts w:eastAsia="Times New Roman" w:cs="Times New Roman"/>
          <w:sz w:val="32"/>
          <w:szCs w:val="32"/>
          <w:lang w:eastAsia="pl-PL"/>
        </w:rPr>
        <w:t>oraz</w:t>
      </w:r>
      <w:proofErr w:type="gramEnd"/>
      <w:r>
        <w:rPr>
          <w:rFonts w:eastAsia="Times New Roman" w:cs="Times New Roman"/>
          <w:sz w:val="32"/>
          <w:szCs w:val="32"/>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30.06.2015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TIM</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9,49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8,80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-7,3 %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Unima</w:t>
            </w:r>
            <w:proofErr w:type="spellEnd"/>
            <w:proofErr w:type="gramEnd"/>
            <w:r>
              <w:rPr>
                <w:rFonts w:eastAsiaTheme="minorEastAsia"/>
                <w:lang w:eastAsia="pl-PL"/>
              </w:rPr>
              <w:t xml:space="preserve"> 2000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2,58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2,42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-6,2 %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Variant</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1,77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1,68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-6,2  %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2317,84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-19,2 %</w:t>
            </w:r>
          </w:p>
        </w:tc>
      </w:tr>
    </w:tbl>
    <w:p w:rsidR="00BA16D1" w:rsidRDefault="00BA16D1" w:rsidP="00BA16D1">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lastRenderedPageBreak/>
        <w:t xml:space="preserve">Tabela: Procentowa zmiana ceny akcji spółki, której akcje zostały umieszczone 21 lipca 2015 roku </w:t>
      </w:r>
      <w:proofErr w:type="gramStart"/>
      <w:r>
        <w:rPr>
          <w:rFonts w:eastAsia="Times New Roman" w:cs="Times New Roman"/>
          <w:sz w:val="28"/>
          <w:szCs w:val="28"/>
          <w:lang w:eastAsia="pl-PL"/>
        </w:rPr>
        <w:t>na  stronie</w:t>
      </w:r>
      <w:proofErr w:type="gramEnd"/>
      <w:r>
        <w:rPr>
          <w:rFonts w:eastAsia="Times New Roman" w:cs="Times New Roman"/>
          <w:sz w:val="28"/>
          <w:szCs w:val="28"/>
          <w:lang w:eastAsia="pl-PL"/>
        </w:rPr>
        <w:t xml:space="preserve"> internetowej </w:t>
      </w:r>
      <w:hyperlink r:id="rId27" w:history="1">
        <w:r>
          <w:rPr>
            <w:rStyle w:val="Hipercze"/>
            <w:rFonts w:eastAsia="Times New Roman" w:cs="Times New Roman"/>
            <w:sz w:val="28"/>
            <w:szCs w:val="28"/>
            <w:lang w:eastAsia="pl-PL"/>
          </w:rPr>
          <w:t>www.analizy-rynkowe.pl</w:t>
        </w:r>
      </w:hyperlink>
      <w:r>
        <w:rPr>
          <w:rFonts w:eastAsia="Times New Roman" w:cs="Times New Roman"/>
          <w:sz w:val="28"/>
          <w:szCs w:val="28"/>
          <w:lang w:eastAsia="pl-PL"/>
        </w:rPr>
        <w:t xml:space="preserve"> w </w:t>
      </w:r>
      <w:proofErr w:type="gramStart"/>
      <w:r>
        <w:rPr>
          <w:rFonts w:eastAsia="Times New Roman" w:cs="Times New Roman"/>
          <w:sz w:val="28"/>
          <w:szCs w:val="28"/>
          <w:lang w:eastAsia="pl-PL"/>
        </w:rPr>
        <w:t>rubryce  ,,Wykres</w:t>
      </w:r>
      <w:proofErr w:type="gramEnd"/>
      <w:r>
        <w:rPr>
          <w:rFonts w:eastAsia="Times New Roman" w:cs="Times New Roman"/>
          <w:sz w:val="28"/>
          <w:szCs w:val="28"/>
          <w:lang w:eastAsia="pl-PL"/>
        </w:rPr>
        <w:t xml:space="preserve"> do przemyślenia” w okresie od 21 lipca 2015 roku </w:t>
      </w:r>
      <w:r>
        <w:rPr>
          <w:rFonts w:eastAsia="Times New Roman" w:cs="Times New Roman"/>
          <w:sz w:val="30"/>
          <w:szCs w:val="30"/>
          <w:lang w:eastAsia="pl-PL"/>
        </w:rPr>
        <w:t xml:space="preserve">do 4 marca 2016 roku  </w:t>
      </w:r>
      <w:r>
        <w:rPr>
          <w:rFonts w:eastAsia="Times New Roman" w:cs="Times New Roman"/>
          <w:sz w:val="28"/>
          <w:szCs w:val="28"/>
          <w:lang w:eastAsia="pl-PL"/>
        </w:rPr>
        <w:t xml:space="preserve">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21.07.2015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Ropczyce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20,80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21,80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+4,8 %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2 444,63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-16,5  %</w:t>
            </w:r>
          </w:p>
        </w:tc>
      </w:tr>
    </w:tbl>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23 lipca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28"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22 lipca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22.07.2015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Eurocash</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41,26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52,85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+28,1 %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+28,1%</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2 185,83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-14,3 %</w:t>
            </w:r>
          </w:p>
        </w:tc>
      </w:tr>
    </w:tbl>
    <w:p w:rsidR="00BA16D1" w:rsidRDefault="00BA16D1" w:rsidP="00BA16D1">
      <w:pPr>
        <w:spacing w:after="0" w:line="240" w:lineRule="auto"/>
        <w:jc w:val="both"/>
        <w:rPr>
          <w:rFonts w:eastAsia="Times New Roman" w:cs="Times New Roman"/>
          <w:lang w:eastAsia="pl-PL"/>
        </w:rPr>
      </w:pPr>
    </w:p>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3 września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29"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 września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02.09.2015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Agora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11,20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11,54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+3,0 %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2 107,58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-11,1%</w:t>
            </w:r>
          </w:p>
        </w:tc>
      </w:tr>
    </w:tbl>
    <w:p w:rsidR="00BA16D1" w:rsidRDefault="00BA16D1" w:rsidP="00BA16D1">
      <w:pPr>
        <w:spacing w:after="0" w:line="240" w:lineRule="auto"/>
        <w:jc w:val="both"/>
        <w:rPr>
          <w:rFonts w:eastAsia="Times New Roman" w:cs="Times New Roman"/>
          <w:sz w:val="32"/>
          <w:szCs w:val="32"/>
          <w:lang w:eastAsia="pl-PL"/>
        </w:rPr>
      </w:pPr>
    </w:p>
    <w:p w:rsidR="00BA16D1" w:rsidRDefault="00BA16D1" w:rsidP="00BA16D1">
      <w:pPr>
        <w:spacing w:after="0" w:line="240" w:lineRule="auto"/>
        <w:jc w:val="both"/>
        <w:rPr>
          <w:rFonts w:eastAsia="Times New Roman" w:cs="Times New Roman"/>
          <w:sz w:val="32"/>
          <w:szCs w:val="32"/>
          <w:lang w:eastAsia="pl-PL"/>
        </w:rPr>
      </w:pPr>
    </w:p>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lastRenderedPageBreak/>
        <w:t xml:space="preserve">Tabela: Procentowa zmiana ceny akcji spółki, której akcje zostały umieszczone 4 września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0"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3 września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03.09.2015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BZWBK</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309,00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290,00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-6,1 %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2 155,07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-13,1 %</w:t>
            </w:r>
          </w:p>
        </w:tc>
      </w:tr>
    </w:tbl>
    <w:p w:rsidR="00BA16D1" w:rsidRDefault="00BA16D1" w:rsidP="00BA16D1">
      <w:pPr>
        <w:spacing w:after="0" w:line="240" w:lineRule="auto"/>
        <w:jc w:val="both"/>
        <w:rPr>
          <w:rFonts w:eastAsia="Times New Roman" w:cs="Times New Roman"/>
          <w:sz w:val="26"/>
          <w:szCs w:val="26"/>
          <w:lang w:eastAsia="pl-PL"/>
        </w:rPr>
      </w:pPr>
    </w:p>
    <w:p w:rsidR="00BA16D1" w:rsidRDefault="00BA16D1" w:rsidP="00BA16D1">
      <w:pPr>
        <w:spacing w:after="0" w:line="240" w:lineRule="auto"/>
        <w:jc w:val="both"/>
        <w:rPr>
          <w:rFonts w:eastAsia="Times New Roman" w:cs="Times New Roman"/>
          <w:sz w:val="30"/>
          <w:szCs w:val="30"/>
          <w:lang w:eastAsia="pl-PL"/>
        </w:rPr>
      </w:pPr>
      <w:r>
        <w:rPr>
          <w:rFonts w:eastAsia="Times New Roman" w:cs="Times New Roman"/>
          <w:sz w:val="30"/>
          <w:szCs w:val="30"/>
          <w:lang w:eastAsia="pl-PL"/>
        </w:rPr>
        <w:t xml:space="preserve">Tabela: Procentowa zmiana ceny akcji spółki, której akcje zostały umieszczone 9 października na stronie internetowej </w:t>
      </w:r>
      <w:hyperlink r:id="rId31" w:history="1">
        <w:r>
          <w:rPr>
            <w:rStyle w:val="Hipercze"/>
            <w:rFonts w:eastAsia="Times New Roman" w:cs="Times New Roman"/>
            <w:sz w:val="30"/>
            <w:szCs w:val="30"/>
            <w:lang w:eastAsia="pl-PL"/>
          </w:rPr>
          <w:t>www.analizy-rynkowe.pl</w:t>
        </w:r>
      </w:hyperlink>
      <w:r>
        <w:rPr>
          <w:rFonts w:eastAsia="Times New Roman" w:cs="Times New Roman"/>
          <w:sz w:val="30"/>
          <w:szCs w:val="30"/>
          <w:lang w:eastAsia="pl-PL"/>
        </w:rPr>
        <w:t xml:space="preserve"> w </w:t>
      </w:r>
      <w:proofErr w:type="gramStart"/>
      <w:r>
        <w:rPr>
          <w:rFonts w:eastAsia="Times New Roman" w:cs="Times New Roman"/>
          <w:sz w:val="30"/>
          <w:szCs w:val="30"/>
          <w:lang w:eastAsia="pl-PL"/>
        </w:rPr>
        <w:t>rubryce  ,,Wykres</w:t>
      </w:r>
      <w:proofErr w:type="gramEnd"/>
      <w:r>
        <w:rPr>
          <w:rFonts w:eastAsia="Times New Roman" w:cs="Times New Roman"/>
          <w:sz w:val="30"/>
          <w:szCs w:val="30"/>
          <w:lang w:eastAsia="pl-PL"/>
        </w:rPr>
        <w:t xml:space="preserve"> do przemyślenia” w okresie od 8 października 2015 roku do 4 marca 2016 roku  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08.10.2015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Netmedia</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5,69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5,85zł.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+2,8 %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312,70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257,80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 -17,6 %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-7,4 %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2 126,48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-11,9 %</w:t>
            </w:r>
          </w:p>
        </w:tc>
      </w:tr>
    </w:tbl>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14 października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2"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13 października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13.10.2015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Cyfrowy Polsat</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24,93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23,42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-6,1 %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2 123,43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-11,8 %</w:t>
            </w:r>
          </w:p>
        </w:tc>
      </w:tr>
    </w:tbl>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lastRenderedPageBreak/>
        <w:t xml:space="preserve">Tabela: Procentowa zmiana ceny akcji spółki, której akcje zostały umieszczone 17 października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3"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13 października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16.10.2015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Dębica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85,40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89,70</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+5,0 %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+5,0 %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2 121,94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-11,7 %</w:t>
            </w:r>
          </w:p>
        </w:tc>
      </w:tr>
    </w:tbl>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4 listopada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3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 listopada </w:t>
      </w:r>
      <w:r>
        <w:rPr>
          <w:rFonts w:eastAsia="Times New Roman" w:cs="Times New Roman"/>
          <w:sz w:val="26"/>
          <w:szCs w:val="26"/>
          <w:lang w:eastAsia="pl-PL"/>
        </w:rPr>
        <w:t xml:space="preserve">2015 roku </w:t>
      </w:r>
      <w:r>
        <w:rPr>
          <w:rFonts w:eastAsia="Times New Roman" w:cs="Times New Roman"/>
          <w:sz w:val="30"/>
          <w:szCs w:val="30"/>
          <w:lang w:eastAsia="pl-PL"/>
        </w:rPr>
        <w:t xml:space="preserve">do 4 marca 2016 roku  </w:t>
      </w:r>
      <w:r>
        <w:rPr>
          <w:rFonts w:eastAsia="Times New Roman" w:cs="Times New Roman"/>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03.11.2015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Alta </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2,19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3,54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+61,6%</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+61,6 %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2 061,38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-9,1 %</w:t>
            </w:r>
          </w:p>
        </w:tc>
      </w:tr>
    </w:tbl>
    <w:p w:rsidR="00BA16D1" w:rsidRDefault="00BA16D1" w:rsidP="00BA16D1">
      <w:pPr>
        <w:spacing w:after="0" w:line="240" w:lineRule="auto"/>
        <w:jc w:val="both"/>
        <w:rPr>
          <w:rFonts w:eastAsia="Times New Roman" w:cs="Times New Roman"/>
          <w:sz w:val="24"/>
          <w:szCs w:val="24"/>
          <w:lang w:eastAsia="pl-PL"/>
        </w:rPr>
      </w:pPr>
    </w:p>
    <w:p w:rsidR="00BA16D1" w:rsidRDefault="00BA16D1" w:rsidP="00BA16D1">
      <w:pPr>
        <w:spacing w:after="0" w:line="240" w:lineRule="auto"/>
        <w:jc w:val="both"/>
        <w:rPr>
          <w:rFonts w:eastAsia="Times New Roman" w:cs="Times New Roman"/>
          <w:sz w:val="24"/>
          <w:szCs w:val="24"/>
          <w:lang w:eastAsia="pl-PL"/>
        </w:rPr>
      </w:pPr>
    </w:p>
    <w:p w:rsidR="00BA16D1" w:rsidRDefault="00BA16D1" w:rsidP="00BA16D1">
      <w:pPr>
        <w:spacing w:after="0" w:line="240" w:lineRule="auto"/>
        <w:jc w:val="both"/>
        <w:rPr>
          <w:rFonts w:eastAsia="Times New Roman" w:cs="Times New Roman"/>
          <w:sz w:val="32"/>
          <w:szCs w:val="32"/>
          <w:lang w:eastAsia="pl-PL"/>
        </w:rPr>
      </w:pPr>
      <w:r>
        <w:rPr>
          <w:rFonts w:eastAsia="Times New Roman" w:cs="Times New Roman"/>
          <w:sz w:val="32"/>
          <w:szCs w:val="32"/>
          <w:lang w:eastAsia="pl-PL"/>
        </w:rPr>
        <w:t xml:space="preserve">Tabela: Procentowa zmiana ceny akcji spółki, której akcje zostały umieszczone 30 listopada 2015 roku </w:t>
      </w:r>
      <w:proofErr w:type="gramStart"/>
      <w:r>
        <w:rPr>
          <w:rFonts w:eastAsia="Times New Roman" w:cs="Times New Roman"/>
          <w:sz w:val="32"/>
          <w:szCs w:val="32"/>
          <w:lang w:eastAsia="pl-PL"/>
        </w:rPr>
        <w:t>na  stronie</w:t>
      </w:r>
      <w:proofErr w:type="gramEnd"/>
      <w:r>
        <w:rPr>
          <w:rFonts w:eastAsia="Times New Roman" w:cs="Times New Roman"/>
          <w:sz w:val="32"/>
          <w:szCs w:val="32"/>
          <w:lang w:eastAsia="pl-PL"/>
        </w:rPr>
        <w:t xml:space="preserve"> internetowej </w:t>
      </w:r>
      <w:hyperlink r:id="rId35" w:history="1">
        <w:r>
          <w:rPr>
            <w:rStyle w:val="Hipercze"/>
            <w:rFonts w:eastAsia="Times New Roman" w:cs="Times New Roman"/>
            <w:sz w:val="32"/>
            <w:szCs w:val="32"/>
            <w:lang w:eastAsia="pl-PL"/>
          </w:rPr>
          <w:t>www.analizy-rynkowe.pl</w:t>
        </w:r>
      </w:hyperlink>
      <w:r>
        <w:rPr>
          <w:rFonts w:eastAsia="Times New Roman" w:cs="Times New Roman"/>
          <w:sz w:val="32"/>
          <w:szCs w:val="32"/>
          <w:lang w:eastAsia="pl-PL"/>
        </w:rPr>
        <w:t xml:space="preserve"> w </w:t>
      </w:r>
      <w:proofErr w:type="gramStart"/>
      <w:r>
        <w:rPr>
          <w:rFonts w:eastAsia="Times New Roman" w:cs="Times New Roman"/>
          <w:sz w:val="32"/>
          <w:szCs w:val="32"/>
          <w:lang w:eastAsia="pl-PL"/>
        </w:rPr>
        <w:t>rubryce  ,,Wykres</w:t>
      </w:r>
      <w:proofErr w:type="gramEnd"/>
      <w:r>
        <w:rPr>
          <w:rFonts w:eastAsia="Times New Roman" w:cs="Times New Roman"/>
          <w:sz w:val="32"/>
          <w:szCs w:val="32"/>
          <w:lang w:eastAsia="pl-PL"/>
        </w:rPr>
        <w:t xml:space="preserve"> do przemyślenia” w okresie od 27 listopada 2015 roku </w:t>
      </w:r>
      <w:r>
        <w:rPr>
          <w:rFonts w:eastAsia="Times New Roman" w:cs="Times New Roman"/>
          <w:sz w:val="30"/>
          <w:szCs w:val="30"/>
          <w:lang w:eastAsia="pl-PL"/>
        </w:rPr>
        <w:t xml:space="preserve">do 4 marca 2016 roku  </w:t>
      </w:r>
      <w:r>
        <w:rPr>
          <w:rFonts w:eastAsia="Times New Roman" w:cs="Times New Roman"/>
          <w:sz w:val="32"/>
          <w:szCs w:val="32"/>
          <w:lang w:eastAsia="pl-PL"/>
        </w:rPr>
        <w:t xml:space="preserve">oraz procentowa zmiana indeksu WIG 20 w tym okresie. </w:t>
      </w:r>
    </w:p>
    <w:p w:rsidR="00BA16D1" w:rsidRDefault="00BA16D1" w:rsidP="00BA16D1">
      <w:pPr>
        <w:spacing w:after="0" w:line="240" w:lineRule="auto"/>
        <w:jc w:val="both"/>
        <w:rPr>
          <w:rFonts w:eastAsia="Times New Roman" w:cs="Times New Roman"/>
          <w:sz w:val="36"/>
          <w:szCs w:val="3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27.11.2015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58,06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56,79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-2,2 %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-2,2 %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1 936,05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-3,2 %</w:t>
            </w:r>
          </w:p>
        </w:tc>
      </w:tr>
    </w:tbl>
    <w:p w:rsidR="00BA16D1" w:rsidRDefault="00BA16D1" w:rsidP="00BA16D1">
      <w:pPr>
        <w:spacing w:after="0" w:line="240" w:lineRule="auto"/>
        <w:jc w:val="both"/>
        <w:rPr>
          <w:rFonts w:eastAsia="Times New Roman" w:cs="Times New Roman"/>
          <w:sz w:val="36"/>
          <w:szCs w:val="36"/>
          <w:lang w:eastAsia="pl-PL"/>
        </w:rPr>
      </w:pPr>
      <w:r>
        <w:rPr>
          <w:rFonts w:eastAsia="Times New Roman" w:cs="Times New Roman"/>
          <w:sz w:val="36"/>
          <w:szCs w:val="36"/>
          <w:lang w:eastAsia="pl-PL"/>
        </w:rPr>
        <w:lastRenderedPageBreak/>
        <w:t xml:space="preserve">Tabela: Procentowa zmiana ceny akcji spółki, której akcje zostały umieszczone 7 grudnia 2015 roku </w:t>
      </w:r>
      <w:proofErr w:type="gramStart"/>
      <w:r>
        <w:rPr>
          <w:rFonts w:eastAsia="Times New Roman" w:cs="Times New Roman"/>
          <w:sz w:val="36"/>
          <w:szCs w:val="36"/>
          <w:lang w:eastAsia="pl-PL"/>
        </w:rPr>
        <w:t>na  stronie</w:t>
      </w:r>
      <w:proofErr w:type="gramEnd"/>
      <w:r>
        <w:rPr>
          <w:rFonts w:eastAsia="Times New Roman" w:cs="Times New Roman"/>
          <w:sz w:val="36"/>
          <w:szCs w:val="36"/>
          <w:lang w:eastAsia="pl-PL"/>
        </w:rPr>
        <w:t xml:space="preserve"> internetowej </w:t>
      </w:r>
      <w:hyperlink r:id="rId36" w:history="1">
        <w:r>
          <w:rPr>
            <w:rStyle w:val="Hipercze"/>
            <w:rFonts w:eastAsia="Times New Roman" w:cs="Times New Roman"/>
            <w:sz w:val="36"/>
            <w:szCs w:val="36"/>
            <w:lang w:eastAsia="pl-PL"/>
          </w:rPr>
          <w:t>www.analizy-rynkowe.pl</w:t>
        </w:r>
      </w:hyperlink>
      <w:r>
        <w:rPr>
          <w:rFonts w:eastAsia="Times New Roman" w:cs="Times New Roman"/>
          <w:sz w:val="36"/>
          <w:szCs w:val="36"/>
          <w:lang w:eastAsia="pl-PL"/>
        </w:rPr>
        <w:t xml:space="preserve"> w </w:t>
      </w:r>
      <w:proofErr w:type="gramStart"/>
      <w:r>
        <w:rPr>
          <w:rFonts w:eastAsia="Times New Roman" w:cs="Times New Roman"/>
          <w:sz w:val="36"/>
          <w:szCs w:val="36"/>
          <w:lang w:eastAsia="pl-PL"/>
        </w:rPr>
        <w:t>rubryce  ,,Wykres</w:t>
      </w:r>
      <w:proofErr w:type="gramEnd"/>
      <w:r>
        <w:rPr>
          <w:rFonts w:eastAsia="Times New Roman" w:cs="Times New Roman"/>
          <w:sz w:val="36"/>
          <w:szCs w:val="36"/>
          <w:lang w:eastAsia="pl-PL"/>
        </w:rPr>
        <w:t xml:space="preserve"> do przemyślenia” w okresie od 4 grudnia 2015 roku </w:t>
      </w:r>
      <w:r>
        <w:rPr>
          <w:rFonts w:eastAsia="Times New Roman" w:cs="Times New Roman"/>
          <w:sz w:val="30"/>
          <w:szCs w:val="30"/>
          <w:lang w:eastAsia="pl-PL"/>
        </w:rPr>
        <w:t xml:space="preserve">do 4 marca 2016 roku  </w:t>
      </w:r>
      <w:r>
        <w:rPr>
          <w:rFonts w:eastAsia="Times New Roman" w:cs="Times New Roman"/>
          <w:sz w:val="36"/>
          <w:szCs w:val="36"/>
          <w:lang w:eastAsia="pl-PL"/>
        </w:rPr>
        <w:t xml:space="preserve">oraz procentowa zmiana indeksu WIG 20 w tym okresie. </w:t>
      </w:r>
    </w:p>
    <w:p w:rsidR="00BA16D1" w:rsidRDefault="00BA16D1" w:rsidP="00BA16D1">
      <w:pPr>
        <w:spacing w:after="0" w:line="240" w:lineRule="auto"/>
        <w:jc w:val="both"/>
        <w:rPr>
          <w:rFonts w:eastAsia="Times New Roman" w:cs="Times New Roman"/>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PeKaO</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139,80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155,65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+ 11,3 %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+ 11,3 %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1 868,24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+0,3 %</w:t>
            </w:r>
          </w:p>
        </w:tc>
      </w:tr>
    </w:tbl>
    <w:p w:rsidR="00BA16D1" w:rsidRDefault="00BA16D1" w:rsidP="00BA16D1">
      <w:pPr>
        <w:spacing w:after="0" w:line="240" w:lineRule="auto"/>
        <w:jc w:val="both"/>
        <w:rPr>
          <w:rFonts w:eastAsia="Times New Roman" w:cs="Times New Roman"/>
          <w:lang w:eastAsia="pl-PL"/>
        </w:rPr>
      </w:pPr>
      <w:r>
        <w:rPr>
          <w:rFonts w:eastAsia="Times New Roman" w:cs="Times New Roman"/>
          <w:sz w:val="26"/>
          <w:szCs w:val="26"/>
          <w:lang w:eastAsia="pl-PL"/>
        </w:rPr>
        <w:t xml:space="preserve">Tabela: Procentowa zmiana ceny akcji spółki, której akcje zostały umieszczone 7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4 grudnia 2015 roku </w:t>
      </w:r>
      <w:r>
        <w:rPr>
          <w:rFonts w:eastAsia="Times New Roman" w:cs="Times New Roman"/>
          <w:sz w:val="30"/>
          <w:szCs w:val="30"/>
          <w:lang w:eastAsia="pl-PL"/>
        </w:rPr>
        <w:t xml:space="preserve">do 4 marca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LC </w:t>
            </w:r>
            <w:proofErr w:type="spellStart"/>
            <w:r>
              <w:rPr>
                <w:rFonts w:eastAsiaTheme="minorEastAsia"/>
                <w:lang w:eastAsia="pl-PL"/>
              </w:rPr>
              <w:t>Corp</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1,62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1,81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+11,7%</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+11,7 %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1 868,24 pkt.</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+0,3 %</w:t>
            </w:r>
          </w:p>
        </w:tc>
      </w:tr>
    </w:tbl>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28 grudnia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8"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23 grudnia 2015 roku </w:t>
      </w:r>
      <w:r>
        <w:rPr>
          <w:rFonts w:eastAsia="Times New Roman" w:cs="Times New Roman"/>
          <w:sz w:val="30"/>
          <w:szCs w:val="30"/>
          <w:lang w:eastAsia="pl-PL"/>
        </w:rPr>
        <w:t xml:space="preserve">do 4 marca 2016 roku  </w:t>
      </w:r>
      <w:r>
        <w:rPr>
          <w:rFonts w:eastAsia="Times New Roman" w:cs="Times New Roman"/>
          <w:sz w:val="26"/>
          <w:szCs w:val="26"/>
          <w:lang w:eastAsia="pl-PL"/>
        </w:rPr>
        <w:t xml:space="preserve">oraz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23.12.2015</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P.A. Nova</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21,50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19,48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-9,4 %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-9,4 %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1 879,75 pkt.</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-0,3 %</w:t>
            </w:r>
          </w:p>
        </w:tc>
      </w:tr>
    </w:tbl>
    <w:p w:rsidR="00BA16D1" w:rsidRDefault="00BA16D1" w:rsidP="00BA16D1">
      <w:pPr>
        <w:spacing w:after="0" w:line="240" w:lineRule="auto"/>
        <w:jc w:val="both"/>
        <w:rPr>
          <w:rFonts w:eastAsia="Times New Roman" w:cs="Times New Roman"/>
          <w:sz w:val="36"/>
          <w:szCs w:val="36"/>
          <w:lang w:eastAsia="pl-PL"/>
        </w:rPr>
      </w:pPr>
    </w:p>
    <w:p w:rsidR="00BA16D1" w:rsidRDefault="00BA16D1" w:rsidP="00BA16D1">
      <w:pPr>
        <w:spacing w:after="0" w:line="240" w:lineRule="auto"/>
        <w:jc w:val="both"/>
        <w:rPr>
          <w:rFonts w:eastAsia="Times New Roman" w:cs="Times New Roman"/>
          <w:sz w:val="36"/>
          <w:szCs w:val="36"/>
          <w:lang w:eastAsia="pl-PL"/>
        </w:rPr>
      </w:pPr>
    </w:p>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lastRenderedPageBreak/>
        <w:t xml:space="preserve">Tabela: Procentowa zmiana cen akcji trzech spółek, których akcje zostały umieszczone w dniu 15 lutego 2016 roku na stronie internetowej </w:t>
      </w:r>
      <w:hyperlink r:id="rId39" w:history="1">
        <w:r>
          <w:rPr>
            <w:rStyle w:val="Hipercze"/>
            <w:rFonts w:eastAsia="Times New Roman" w:cs="Times New Roman"/>
            <w:lang w:eastAsia="pl-PL"/>
          </w:rPr>
          <w:t>http://analizy-rynkowe.pl/</w:t>
        </w:r>
      </w:hyperlink>
      <w:r>
        <w:rPr>
          <w:rFonts w:eastAsia="Times New Roman" w:cs="Times New Roman"/>
          <w:lang w:eastAsia="pl-PL"/>
        </w:rPr>
        <w:t xml:space="preserve"> w rubryce ,,Wykres do przemyślenia” w okresie od 12 </w:t>
      </w:r>
      <w:r>
        <w:rPr>
          <w:rFonts w:eastAsia="Times New Roman" w:cs="Times New Roman"/>
          <w:sz w:val="30"/>
          <w:szCs w:val="30"/>
          <w:lang w:eastAsia="pl-PL"/>
        </w:rPr>
        <w:t xml:space="preserve">do 4 marca 2016 </w:t>
      </w:r>
      <w:proofErr w:type="gramStart"/>
      <w:r>
        <w:rPr>
          <w:rFonts w:eastAsia="Times New Roman" w:cs="Times New Roman"/>
          <w:sz w:val="30"/>
          <w:szCs w:val="30"/>
          <w:lang w:eastAsia="pl-PL"/>
        </w:rPr>
        <w:t xml:space="preserve">roku  </w:t>
      </w:r>
      <w:r>
        <w:rPr>
          <w:rFonts w:eastAsia="Times New Roman" w:cs="Times New Roman"/>
          <w:lang w:eastAsia="pl-PL"/>
        </w:rPr>
        <w:t>oraz</w:t>
      </w:r>
      <w:proofErr w:type="gramEnd"/>
      <w:r>
        <w:rPr>
          <w:rFonts w:eastAsia="Times New Roman" w:cs="Times New Roman"/>
          <w:lang w:eastAsia="pl-PL"/>
        </w:rPr>
        <w:t xml:space="preserve"> procentowa zmiana indeksu WIG 20 w tym okresie. </w:t>
      </w: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12.02.2016</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Akcja spółki Efekt</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17,63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20,00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+13,4 %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mBank</w:t>
            </w:r>
            <w:proofErr w:type="gram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323,00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337,00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+4,1 %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3,23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3,10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-4,0  %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BA16D1" w:rsidRDefault="00BA16D1" w:rsidP="00C27464">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BA16D1" w:rsidRDefault="00BA16D1" w:rsidP="00C27464">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 xml:space="preserve">  + 4,5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1 765,53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  +6,1 %</w:t>
            </w:r>
          </w:p>
        </w:tc>
      </w:tr>
    </w:tbl>
    <w:p w:rsidR="00BA16D1" w:rsidRDefault="00BA16D1" w:rsidP="00BA16D1">
      <w:pPr>
        <w:spacing w:after="0" w:line="240" w:lineRule="auto"/>
        <w:jc w:val="both"/>
        <w:rPr>
          <w:rFonts w:eastAsia="Times New Roman" w:cs="Times New Roman"/>
          <w:sz w:val="36"/>
          <w:szCs w:val="36"/>
          <w:lang w:eastAsia="pl-PL"/>
        </w:rPr>
      </w:pPr>
    </w:p>
    <w:p w:rsidR="00BA16D1" w:rsidRDefault="00BA16D1" w:rsidP="00BA16D1">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18 lutego 2016 roku na stronie internetowej </w:t>
      </w:r>
      <w:hyperlink r:id="rId40"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17 </w:t>
      </w:r>
      <w:r>
        <w:rPr>
          <w:rFonts w:eastAsia="Times New Roman" w:cs="Times New Roman"/>
          <w:sz w:val="30"/>
          <w:szCs w:val="30"/>
          <w:lang w:eastAsia="pl-PL"/>
        </w:rPr>
        <w:t xml:space="preserve">do 4 marca 2016 roku  </w:t>
      </w:r>
      <w:r>
        <w:rPr>
          <w:rFonts w:eastAsia="Times New Roman" w:cs="Times New Roman"/>
          <w:sz w:val="26"/>
          <w:szCs w:val="26"/>
          <w:lang w:eastAsia="pl-PL"/>
        </w:rPr>
        <w:t xml:space="preserve">oraz procentowa zmiana indeksu WIG 20 w tym okresie. </w:t>
      </w:r>
    </w:p>
    <w:p w:rsidR="00BA16D1" w:rsidRDefault="00BA16D1" w:rsidP="00BA16D1">
      <w:pPr>
        <w:spacing w:after="0" w:line="240" w:lineRule="auto"/>
        <w:jc w:val="both"/>
        <w:rPr>
          <w:rFonts w:eastAsia="Times New Roman" w:cs="Times New Roman"/>
          <w:sz w:val="26"/>
          <w:szCs w:val="26"/>
          <w:lang w:eastAsia="pl-PL"/>
        </w:rPr>
      </w:pPr>
    </w:p>
    <w:tbl>
      <w:tblPr>
        <w:tblW w:w="0" w:type="auto"/>
        <w:tblLook w:val="04A0" w:firstRow="1" w:lastRow="0" w:firstColumn="1" w:lastColumn="0" w:noHBand="0" w:noVBand="1"/>
      </w:tblPr>
      <w:tblGrid>
        <w:gridCol w:w="3402"/>
        <w:gridCol w:w="2302"/>
        <w:gridCol w:w="2303"/>
        <w:gridCol w:w="1134"/>
      </w:tblGrid>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17.02.2016</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Poziom – 04.03.2016</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Zmiana (w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116,00 zł.</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126,70 zł.</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+9,2 %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    7,25 zł.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 xml:space="preserve">    7,75 zł. </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color w:val="000000" w:themeColor="text1"/>
                <w:lang w:eastAsia="pl-PL"/>
              </w:rPr>
            </w:pPr>
            <w:r>
              <w:rPr>
                <w:rFonts w:eastAsiaTheme="minorEastAsia"/>
                <w:color w:val="000000" w:themeColor="text1"/>
                <w:lang w:eastAsia="pl-PL"/>
              </w:rPr>
              <w:t>+6,9 %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BA16D1" w:rsidRDefault="00BA16D1" w:rsidP="00C27464">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b/>
                <w:color w:val="FF0000"/>
                <w:lang w:eastAsia="pl-PL"/>
              </w:rPr>
            </w:pPr>
            <w:r>
              <w:rPr>
                <w:rFonts w:eastAsiaTheme="minorEastAsia"/>
                <w:b/>
                <w:color w:val="FF0000"/>
                <w:lang w:eastAsia="pl-PL"/>
              </w:rPr>
              <w:t>+8,1 %</w:t>
            </w:r>
          </w:p>
        </w:tc>
      </w:tr>
      <w:tr w:rsidR="00BA16D1" w:rsidTr="00C27464">
        <w:tc>
          <w:tcPr>
            <w:tcW w:w="34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 xml:space="preserve">1 847,06 pkt. </w:t>
            </w:r>
          </w:p>
        </w:tc>
        <w:tc>
          <w:tcPr>
            <w:tcW w:w="2303"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1 873,51 pkt.</w:t>
            </w:r>
          </w:p>
        </w:tc>
        <w:tc>
          <w:tcPr>
            <w:tcW w:w="1134" w:type="dxa"/>
            <w:tcBorders>
              <w:top w:val="single" w:sz="4" w:space="0" w:color="auto"/>
              <w:left w:val="single" w:sz="4" w:space="0" w:color="auto"/>
              <w:bottom w:val="single" w:sz="4" w:space="0" w:color="auto"/>
              <w:right w:val="single" w:sz="4" w:space="0" w:color="auto"/>
            </w:tcBorders>
            <w:hideMark/>
          </w:tcPr>
          <w:p w:rsidR="00BA16D1" w:rsidRDefault="00BA16D1" w:rsidP="00C27464">
            <w:pPr>
              <w:jc w:val="center"/>
              <w:rPr>
                <w:rFonts w:eastAsiaTheme="minorEastAsia"/>
                <w:lang w:eastAsia="pl-PL"/>
              </w:rPr>
            </w:pPr>
            <w:r>
              <w:rPr>
                <w:rFonts w:eastAsiaTheme="minorEastAsia"/>
                <w:lang w:eastAsia="pl-PL"/>
              </w:rPr>
              <w:t>+1,4 %</w:t>
            </w:r>
          </w:p>
        </w:tc>
      </w:tr>
    </w:tbl>
    <w:p w:rsidR="00BA16D1" w:rsidRDefault="00BA16D1" w:rsidP="00BA16D1">
      <w:pPr>
        <w:spacing w:after="0" w:line="240" w:lineRule="auto"/>
        <w:jc w:val="both"/>
        <w:rPr>
          <w:rFonts w:eastAsia="Times New Roman" w:cs="Times New Roman"/>
          <w:sz w:val="36"/>
          <w:szCs w:val="36"/>
          <w:lang w:eastAsia="pl-PL"/>
        </w:rPr>
      </w:pPr>
    </w:p>
    <w:p w:rsidR="00BA16D1" w:rsidRDefault="00BA16D1" w:rsidP="00BA16D1">
      <w:pPr>
        <w:spacing w:after="0" w:line="240" w:lineRule="auto"/>
        <w:jc w:val="both"/>
        <w:rPr>
          <w:rFonts w:eastAsia="Times New Roman" w:cs="Times New Roman"/>
          <w:sz w:val="50"/>
          <w:szCs w:val="50"/>
          <w:u w:val="single"/>
          <w:lang w:eastAsia="pl-PL"/>
        </w:rPr>
      </w:pPr>
      <w:r>
        <w:rPr>
          <w:rFonts w:eastAsia="Times New Roman" w:cs="Times New Roman"/>
          <w:sz w:val="50"/>
          <w:szCs w:val="50"/>
          <w:lang w:eastAsia="pl-PL"/>
        </w:rPr>
        <w:t xml:space="preserve">Spółek, </w:t>
      </w:r>
      <w:r>
        <w:rPr>
          <w:rFonts w:eastAsia="Times New Roman" w:cs="Times New Roman"/>
          <w:sz w:val="50"/>
          <w:szCs w:val="50"/>
          <w:u w:val="single"/>
          <w:lang w:eastAsia="pl-PL"/>
        </w:rPr>
        <w:t>dla których nie można jeszcze obliczyć</w:t>
      </w:r>
      <w:r>
        <w:rPr>
          <w:rFonts w:eastAsia="Times New Roman" w:cs="Times New Roman"/>
          <w:sz w:val="50"/>
          <w:szCs w:val="50"/>
          <w:lang w:eastAsia="pl-PL"/>
        </w:rPr>
        <w:t xml:space="preserve"> procentowej zmiany kursu akcji po wprowadzeniu jej do rubryki </w:t>
      </w:r>
      <w:proofErr w:type="gramStart"/>
      <w:r>
        <w:rPr>
          <w:rFonts w:eastAsia="Times New Roman" w:cs="Times New Roman"/>
          <w:sz w:val="50"/>
          <w:szCs w:val="50"/>
          <w:lang w:eastAsia="pl-PL"/>
        </w:rPr>
        <w:t>,,</w:t>
      </w:r>
      <w:proofErr w:type="gramEnd"/>
      <w:r>
        <w:rPr>
          <w:rFonts w:eastAsia="Times New Roman" w:cs="Times New Roman"/>
          <w:sz w:val="50"/>
          <w:szCs w:val="50"/>
          <w:lang w:eastAsia="pl-PL"/>
        </w:rPr>
        <w:t xml:space="preserve">Wykres do przemyślenia” w okresie 12 pierwszych miesięcy po jej wprowadzeniu do tej rubryki </w:t>
      </w:r>
      <w:r>
        <w:rPr>
          <w:rFonts w:eastAsia="Times New Roman" w:cs="Times New Roman"/>
          <w:sz w:val="50"/>
          <w:szCs w:val="50"/>
          <w:u w:val="single"/>
          <w:lang w:eastAsia="pl-PL"/>
        </w:rPr>
        <w:t xml:space="preserve">jest </w:t>
      </w:r>
      <w:r>
        <w:rPr>
          <w:rFonts w:eastAsia="Times New Roman" w:cs="Times New Roman"/>
          <w:b/>
          <w:sz w:val="50"/>
          <w:szCs w:val="50"/>
          <w:u w:val="single"/>
          <w:lang w:eastAsia="pl-PL"/>
        </w:rPr>
        <w:t>23</w:t>
      </w:r>
    </w:p>
    <w:p w:rsidR="00BA16D1" w:rsidRDefault="00BA16D1" w:rsidP="00BA16D1">
      <w:pPr>
        <w:spacing w:after="0" w:line="240" w:lineRule="auto"/>
        <w:jc w:val="both"/>
        <w:rPr>
          <w:rFonts w:eastAsia="Times New Roman" w:cs="Times New Roman"/>
          <w:sz w:val="50"/>
          <w:szCs w:val="50"/>
          <w:lang w:eastAsia="pl-PL"/>
        </w:rPr>
      </w:pPr>
      <w:r>
        <w:rPr>
          <w:rFonts w:eastAsia="Times New Roman" w:cs="Times New Roman"/>
          <w:sz w:val="50"/>
          <w:szCs w:val="50"/>
          <w:lang w:eastAsia="pl-PL"/>
        </w:rPr>
        <w:lastRenderedPageBreak/>
        <w:t xml:space="preserve">W odniesieniu do tej grupy </w:t>
      </w:r>
      <w:r>
        <w:rPr>
          <w:rFonts w:eastAsia="Times New Roman" w:cs="Times New Roman"/>
          <w:b/>
          <w:sz w:val="50"/>
          <w:szCs w:val="50"/>
          <w:u w:val="single"/>
          <w:lang w:eastAsia="pl-PL"/>
        </w:rPr>
        <w:t>23 spółki</w:t>
      </w:r>
      <w:r>
        <w:rPr>
          <w:rFonts w:eastAsia="Times New Roman" w:cs="Times New Roman"/>
          <w:sz w:val="50"/>
          <w:szCs w:val="50"/>
          <w:lang w:eastAsia="pl-PL"/>
        </w:rPr>
        <w:t xml:space="preserve"> można sformułować następujący wniosek: </w:t>
      </w:r>
    </w:p>
    <w:p w:rsidR="00BA16D1" w:rsidRDefault="00BA16D1" w:rsidP="00BA16D1">
      <w:pPr>
        <w:spacing w:after="0" w:line="240" w:lineRule="auto"/>
        <w:jc w:val="both"/>
        <w:rPr>
          <w:rFonts w:eastAsia="Times New Roman" w:cs="Times New Roman"/>
          <w:sz w:val="50"/>
          <w:szCs w:val="50"/>
          <w:lang w:eastAsia="pl-PL"/>
        </w:rPr>
      </w:pPr>
    </w:p>
    <w:p w:rsidR="00BA16D1" w:rsidRDefault="00BA16D1" w:rsidP="00BA16D1">
      <w:pPr>
        <w:spacing w:after="0" w:line="240" w:lineRule="auto"/>
        <w:jc w:val="both"/>
        <w:rPr>
          <w:rFonts w:eastAsia="Times New Roman" w:cs="Times New Roman"/>
          <w:sz w:val="50"/>
          <w:szCs w:val="50"/>
          <w:u w:val="single"/>
          <w:lang w:eastAsia="pl-PL"/>
        </w:rPr>
      </w:pPr>
      <w:r>
        <w:rPr>
          <w:rFonts w:eastAsia="Times New Roman" w:cs="Times New Roman"/>
          <w:sz w:val="50"/>
          <w:szCs w:val="50"/>
          <w:u w:val="single"/>
          <w:lang w:eastAsia="pl-PL"/>
        </w:rPr>
        <w:t xml:space="preserve">Wniosek </w:t>
      </w:r>
    </w:p>
    <w:p w:rsidR="00BA16D1" w:rsidRDefault="00BA16D1" w:rsidP="00BA16D1">
      <w:pPr>
        <w:spacing w:after="0" w:line="240" w:lineRule="auto"/>
        <w:jc w:val="both"/>
        <w:rPr>
          <w:rFonts w:eastAsia="Times New Roman" w:cs="Times New Roman"/>
          <w:sz w:val="50"/>
          <w:szCs w:val="50"/>
          <w:lang w:eastAsia="pl-PL"/>
        </w:rPr>
      </w:pPr>
    </w:p>
    <w:p w:rsidR="00BA16D1" w:rsidRPr="001C10B2" w:rsidRDefault="00BA16D1" w:rsidP="00BA16D1">
      <w:pPr>
        <w:spacing w:after="0" w:line="240" w:lineRule="auto"/>
        <w:jc w:val="both"/>
        <w:rPr>
          <w:rFonts w:eastAsia="Times New Roman" w:cs="Times New Roman"/>
          <w:b/>
          <w:sz w:val="72"/>
          <w:szCs w:val="72"/>
          <w:lang w:eastAsia="pl-PL"/>
        </w:rPr>
      </w:pPr>
      <w:r w:rsidRPr="001C10B2">
        <w:rPr>
          <w:rFonts w:eastAsia="Times New Roman" w:cs="Times New Roman"/>
          <w:sz w:val="72"/>
          <w:szCs w:val="72"/>
          <w:lang w:eastAsia="pl-PL"/>
        </w:rPr>
        <w:t xml:space="preserve">Warto zauważyć, że </w:t>
      </w:r>
      <w:r w:rsidRPr="001C10B2">
        <w:rPr>
          <w:rFonts w:eastAsia="Times New Roman" w:cs="Times New Roman"/>
          <w:b/>
          <w:color w:val="000000" w:themeColor="text1"/>
          <w:sz w:val="72"/>
          <w:szCs w:val="72"/>
          <w:lang w:eastAsia="pl-PL"/>
        </w:rPr>
        <w:t xml:space="preserve">spośród </w:t>
      </w:r>
      <w:r w:rsidRPr="001C10B2">
        <w:rPr>
          <w:rFonts w:eastAsia="Times New Roman" w:cs="Times New Roman"/>
          <w:b/>
          <w:color w:val="000000" w:themeColor="text1"/>
          <w:sz w:val="72"/>
          <w:szCs w:val="72"/>
          <w:u w:val="single"/>
          <w:lang w:eastAsia="pl-PL"/>
        </w:rPr>
        <w:t xml:space="preserve">23 </w:t>
      </w:r>
      <w:proofErr w:type="gramStart"/>
      <w:r w:rsidRPr="001C10B2">
        <w:rPr>
          <w:rFonts w:eastAsia="Times New Roman" w:cs="Times New Roman"/>
          <w:b/>
          <w:color w:val="000000" w:themeColor="text1"/>
          <w:sz w:val="72"/>
          <w:szCs w:val="72"/>
          <w:u w:val="single"/>
          <w:lang w:eastAsia="pl-PL"/>
        </w:rPr>
        <w:t>spółek</w:t>
      </w:r>
      <w:r w:rsidRPr="001C10B2">
        <w:rPr>
          <w:rFonts w:eastAsia="Times New Roman" w:cs="Times New Roman"/>
          <w:sz w:val="72"/>
          <w:szCs w:val="72"/>
          <w:lang w:eastAsia="pl-PL"/>
        </w:rPr>
        <w:t xml:space="preserve"> (których</w:t>
      </w:r>
      <w:proofErr w:type="gramEnd"/>
      <w:r w:rsidRPr="001C10B2">
        <w:rPr>
          <w:rFonts w:eastAsia="Times New Roman" w:cs="Times New Roman"/>
          <w:sz w:val="72"/>
          <w:szCs w:val="72"/>
          <w:lang w:eastAsia="pl-PL"/>
        </w:rPr>
        <w:t xml:space="preserve"> lista </w:t>
      </w:r>
      <w:r w:rsidRPr="001C10B2">
        <w:rPr>
          <w:rFonts w:eastAsia="Times New Roman" w:cs="Times New Roman"/>
          <w:b/>
          <w:sz w:val="72"/>
          <w:szCs w:val="72"/>
          <w:lang w:eastAsia="pl-PL"/>
        </w:rPr>
        <w:t xml:space="preserve">opublikowana jest na str. 15-20) </w:t>
      </w:r>
    </w:p>
    <w:p w:rsidR="00BA16D1" w:rsidRPr="001C10B2" w:rsidRDefault="00BA16D1" w:rsidP="00BA16D1">
      <w:pPr>
        <w:spacing w:after="0" w:line="240" w:lineRule="auto"/>
        <w:jc w:val="both"/>
        <w:rPr>
          <w:rFonts w:eastAsia="Times New Roman" w:cs="Times New Roman"/>
          <w:sz w:val="72"/>
          <w:szCs w:val="72"/>
          <w:lang w:eastAsia="pl-PL"/>
        </w:rPr>
      </w:pPr>
    </w:p>
    <w:p w:rsidR="00BA16D1" w:rsidRPr="001C10B2" w:rsidRDefault="00BA16D1" w:rsidP="00BA16D1">
      <w:pPr>
        <w:spacing w:after="0" w:line="240" w:lineRule="auto"/>
        <w:jc w:val="both"/>
        <w:rPr>
          <w:rFonts w:eastAsia="Times New Roman" w:cs="Times New Roman"/>
          <w:b/>
          <w:sz w:val="72"/>
          <w:szCs w:val="72"/>
          <w:lang w:eastAsia="pl-PL"/>
        </w:rPr>
      </w:pPr>
      <w:proofErr w:type="gramStart"/>
      <w:r w:rsidRPr="001C10B2">
        <w:rPr>
          <w:rFonts w:eastAsia="Times New Roman" w:cs="Times New Roman"/>
          <w:b/>
          <w:sz w:val="72"/>
          <w:szCs w:val="72"/>
          <w:lang w:eastAsia="pl-PL"/>
        </w:rPr>
        <w:t>kursy</w:t>
      </w:r>
      <w:proofErr w:type="gramEnd"/>
      <w:r w:rsidRPr="001C10B2">
        <w:rPr>
          <w:rFonts w:eastAsia="Times New Roman" w:cs="Times New Roman"/>
          <w:b/>
          <w:sz w:val="72"/>
          <w:szCs w:val="72"/>
          <w:lang w:eastAsia="pl-PL"/>
        </w:rPr>
        <w:t xml:space="preserve"> akcji </w:t>
      </w:r>
      <w:r w:rsidRPr="001C10B2">
        <w:rPr>
          <w:rFonts w:eastAsia="Times New Roman" w:cs="Times New Roman"/>
          <w:b/>
          <w:color w:val="FF0000"/>
          <w:sz w:val="72"/>
          <w:szCs w:val="72"/>
          <w:lang w:eastAsia="pl-PL"/>
        </w:rPr>
        <w:t>19 spółek</w:t>
      </w:r>
      <w:r w:rsidRPr="001C10B2">
        <w:rPr>
          <w:rFonts w:eastAsia="Times New Roman" w:cs="Times New Roman"/>
          <w:sz w:val="72"/>
          <w:szCs w:val="72"/>
          <w:lang w:eastAsia="pl-PL"/>
        </w:rPr>
        <w:t xml:space="preserve"> od momentu owego zakwalifikowania do tej rubryki do dnia 26 lutego 2016 roku zachowywały się </w:t>
      </w:r>
      <w:r w:rsidRPr="001C10B2">
        <w:rPr>
          <w:rFonts w:eastAsia="Times New Roman" w:cs="Times New Roman"/>
          <w:b/>
          <w:color w:val="FF0000"/>
          <w:sz w:val="72"/>
          <w:szCs w:val="72"/>
          <w:u w:val="single"/>
          <w:lang w:eastAsia="pl-PL"/>
        </w:rPr>
        <w:t>lepiej</w:t>
      </w:r>
      <w:r w:rsidRPr="001C10B2">
        <w:rPr>
          <w:rFonts w:eastAsia="Times New Roman" w:cs="Times New Roman"/>
          <w:b/>
          <w:color w:val="FF0000"/>
          <w:sz w:val="72"/>
          <w:szCs w:val="72"/>
          <w:lang w:eastAsia="pl-PL"/>
        </w:rPr>
        <w:t xml:space="preserve"> od indeksu WIG20</w:t>
      </w:r>
      <w:r w:rsidRPr="001C10B2">
        <w:rPr>
          <w:rFonts w:eastAsia="Times New Roman" w:cs="Times New Roman"/>
          <w:b/>
          <w:sz w:val="72"/>
          <w:szCs w:val="72"/>
          <w:lang w:eastAsia="pl-PL"/>
        </w:rPr>
        <w:t xml:space="preserve"> a 4 </w:t>
      </w:r>
      <w:r w:rsidRPr="001C10B2">
        <w:rPr>
          <w:rFonts w:eastAsia="Times New Roman" w:cs="Times New Roman"/>
          <w:b/>
          <w:sz w:val="72"/>
          <w:szCs w:val="72"/>
          <w:u w:val="single"/>
          <w:lang w:eastAsia="pl-PL"/>
        </w:rPr>
        <w:t xml:space="preserve">gorzej </w:t>
      </w:r>
      <w:r w:rsidRPr="001C10B2">
        <w:rPr>
          <w:rFonts w:eastAsia="Times New Roman" w:cs="Times New Roman"/>
          <w:b/>
          <w:sz w:val="72"/>
          <w:szCs w:val="72"/>
          <w:lang w:eastAsia="pl-PL"/>
        </w:rPr>
        <w:t xml:space="preserve">od indeksu WIG20 </w:t>
      </w:r>
    </w:p>
    <w:p w:rsidR="00BA16D1" w:rsidRDefault="00BA16D1" w:rsidP="00BA16D1">
      <w:pPr>
        <w:spacing w:after="0" w:line="240" w:lineRule="auto"/>
        <w:jc w:val="both"/>
        <w:rPr>
          <w:rFonts w:eastAsia="Times New Roman" w:cs="Times New Roman"/>
          <w:color w:val="FF0000"/>
          <w:sz w:val="66"/>
          <w:szCs w:val="66"/>
          <w:lang w:eastAsia="pl-PL"/>
        </w:rPr>
      </w:pPr>
      <w:proofErr w:type="gramStart"/>
      <w:r>
        <w:rPr>
          <w:rFonts w:eastAsia="Times New Roman" w:cs="Times New Roman"/>
          <w:sz w:val="66"/>
          <w:szCs w:val="66"/>
          <w:lang w:eastAsia="pl-PL"/>
        </w:rPr>
        <w:lastRenderedPageBreak/>
        <w:t xml:space="preserve">Uwaga ! – </w:t>
      </w:r>
      <w:proofErr w:type="gramEnd"/>
      <w:r>
        <w:rPr>
          <w:rFonts w:eastAsia="Times New Roman" w:cs="Times New Roman"/>
          <w:sz w:val="66"/>
          <w:szCs w:val="66"/>
          <w:lang w:eastAsia="pl-PL"/>
        </w:rPr>
        <w:t xml:space="preserve">na poprzedniej stronie przedstawiłem wyniki badań dotyczących zachowania kursów akcji tych spółek, które znalazły się w rubryce </w:t>
      </w:r>
      <w:proofErr w:type="gramStart"/>
      <w:r>
        <w:rPr>
          <w:rFonts w:eastAsia="Times New Roman" w:cs="Times New Roman"/>
          <w:sz w:val="66"/>
          <w:szCs w:val="66"/>
          <w:lang w:eastAsia="pl-PL"/>
        </w:rPr>
        <w:t>,,</w:t>
      </w:r>
      <w:proofErr w:type="gramEnd"/>
      <w:r>
        <w:rPr>
          <w:rFonts w:eastAsia="Times New Roman" w:cs="Times New Roman"/>
          <w:sz w:val="66"/>
          <w:szCs w:val="66"/>
          <w:lang w:eastAsia="pl-PL"/>
        </w:rPr>
        <w:t xml:space="preserve">Wykres do przemyślenia” </w:t>
      </w:r>
      <w:r>
        <w:rPr>
          <w:rFonts w:eastAsia="Times New Roman" w:cs="Times New Roman"/>
          <w:b/>
          <w:color w:val="FF0000"/>
          <w:sz w:val="66"/>
          <w:szCs w:val="66"/>
          <w:u w:val="single"/>
          <w:lang w:eastAsia="pl-PL"/>
        </w:rPr>
        <w:t>na przestrzeni ostatnich 12 miesięcy.</w:t>
      </w:r>
    </w:p>
    <w:p w:rsidR="00BA16D1" w:rsidRDefault="00BA16D1" w:rsidP="00BA16D1">
      <w:pPr>
        <w:spacing w:after="0" w:line="240" w:lineRule="auto"/>
        <w:jc w:val="both"/>
        <w:rPr>
          <w:rFonts w:eastAsia="Times New Roman" w:cs="Times New Roman"/>
          <w:sz w:val="66"/>
          <w:szCs w:val="66"/>
          <w:lang w:eastAsia="pl-PL"/>
        </w:rPr>
      </w:pPr>
    </w:p>
    <w:p w:rsidR="00BA16D1" w:rsidRDefault="00BA16D1" w:rsidP="00BA16D1">
      <w:pPr>
        <w:spacing w:after="0" w:line="240" w:lineRule="auto"/>
        <w:jc w:val="both"/>
        <w:rPr>
          <w:rFonts w:eastAsia="Times New Roman" w:cs="Times New Roman"/>
          <w:sz w:val="66"/>
          <w:szCs w:val="66"/>
          <w:lang w:eastAsia="pl-PL"/>
        </w:rPr>
      </w:pPr>
      <w:r>
        <w:rPr>
          <w:rFonts w:eastAsia="Times New Roman" w:cs="Times New Roman"/>
          <w:sz w:val="66"/>
          <w:szCs w:val="66"/>
          <w:lang w:eastAsia="pl-PL"/>
        </w:rPr>
        <w:t xml:space="preserve">Spółki te będę starał się na prowadzonej przeze mnie stronie </w:t>
      </w:r>
      <w:proofErr w:type="gramStart"/>
      <w:r>
        <w:rPr>
          <w:rFonts w:eastAsia="Times New Roman" w:cs="Times New Roman"/>
          <w:sz w:val="66"/>
          <w:szCs w:val="66"/>
          <w:lang w:eastAsia="pl-PL"/>
        </w:rPr>
        <w:t xml:space="preserve">internetowej  </w:t>
      </w:r>
      <w:hyperlink r:id="rId41" w:history="1">
        <w:proofErr w:type="gramEnd"/>
        <w:r>
          <w:rPr>
            <w:rStyle w:val="Hipercze"/>
            <w:rFonts w:eastAsia="Times New Roman" w:cs="Times New Roman"/>
            <w:sz w:val="66"/>
            <w:szCs w:val="66"/>
            <w:lang w:eastAsia="pl-PL"/>
          </w:rPr>
          <w:t>http://analizy-rynkowe.pl/</w:t>
        </w:r>
      </w:hyperlink>
      <w:r>
        <w:rPr>
          <w:rFonts w:eastAsia="Times New Roman" w:cs="Times New Roman"/>
          <w:sz w:val="66"/>
          <w:szCs w:val="66"/>
          <w:lang w:eastAsia="pl-PL"/>
        </w:rPr>
        <w:t xml:space="preserve"> </w:t>
      </w:r>
      <w:r>
        <w:rPr>
          <w:rFonts w:eastAsia="Times New Roman" w:cs="Times New Roman"/>
          <w:b/>
          <w:color w:val="FF0000"/>
          <w:sz w:val="66"/>
          <w:szCs w:val="66"/>
          <w:u w:val="single"/>
          <w:lang w:eastAsia="pl-PL"/>
        </w:rPr>
        <w:t>otaczać szczególną opieką intelektualną</w:t>
      </w:r>
      <w:r>
        <w:rPr>
          <w:rFonts w:eastAsia="Times New Roman" w:cs="Times New Roman"/>
          <w:color w:val="FF0000"/>
          <w:sz w:val="66"/>
          <w:szCs w:val="66"/>
          <w:lang w:eastAsia="pl-PL"/>
        </w:rPr>
        <w:t xml:space="preserve"> </w:t>
      </w:r>
      <w:r>
        <w:rPr>
          <w:rFonts w:eastAsia="Times New Roman" w:cs="Times New Roman"/>
          <w:sz w:val="66"/>
          <w:szCs w:val="66"/>
          <w:lang w:eastAsia="pl-PL"/>
        </w:rPr>
        <w:t xml:space="preserve">to znaczy analizy publikowane na tej stronie będą w znacznej mierzy dotyczyć właśnie tych spółek. </w:t>
      </w:r>
    </w:p>
    <w:p w:rsidR="00BA16D1" w:rsidRDefault="00BA16D1" w:rsidP="00BA16D1">
      <w:pPr>
        <w:spacing w:after="0" w:line="240" w:lineRule="auto"/>
        <w:jc w:val="both"/>
        <w:rPr>
          <w:rFonts w:eastAsia="Times New Roman" w:cs="Times New Roman"/>
          <w:sz w:val="66"/>
          <w:szCs w:val="66"/>
          <w:lang w:eastAsia="pl-PL"/>
        </w:rPr>
      </w:pPr>
    </w:p>
    <w:p w:rsidR="00BA16D1" w:rsidRDefault="00BA16D1" w:rsidP="00BA16D1">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lastRenderedPageBreak/>
        <w:t>Generalny wniosek:</w:t>
      </w:r>
    </w:p>
    <w:p w:rsidR="00BA16D1" w:rsidRDefault="00BA16D1" w:rsidP="00BA16D1">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t xml:space="preserve">kursy akcji spółki po wprowadzeniu jej do rubryki </w:t>
      </w:r>
      <w:proofErr w:type="gramStart"/>
      <w:r>
        <w:rPr>
          <w:rFonts w:eastAsia="Times New Roman" w:cs="Times New Roman"/>
          <w:b/>
          <w:color w:val="FFFFFF" w:themeColor="background1"/>
          <w:sz w:val="104"/>
          <w:szCs w:val="104"/>
          <w:lang w:eastAsia="pl-PL"/>
        </w:rPr>
        <w:t>,,</w:t>
      </w:r>
      <w:proofErr w:type="gramEnd"/>
      <w:r>
        <w:rPr>
          <w:rFonts w:eastAsia="Times New Roman" w:cs="Times New Roman"/>
          <w:b/>
          <w:color w:val="FFFFFF" w:themeColor="background1"/>
          <w:sz w:val="104"/>
          <w:szCs w:val="104"/>
          <w:lang w:eastAsia="pl-PL"/>
        </w:rPr>
        <w:t>Wykres do przemyślenia” zasadniczo rzecz biorąc wykazują relatywną przewagę nad indeksem WIG20</w:t>
      </w:r>
    </w:p>
    <w:p w:rsidR="00BA16D1" w:rsidRDefault="00BA16D1" w:rsidP="00BA16D1">
      <w:pPr>
        <w:rPr>
          <w:rFonts w:eastAsia="Times New Roman" w:cs="Times New Roman"/>
          <w:lang w:eastAsia="pl-PL"/>
        </w:rPr>
      </w:pPr>
    </w:p>
    <w:p w:rsidR="00BA16D1" w:rsidRDefault="00BA16D1" w:rsidP="00BA16D1">
      <w:pPr>
        <w:rPr>
          <w:rFonts w:eastAsia="Times New Roman" w:cs="Times New Roman"/>
          <w:lang w:eastAsia="pl-PL"/>
        </w:rPr>
      </w:pPr>
    </w:p>
    <w:p w:rsidR="00BA16D1" w:rsidRDefault="00BA16D1" w:rsidP="00BA16D1">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BA16D1" w:rsidRDefault="00BA16D1" w:rsidP="00BA16D1">
      <w:pPr>
        <w:spacing w:after="0" w:line="240" w:lineRule="auto"/>
        <w:jc w:val="both"/>
        <w:rPr>
          <w:rFonts w:eastAsia="Times New Roman" w:cs="Times New Roman"/>
          <w:lang w:eastAsia="pl-PL"/>
        </w:rPr>
      </w:pPr>
    </w:p>
    <w:p w:rsidR="00BA16D1" w:rsidRDefault="00BA16D1" w:rsidP="00BA16D1">
      <w:pPr>
        <w:numPr>
          <w:ilvl w:val="0"/>
          <w:numId w:val="2"/>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BA16D1" w:rsidRDefault="00BA16D1" w:rsidP="00BA16D1">
      <w:pPr>
        <w:spacing w:after="0" w:line="240" w:lineRule="auto"/>
        <w:contextualSpacing/>
        <w:jc w:val="both"/>
        <w:rPr>
          <w:rFonts w:eastAsia="Times New Roman" w:cs="Times New Roman"/>
          <w:b/>
          <w:color w:val="FF0000"/>
          <w:lang w:eastAsia="pl-PL"/>
        </w:rPr>
      </w:pPr>
    </w:p>
    <w:p w:rsidR="00BA16D1" w:rsidRDefault="00BA16D1" w:rsidP="00BA16D1">
      <w:pPr>
        <w:numPr>
          <w:ilvl w:val="0"/>
          <w:numId w:val="2"/>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4,3607 zł. Dojście do oporu (szczyt z 26 grudnia 2014 roku) może osłabiło kursu euro (w złotych). W piątek 15 stycznia popyt zaatakował. Przebite zostało roczne maksimum. Można oczekiwać wzrostu w kierunku </w:t>
      </w:r>
      <w:r>
        <w:rPr>
          <w:rFonts w:eastAsia="Times New Roman" w:cs="Times New Roman"/>
          <w:b/>
          <w:color w:val="FF0000"/>
          <w:lang w:eastAsia="pl-PL"/>
        </w:rPr>
        <w:t>4,5644</w:t>
      </w:r>
      <w:r>
        <w:rPr>
          <w:rFonts w:eastAsia="Times New Roman" w:cs="Times New Roman"/>
          <w:color w:val="FF0000"/>
          <w:lang w:eastAsia="pl-PL"/>
        </w:rPr>
        <w:t xml:space="preserve"> </w:t>
      </w:r>
      <w:r>
        <w:rPr>
          <w:rFonts w:eastAsia="Times New Roman" w:cs="Times New Roman"/>
          <w:lang w:eastAsia="pl-PL"/>
        </w:rPr>
        <w:t>(szczyt z 13 grudnia 2011 roku).</w:t>
      </w:r>
    </w:p>
    <w:p w:rsidR="00BA16D1" w:rsidRDefault="00BA16D1" w:rsidP="00BA16D1">
      <w:pPr>
        <w:spacing w:after="0" w:line="240" w:lineRule="auto"/>
        <w:contextualSpacing/>
        <w:jc w:val="both"/>
        <w:rPr>
          <w:rFonts w:eastAsia="Times New Roman" w:cs="Times New Roman"/>
          <w:color w:val="000000" w:themeColor="text1"/>
          <w:lang w:eastAsia="pl-PL"/>
        </w:rPr>
      </w:pPr>
    </w:p>
    <w:p w:rsidR="00BA16D1" w:rsidRPr="00502176" w:rsidRDefault="00BA16D1" w:rsidP="00BA16D1">
      <w:pPr>
        <w:pStyle w:val="Akapitzlist"/>
        <w:numPr>
          <w:ilvl w:val="0"/>
          <w:numId w:val="2"/>
        </w:numPr>
        <w:spacing w:after="0" w:line="240" w:lineRule="auto"/>
        <w:jc w:val="both"/>
        <w:rPr>
          <w:color w:val="FF0000"/>
          <w:lang w:eastAsia="pl-PL"/>
        </w:rPr>
      </w:pPr>
      <w:r w:rsidRPr="00502176">
        <w:rPr>
          <w:color w:val="000000" w:themeColor="text1"/>
          <w:lang w:eastAsia="pl-PL"/>
        </w:rPr>
        <w:t xml:space="preserve">W minionym tygodniu doszło do wzrostów czołowych indeksów opisujących sytuację na polskim rynku akcji. WIG20 zyskał na wartości 1,6 %. Wzrosty były spowodowane w dużym stopniu poprawą sytuacji na dojrzałych rynkach akcji oraz wzrostem cen surowców, zwłaszcza ropy naftowej oraz miedzi. Wzrosty cen surowców są szczególnie pozytywnie przyjmowane na wschodzących rynkach akcji. Przede wszystkim warto zauważyć, że indeks ogólnoświatowy wybił się z małej formacji podwójnego dna. Formacja ta jeszcze się nie wypełniła, co stwarza szansę na dalsze wzrosty. </w:t>
      </w:r>
    </w:p>
    <w:p w:rsidR="00BA16D1" w:rsidRPr="00502176" w:rsidRDefault="00BA16D1" w:rsidP="00BA16D1">
      <w:pPr>
        <w:pStyle w:val="Akapitzlist"/>
        <w:rPr>
          <w:color w:val="000000" w:themeColor="text1"/>
          <w:lang w:eastAsia="pl-PL"/>
        </w:rPr>
      </w:pPr>
    </w:p>
    <w:p w:rsidR="00BA16D1" w:rsidRPr="00AC6318" w:rsidRDefault="00BA16D1" w:rsidP="00BA16D1">
      <w:pPr>
        <w:pStyle w:val="Akapitzlist"/>
        <w:numPr>
          <w:ilvl w:val="0"/>
          <w:numId w:val="2"/>
        </w:numPr>
        <w:spacing w:after="0" w:line="240" w:lineRule="auto"/>
        <w:jc w:val="both"/>
        <w:rPr>
          <w:b/>
          <w:color w:val="FF0000"/>
          <w:lang w:eastAsia="pl-PL"/>
        </w:rPr>
      </w:pPr>
      <w:r w:rsidRPr="00502176">
        <w:rPr>
          <w:color w:val="000000" w:themeColor="text1"/>
          <w:lang w:eastAsia="pl-PL"/>
        </w:rPr>
        <w:t xml:space="preserve">Na wykresie kursu akcji </w:t>
      </w:r>
      <w:r w:rsidRPr="00AC6318">
        <w:rPr>
          <w:b/>
          <w:color w:val="000000" w:themeColor="text1"/>
          <w:lang w:eastAsia="pl-PL"/>
        </w:rPr>
        <w:t>BZ WBK</w:t>
      </w:r>
      <w:r w:rsidRPr="00502176">
        <w:rPr>
          <w:color w:val="000000" w:themeColor="text1"/>
          <w:lang w:eastAsia="pl-PL"/>
        </w:rPr>
        <w:t xml:space="preserve"> doszło do wybicia z formacji podwójnego dna. Jeżeli formacja ta miałaby się wypełnić powinno dojść do wzrostu kursu akcji tego banku do 324 złotych i 36 groszy, czyli </w:t>
      </w:r>
      <w:r w:rsidRPr="00502176">
        <w:rPr>
          <w:b/>
          <w:color w:val="000000" w:themeColor="text1"/>
          <w:lang w:eastAsia="pl-PL"/>
        </w:rPr>
        <w:t>o 11,8 %.</w:t>
      </w:r>
      <w:r w:rsidRPr="00502176">
        <w:rPr>
          <w:color w:val="000000" w:themeColor="text1"/>
          <w:lang w:eastAsia="pl-PL"/>
        </w:rPr>
        <w:t xml:space="preserve"> Na wykresie kursu akcji </w:t>
      </w:r>
      <w:proofErr w:type="spellStart"/>
      <w:r w:rsidRPr="00AC6318">
        <w:rPr>
          <w:b/>
          <w:color w:val="000000" w:themeColor="text1"/>
          <w:lang w:eastAsia="pl-PL"/>
        </w:rPr>
        <w:t>PeKaO</w:t>
      </w:r>
      <w:proofErr w:type="spellEnd"/>
      <w:r w:rsidRPr="00502176">
        <w:rPr>
          <w:color w:val="000000" w:themeColor="text1"/>
          <w:lang w:eastAsia="pl-PL"/>
        </w:rPr>
        <w:t xml:space="preserve"> doszło do wybicia z formacji podwójnego dna. Jeżeli formacja ta miałaby się wypełnić powinno dojść do wzrostu kursu akcji tego banku do 167 złotych i 44 groszy, czyli </w:t>
      </w:r>
      <w:r w:rsidRPr="00502176">
        <w:rPr>
          <w:b/>
          <w:color w:val="000000" w:themeColor="text1"/>
          <w:lang w:eastAsia="pl-PL"/>
        </w:rPr>
        <w:t>o 7,6 %.</w:t>
      </w:r>
      <w:r w:rsidRPr="00502176">
        <w:rPr>
          <w:color w:val="000000" w:themeColor="text1"/>
          <w:lang w:eastAsia="pl-PL"/>
        </w:rPr>
        <w:t xml:space="preserve"> Na wykresie kursu akcji </w:t>
      </w:r>
      <w:r w:rsidRPr="00AC6318">
        <w:rPr>
          <w:b/>
          <w:color w:val="000000" w:themeColor="text1"/>
          <w:lang w:eastAsia="pl-PL"/>
        </w:rPr>
        <w:t xml:space="preserve">mBanku </w:t>
      </w:r>
      <w:r w:rsidRPr="00502176">
        <w:rPr>
          <w:color w:val="000000" w:themeColor="text1"/>
          <w:lang w:eastAsia="pl-PL"/>
        </w:rPr>
        <w:t xml:space="preserve">doszło do wybicia z formacji podwójnego dna. Jeżeli formacja ta miałaby się wypełnić powinno dojść do wzrostu kursu akcji tego banku do 367 złotych i 35 groszy, czyli o </w:t>
      </w:r>
      <w:r w:rsidRPr="00502176">
        <w:rPr>
          <w:b/>
          <w:color w:val="000000" w:themeColor="text1"/>
          <w:lang w:eastAsia="pl-PL"/>
        </w:rPr>
        <w:t>9,0 %.</w:t>
      </w:r>
      <w:r>
        <w:rPr>
          <w:b/>
          <w:color w:val="000000" w:themeColor="text1"/>
          <w:lang w:eastAsia="pl-PL"/>
        </w:rPr>
        <w:t xml:space="preserve"> </w:t>
      </w:r>
      <w:r>
        <w:rPr>
          <w:color w:val="000000" w:themeColor="text1"/>
          <w:lang w:eastAsia="pl-PL"/>
        </w:rPr>
        <w:t xml:space="preserve">22 lutego wytypowana została lista 6 spółek </w:t>
      </w:r>
      <w:proofErr w:type="gramStart"/>
      <w:r>
        <w:rPr>
          <w:color w:val="000000" w:themeColor="text1"/>
          <w:lang w:eastAsia="pl-PL"/>
        </w:rPr>
        <w:t>,,</w:t>
      </w:r>
      <w:proofErr w:type="gramEnd"/>
      <w:r>
        <w:rPr>
          <w:color w:val="000000" w:themeColor="text1"/>
          <w:lang w:eastAsia="pl-PL"/>
        </w:rPr>
        <w:t xml:space="preserve">atrakcyjnych fundamentalnie”. W skład tej grupy spółek wchodzą: </w:t>
      </w:r>
      <w:r w:rsidRPr="00AC6318">
        <w:rPr>
          <w:b/>
          <w:color w:val="FF0000"/>
          <w:lang w:eastAsia="pl-PL"/>
        </w:rPr>
        <w:t xml:space="preserve">Agora, Ceramika Nowa Gala, </w:t>
      </w:r>
      <w:proofErr w:type="spellStart"/>
      <w:r w:rsidRPr="00AC6318">
        <w:rPr>
          <w:b/>
          <w:color w:val="FF0000"/>
          <w:lang w:eastAsia="pl-PL"/>
        </w:rPr>
        <w:t>Netmedia</w:t>
      </w:r>
      <w:proofErr w:type="spellEnd"/>
      <w:r w:rsidRPr="00AC6318">
        <w:rPr>
          <w:b/>
          <w:color w:val="FF0000"/>
          <w:lang w:eastAsia="pl-PL"/>
        </w:rPr>
        <w:t xml:space="preserve">, Stalprodukt, </w:t>
      </w:r>
      <w:proofErr w:type="spellStart"/>
      <w:r w:rsidRPr="00AC6318">
        <w:rPr>
          <w:b/>
          <w:color w:val="FF0000"/>
          <w:lang w:eastAsia="pl-PL"/>
        </w:rPr>
        <w:t>Tesgas</w:t>
      </w:r>
      <w:proofErr w:type="spellEnd"/>
      <w:r w:rsidRPr="00AC6318">
        <w:rPr>
          <w:b/>
          <w:color w:val="FF0000"/>
          <w:lang w:eastAsia="pl-PL"/>
        </w:rPr>
        <w:t xml:space="preserve"> oraz </w:t>
      </w:r>
      <w:proofErr w:type="spellStart"/>
      <w:r w:rsidRPr="00AC6318">
        <w:rPr>
          <w:b/>
          <w:color w:val="FF0000"/>
          <w:lang w:eastAsia="pl-PL"/>
        </w:rPr>
        <w:t>Unima</w:t>
      </w:r>
      <w:proofErr w:type="spellEnd"/>
      <w:r w:rsidRPr="00AC6318">
        <w:rPr>
          <w:b/>
          <w:color w:val="FF0000"/>
          <w:lang w:eastAsia="pl-PL"/>
        </w:rPr>
        <w:t xml:space="preserve"> 2000.  </w:t>
      </w:r>
    </w:p>
    <w:p w:rsidR="00BA16D1" w:rsidRDefault="00BA16D1" w:rsidP="00BA16D1">
      <w:pPr>
        <w:pStyle w:val="Akapitzlist"/>
        <w:spacing w:after="0" w:line="240" w:lineRule="auto"/>
        <w:jc w:val="both"/>
        <w:rPr>
          <w:lang w:eastAsia="pl-PL"/>
        </w:rPr>
      </w:pPr>
    </w:p>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Opracował: Sławomir Kłusek, 7 marca 2016 roku</w:t>
      </w:r>
    </w:p>
    <w:p w:rsidR="00BA16D1" w:rsidRDefault="00BA16D1" w:rsidP="00BA16D1">
      <w:pPr>
        <w:spacing w:after="0" w:line="240" w:lineRule="auto"/>
        <w:jc w:val="both"/>
        <w:rPr>
          <w:rFonts w:eastAsia="Times New Roman" w:cs="Times New Roman"/>
          <w:lang w:eastAsia="pl-PL"/>
        </w:rPr>
      </w:pPr>
    </w:p>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BA16D1" w:rsidRDefault="00BA16D1" w:rsidP="00BA16D1">
      <w:pPr>
        <w:spacing w:after="0" w:line="240" w:lineRule="auto"/>
        <w:jc w:val="both"/>
        <w:rPr>
          <w:rFonts w:eastAsia="Times New Roman" w:cs="Times New Roman"/>
          <w:lang w:eastAsia="pl-PL"/>
        </w:rPr>
      </w:pPr>
    </w:p>
    <w:p w:rsidR="00BA16D1" w:rsidRDefault="00BA16D1" w:rsidP="00BA16D1">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42"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BA16D1" w:rsidRDefault="00BA16D1" w:rsidP="00BA16D1">
      <w:pPr>
        <w:spacing w:after="0" w:line="240" w:lineRule="auto"/>
        <w:jc w:val="both"/>
        <w:rPr>
          <w:rFonts w:eastAsia="Times New Roman" w:cs="Times New Roman"/>
          <w:lang w:eastAsia="pl-PL"/>
        </w:rPr>
      </w:pPr>
    </w:p>
    <w:p w:rsidR="00BA16D1" w:rsidRDefault="00BA16D1" w:rsidP="00BA16D1">
      <w:pPr>
        <w:spacing w:after="0" w:line="240" w:lineRule="auto"/>
        <w:jc w:val="both"/>
        <w:rPr>
          <w:rStyle w:val="Hipercze"/>
          <w:rFonts w:eastAsia="Times New Roman" w:cs="Times New Roman"/>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43" w:history="1">
        <w:r>
          <w:rPr>
            <w:rStyle w:val="Hipercze"/>
            <w:rFonts w:eastAsia="Times New Roman" w:cs="Times New Roman"/>
            <w:lang w:eastAsia="pl-PL"/>
          </w:rPr>
          <w:t>www.analizy-rynkowe.pl</w:t>
        </w:r>
      </w:hyperlink>
    </w:p>
    <w:p w:rsidR="00BA16D1" w:rsidRDefault="00BA16D1" w:rsidP="00BA16D1">
      <w:pPr>
        <w:spacing w:after="0" w:line="240" w:lineRule="auto"/>
        <w:jc w:val="both"/>
        <w:rPr>
          <w:rStyle w:val="Hipercze"/>
          <w:rFonts w:eastAsia="Times New Roman" w:cs="Times New Roman"/>
          <w:lang w:eastAsia="pl-PL"/>
        </w:rPr>
      </w:pPr>
    </w:p>
    <w:p w:rsidR="00BA16D1" w:rsidRDefault="00BA16D1" w:rsidP="00BA16D1">
      <w:pPr>
        <w:spacing w:after="0" w:line="240" w:lineRule="auto"/>
        <w:jc w:val="both"/>
        <w:rPr>
          <w:rStyle w:val="Hipercze"/>
          <w:rFonts w:eastAsia="Times New Roman" w:cs="Times New Roman"/>
          <w:lang w:eastAsia="pl-PL"/>
        </w:rPr>
      </w:pPr>
    </w:p>
    <w:p w:rsidR="00BA16D1" w:rsidRDefault="00BA16D1" w:rsidP="00BA16D1">
      <w:pPr>
        <w:spacing w:after="0" w:line="240" w:lineRule="auto"/>
        <w:jc w:val="both"/>
        <w:rPr>
          <w:rStyle w:val="Hipercze"/>
          <w:rFonts w:eastAsia="Times New Roman" w:cs="Times New Roman"/>
          <w:lang w:eastAsia="pl-PL"/>
        </w:rPr>
      </w:pPr>
    </w:p>
    <w:p w:rsidR="00BA16D1" w:rsidRDefault="00BA16D1" w:rsidP="00BA16D1">
      <w:pPr>
        <w:spacing w:after="0" w:line="240" w:lineRule="auto"/>
        <w:jc w:val="both"/>
        <w:rPr>
          <w:rStyle w:val="Hipercze"/>
          <w:rFonts w:eastAsia="Times New Roman" w:cs="Times New Roman"/>
          <w:lang w:eastAsia="pl-PL"/>
        </w:rPr>
      </w:pPr>
    </w:p>
    <w:p w:rsidR="00BA16D1" w:rsidRDefault="00BA16D1" w:rsidP="004C1CCB">
      <w:pPr>
        <w:spacing w:after="0" w:line="240" w:lineRule="auto"/>
        <w:jc w:val="both"/>
      </w:pPr>
    </w:p>
    <w:sectPr w:rsidR="00BA1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yriadPro-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F6AC0"/>
    <w:multiLevelType w:val="hybridMultilevel"/>
    <w:tmpl w:val="20F83842"/>
    <w:lvl w:ilvl="0" w:tplc="04487634">
      <w:start w:val="16"/>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CB"/>
    <w:rsid w:val="00341B7F"/>
    <w:rsid w:val="004C1CCB"/>
    <w:rsid w:val="00BA16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C1CCB"/>
    <w:pPr>
      <w:spacing w:after="0" w:line="240" w:lineRule="auto"/>
    </w:pPr>
  </w:style>
  <w:style w:type="paragraph" w:styleId="Tekstdymka">
    <w:name w:val="Balloon Text"/>
    <w:basedOn w:val="Normalny"/>
    <w:link w:val="TekstdymkaZnak"/>
    <w:uiPriority w:val="99"/>
    <w:semiHidden/>
    <w:unhideWhenUsed/>
    <w:rsid w:val="004C1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CCB"/>
    <w:rPr>
      <w:rFonts w:ascii="Tahoma" w:hAnsi="Tahoma" w:cs="Tahoma"/>
      <w:sz w:val="16"/>
      <w:szCs w:val="16"/>
    </w:rPr>
  </w:style>
  <w:style w:type="paragraph" w:styleId="NormalnyWeb">
    <w:name w:val="Normal (Web)"/>
    <w:basedOn w:val="Normalny"/>
    <w:uiPriority w:val="99"/>
    <w:semiHidden/>
    <w:unhideWhenUsed/>
    <w:rsid w:val="004C1C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1CCB"/>
    <w:rPr>
      <w:b/>
      <w:bCs/>
    </w:rPr>
  </w:style>
  <w:style w:type="table" w:styleId="Tabela-Siatka">
    <w:name w:val="Table Grid"/>
    <w:basedOn w:val="Standardowy"/>
    <w:uiPriority w:val="59"/>
    <w:rsid w:val="004C1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4C1CCB"/>
    <w:rPr>
      <w:color w:val="0000FF" w:themeColor="hyperlink"/>
      <w:u w:val="single"/>
    </w:rPr>
  </w:style>
  <w:style w:type="character" w:styleId="UyteHipercze">
    <w:name w:val="FollowedHyperlink"/>
    <w:basedOn w:val="Domylnaczcionkaakapitu"/>
    <w:uiPriority w:val="99"/>
    <w:semiHidden/>
    <w:unhideWhenUsed/>
    <w:rsid w:val="004C1CCB"/>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rsid w:val="004C1CCB"/>
    <w:rPr>
      <w:sz w:val="20"/>
      <w:szCs w:val="20"/>
    </w:rPr>
  </w:style>
  <w:style w:type="paragraph" w:styleId="Tekstprzypisukocowego">
    <w:name w:val="endnote text"/>
    <w:basedOn w:val="Normalny"/>
    <w:link w:val="TekstprzypisukocowegoZnak"/>
    <w:uiPriority w:val="99"/>
    <w:semiHidden/>
    <w:unhideWhenUsed/>
    <w:rsid w:val="004C1CCB"/>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4C1CCB"/>
    <w:rPr>
      <w:sz w:val="20"/>
      <w:szCs w:val="20"/>
    </w:rPr>
  </w:style>
  <w:style w:type="paragraph" w:styleId="Akapitzlist">
    <w:name w:val="List Paragraph"/>
    <w:basedOn w:val="Normalny"/>
    <w:uiPriority w:val="34"/>
    <w:qFormat/>
    <w:rsid w:val="004C1CCB"/>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1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C1CCB"/>
    <w:pPr>
      <w:spacing w:after="0" w:line="240" w:lineRule="auto"/>
    </w:pPr>
  </w:style>
  <w:style w:type="paragraph" w:styleId="Tekstdymka">
    <w:name w:val="Balloon Text"/>
    <w:basedOn w:val="Normalny"/>
    <w:link w:val="TekstdymkaZnak"/>
    <w:uiPriority w:val="99"/>
    <w:semiHidden/>
    <w:unhideWhenUsed/>
    <w:rsid w:val="004C1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1CCB"/>
    <w:rPr>
      <w:rFonts w:ascii="Tahoma" w:hAnsi="Tahoma" w:cs="Tahoma"/>
      <w:sz w:val="16"/>
      <w:szCs w:val="16"/>
    </w:rPr>
  </w:style>
  <w:style w:type="paragraph" w:styleId="NormalnyWeb">
    <w:name w:val="Normal (Web)"/>
    <w:basedOn w:val="Normalny"/>
    <w:uiPriority w:val="99"/>
    <w:semiHidden/>
    <w:unhideWhenUsed/>
    <w:rsid w:val="004C1C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C1CCB"/>
    <w:rPr>
      <w:b/>
      <w:bCs/>
    </w:rPr>
  </w:style>
  <w:style w:type="table" w:styleId="Tabela-Siatka">
    <w:name w:val="Table Grid"/>
    <w:basedOn w:val="Standardowy"/>
    <w:uiPriority w:val="59"/>
    <w:rsid w:val="004C1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4C1CCB"/>
    <w:rPr>
      <w:color w:val="0000FF" w:themeColor="hyperlink"/>
      <w:u w:val="single"/>
    </w:rPr>
  </w:style>
  <w:style w:type="character" w:styleId="UyteHipercze">
    <w:name w:val="FollowedHyperlink"/>
    <w:basedOn w:val="Domylnaczcionkaakapitu"/>
    <w:uiPriority w:val="99"/>
    <w:semiHidden/>
    <w:unhideWhenUsed/>
    <w:rsid w:val="004C1CCB"/>
    <w:rPr>
      <w:color w:val="800080" w:themeColor="followedHyperlink"/>
      <w:u w:val="single"/>
    </w:rPr>
  </w:style>
  <w:style w:type="character" w:customStyle="1" w:styleId="TekstprzypisukocowegoZnak">
    <w:name w:val="Tekst przypisu końcowego Znak"/>
    <w:basedOn w:val="Domylnaczcionkaakapitu"/>
    <w:link w:val="Tekstprzypisukocowego"/>
    <w:uiPriority w:val="99"/>
    <w:semiHidden/>
    <w:rsid w:val="004C1CCB"/>
    <w:rPr>
      <w:sz w:val="20"/>
      <w:szCs w:val="20"/>
    </w:rPr>
  </w:style>
  <w:style w:type="paragraph" w:styleId="Tekstprzypisukocowego">
    <w:name w:val="endnote text"/>
    <w:basedOn w:val="Normalny"/>
    <w:link w:val="TekstprzypisukocowegoZnak"/>
    <w:uiPriority w:val="99"/>
    <w:semiHidden/>
    <w:unhideWhenUsed/>
    <w:rsid w:val="004C1CCB"/>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4C1CCB"/>
    <w:rPr>
      <w:sz w:val="20"/>
      <w:szCs w:val="20"/>
    </w:rPr>
  </w:style>
  <w:style w:type="paragraph" w:styleId="Akapitzlist">
    <w:name w:val="List Paragraph"/>
    <w:basedOn w:val="Normalny"/>
    <w:uiPriority w:val="34"/>
    <w:qFormat/>
    <w:rsid w:val="004C1CC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analizy-rynkowe.pl/" TargetMode="External"/><Relationship Id="rId18" Type="http://schemas.openxmlformats.org/officeDocument/2006/relationships/hyperlink" Target="http://www.analizy-rynkowe.pl" TargetMode="External"/><Relationship Id="rId26" Type="http://schemas.openxmlformats.org/officeDocument/2006/relationships/hyperlink" Target="http://analizy-rynkowe.pl/" TargetMode="External"/><Relationship Id="rId39" Type="http://schemas.openxmlformats.org/officeDocument/2006/relationships/hyperlink" Target="http://analizy-rynkowe.pl/" TargetMode="External"/><Relationship Id="rId3" Type="http://schemas.microsoft.com/office/2007/relationships/stylesWithEffects" Target="stylesWithEffects.xml"/><Relationship Id="rId21" Type="http://schemas.openxmlformats.org/officeDocument/2006/relationships/hyperlink" Target="http://www.analizy-rynkowe.pl" TargetMode="External"/><Relationship Id="rId34" Type="http://schemas.openxmlformats.org/officeDocument/2006/relationships/hyperlink" Target="http://www.analizy-rynkowe.pl" TargetMode="External"/><Relationship Id="rId42" Type="http://schemas.openxmlformats.org/officeDocument/2006/relationships/hyperlink" Target="http://www.analizy-rynkowe.pl" TargetMode="Externa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38" Type="http://schemas.openxmlformats.org/officeDocument/2006/relationships/hyperlink" Target="http://www.analizy-rynkowe.pl" TargetMode="External"/><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41" Type="http://schemas.openxmlformats.org/officeDocument/2006/relationships/hyperlink" Target="http://analizy-rynkowe.p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hyperlink" Target="http://www.analizy-rynkowe.pl" TargetMode="External"/><Relationship Id="rId32" Type="http://schemas.openxmlformats.org/officeDocument/2006/relationships/hyperlink" Target="http://www.analizy-rynkowe.pl" TargetMode="External"/><Relationship Id="rId37" Type="http://schemas.openxmlformats.org/officeDocument/2006/relationships/hyperlink" Target="http://www.analizy-rynkowe.pl" TargetMode="External"/><Relationship Id="rId40" Type="http://schemas.openxmlformats.org/officeDocument/2006/relationships/hyperlink" Target="http://www.analizy-rynkowe.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nalizy-rynkowe.pl"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www.analizy-rynkowe.pl" TargetMode="External"/><Relationship Id="rId10" Type="http://schemas.openxmlformats.org/officeDocument/2006/relationships/image" Target="media/image5.gif"/><Relationship Id="rId19" Type="http://schemas.openxmlformats.org/officeDocument/2006/relationships/hyperlink" Target="http://www.analizy-rynkowe.pl" TargetMode="External"/><Relationship Id="rId31" Type="http://schemas.openxmlformats.org/officeDocument/2006/relationships/hyperlink" Target="http://www.analizy-rynkowe.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 Id="rId43" Type="http://schemas.openxmlformats.org/officeDocument/2006/relationships/hyperlink" Target="http://www.analizy-rynk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4646</Words>
  <Characters>27877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2016-03-06T09:15:00Z</dcterms:created>
  <dcterms:modified xsi:type="dcterms:W3CDTF">2016-03-06T09:15:00Z</dcterms:modified>
</cp:coreProperties>
</file>