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A3" w:rsidRPr="006556A3" w:rsidRDefault="006556A3" w:rsidP="0065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color w:val="000000" w:themeColor="text1"/>
          <w:sz w:val="130"/>
          <w:szCs w:val="130"/>
        </w:rPr>
      </w:pPr>
      <w:r w:rsidRPr="006556A3">
        <w:rPr>
          <w:rFonts w:eastAsiaTheme="minorEastAsia"/>
          <w:color w:val="000000" w:themeColor="text1"/>
          <w:sz w:val="130"/>
          <w:szCs w:val="1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Lista spółek </w:t>
      </w:r>
      <w:proofErr w:type="gramStart"/>
      <w:r w:rsidRPr="006556A3">
        <w:rPr>
          <w:rFonts w:eastAsiaTheme="minorEastAsia"/>
          <w:color w:val="000000" w:themeColor="text1"/>
          <w:sz w:val="130"/>
          <w:szCs w:val="1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6556A3">
        <w:rPr>
          <w:rFonts w:eastAsiaTheme="minorEastAsia"/>
          <w:color w:val="000000" w:themeColor="text1"/>
          <w:sz w:val="130"/>
          <w:szCs w:val="13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atrakcyjnych fundamentalnie”</w:t>
      </w:r>
    </w:p>
    <w:p w:rsidR="006556A3" w:rsidRPr="006556A3" w:rsidRDefault="006556A3" w:rsidP="0065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112"/>
          <w:szCs w:val="112"/>
          <w:u w:val="single"/>
        </w:rPr>
      </w:pPr>
      <w:r w:rsidRPr="006556A3">
        <w:rPr>
          <w:b/>
          <w:sz w:val="112"/>
          <w:szCs w:val="112"/>
          <w:u w:val="single"/>
        </w:rPr>
        <w:t>Opracowanie według stanu na 22 lutego 2016 roku</w:t>
      </w:r>
    </w:p>
    <w:p w:rsidR="006556A3" w:rsidRPr="006556A3" w:rsidRDefault="006556A3" w:rsidP="0065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112"/>
          <w:szCs w:val="112"/>
        </w:rPr>
      </w:pPr>
    </w:p>
    <w:p w:rsidR="006556A3" w:rsidRDefault="006556A3" w:rsidP="00655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b/>
          <w:sz w:val="60"/>
          <w:szCs w:val="60"/>
        </w:rPr>
      </w:pPr>
    </w:p>
    <w:p w:rsidR="0083642B" w:rsidRPr="00B12563" w:rsidRDefault="00B12563" w:rsidP="00B12563">
      <w:pPr>
        <w:jc w:val="both"/>
        <w:rPr>
          <w:b/>
          <w:sz w:val="60"/>
          <w:szCs w:val="60"/>
        </w:rPr>
      </w:pPr>
      <w:r w:rsidRPr="00B12563">
        <w:rPr>
          <w:b/>
          <w:sz w:val="60"/>
          <w:szCs w:val="60"/>
        </w:rPr>
        <w:lastRenderedPageBreak/>
        <w:t>Spółka: Agora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1.Cena/Wartość Księgowa (w dniu </w:t>
      </w:r>
      <w:r w:rsidR="006556A3">
        <w:rPr>
          <w:sz w:val="60"/>
          <w:szCs w:val="60"/>
        </w:rPr>
        <w:t>22</w:t>
      </w:r>
      <w:r w:rsidRPr="00B12563">
        <w:rPr>
          <w:sz w:val="60"/>
          <w:szCs w:val="60"/>
        </w:rPr>
        <w:t xml:space="preserve"> lutego 2016 roku) w krotnościach </w:t>
      </w:r>
    </w:p>
    <w:p w:rsidR="00B12563" w:rsidRPr="002E1BF8" w:rsidRDefault="00B12563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0,48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2. Płynność bieżąca (w dniu 30 września 2015 roku) w krotnościach </w:t>
      </w:r>
    </w:p>
    <w:p w:rsidR="00B12563" w:rsidRPr="002E1BF8" w:rsidRDefault="00B12563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1,5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3. Rentowność sprzedaży (za okres od 1 stycznia </w:t>
      </w:r>
      <w:proofErr w:type="gramStart"/>
      <w:r w:rsidRPr="00B12563">
        <w:rPr>
          <w:sz w:val="60"/>
          <w:szCs w:val="60"/>
        </w:rPr>
        <w:t>do  30 września</w:t>
      </w:r>
      <w:proofErr w:type="gramEnd"/>
      <w:r w:rsidRPr="00B12563">
        <w:rPr>
          <w:sz w:val="60"/>
          <w:szCs w:val="60"/>
        </w:rPr>
        <w:t xml:space="preserve"> 2015 roku) w %</w:t>
      </w:r>
    </w:p>
    <w:p w:rsidR="00B12563" w:rsidRPr="002E1BF8" w:rsidRDefault="00B12563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 xml:space="preserve">-0,4 </w:t>
      </w:r>
    </w:p>
    <w:p w:rsid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4. </w:t>
      </w:r>
      <w:r>
        <w:rPr>
          <w:sz w:val="60"/>
          <w:szCs w:val="60"/>
        </w:rPr>
        <w:t>R</w:t>
      </w:r>
      <w:r w:rsidRPr="00B12563">
        <w:rPr>
          <w:sz w:val="60"/>
          <w:szCs w:val="60"/>
        </w:rPr>
        <w:t xml:space="preserve">entowność </w:t>
      </w:r>
      <w:r>
        <w:rPr>
          <w:sz w:val="60"/>
          <w:szCs w:val="60"/>
        </w:rPr>
        <w:t>sprzedaży netto/</w:t>
      </w:r>
      <w:r w:rsidRPr="00B12563">
        <w:t xml:space="preserve"> </w:t>
      </w:r>
      <w:r w:rsidRPr="00B12563">
        <w:rPr>
          <w:sz w:val="60"/>
          <w:szCs w:val="60"/>
        </w:rPr>
        <w:t>Płynność bieżąca</w:t>
      </w:r>
    </w:p>
    <w:p w:rsidR="00B12563" w:rsidRPr="002E1BF8" w:rsidRDefault="00B12563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-0,2</w:t>
      </w:r>
    </w:p>
    <w:p w:rsidR="00B12563" w:rsidRPr="00B12563" w:rsidRDefault="00B12563" w:rsidP="00B12563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Spółka: Ceramika Nowa Gala 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1.Cena/Wartość Księgowa (w dniu </w:t>
      </w:r>
      <w:r w:rsidR="006556A3">
        <w:rPr>
          <w:sz w:val="60"/>
          <w:szCs w:val="60"/>
        </w:rPr>
        <w:t>22</w:t>
      </w:r>
      <w:r w:rsidRPr="00B12563">
        <w:rPr>
          <w:sz w:val="60"/>
          <w:szCs w:val="60"/>
        </w:rPr>
        <w:t xml:space="preserve"> lutego 2016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0,29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2. Płynność bieżąca (w dniu 30 września 2015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2,2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3. Rentowność sprzedaży (za okres od 1 stycznia </w:t>
      </w:r>
      <w:proofErr w:type="gramStart"/>
      <w:r w:rsidRPr="00B12563">
        <w:rPr>
          <w:sz w:val="60"/>
          <w:szCs w:val="60"/>
        </w:rPr>
        <w:t>do  30 września</w:t>
      </w:r>
      <w:proofErr w:type="gramEnd"/>
      <w:r w:rsidRPr="00B12563">
        <w:rPr>
          <w:sz w:val="60"/>
          <w:szCs w:val="60"/>
        </w:rPr>
        <w:t xml:space="preserve"> 2015 roku) w %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1,3</w:t>
      </w:r>
    </w:p>
    <w:p w:rsid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4. </w:t>
      </w:r>
      <w:r>
        <w:rPr>
          <w:sz w:val="60"/>
          <w:szCs w:val="60"/>
        </w:rPr>
        <w:t>R</w:t>
      </w:r>
      <w:r w:rsidRPr="00B12563">
        <w:rPr>
          <w:sz w:val="60"/>
          <w:szCs w:val="60"/>
        </w:rPr>
        <w:t xml:space="preserve">entowność </w:t>
      </w:r>
      <w:r>
        <w:rPr>
          <w:sz w:val="60"/>
          <w:szCs w:val="60"/>
        </w:rPr>
        <w:t>sprzedaży netto/</w:t>
      </w:r>
      <w:r w:rsidRPr="00B12563">
        <w:t xml:space="preserve"> </w:t>
      </w:r>
      <w:r w:rsidRPr="00B12563">
        <w:rPr>
          <w:sz w:val="60"/>
          <w:szCs w:val="60"/>
        </w:rPr>
        <w:t>Płynność bieżąca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0,6</w:t>
      </w:r>
    </w:p>
    <w:p w:rsidR="00B12563" w:rsidRPr="00B12563" w:rsidRDefault="00B12563" w:rsidP="00B12563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Spółka: </w:t>
      </w:r>
      <w:proofErr w:type="spellStart"/>
      <w:r>
        <w:rPr>
          <w:b/>
          <w:sz w:val="60"/>
          <w:szCs w:val="60"/>
        </w:rPr>
        <w:t>Netmedia</w:t>
      </w:r>
      <w:proofErr w:type="spellEnd"/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1.Cena/Wartość Księgowa (w dniu </w:t>
      </w:r>
      <w:r w:rsidR="006556A3">
        <w:rPr>
          <w:sz w:val="60"/>
          <w:szCs w:val="60"/>
        </w:rPr>
        <w:t>22</w:t>
      </w:r>
      <w:r w:rsidRPr="00B12563">
        <w:rPr>
          <w:sz w:val="60"/>
          <w:szCs w:val="60"/>
        </w:rPr>
        <w:t xml:space="preserve"> lutego 2016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0,74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2. Płynność bieżąca (w dniu 30 września 2015 roku) w krotnościach </w:t>
      </w:r>
    </w:p>
    <w:p w:rsidR="00B12563" w:rsidRPr="002E1BF8" w:rsidRDefault="00B12563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1,5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3. Rentowność sprzedaży (za okres od 1 stycznia </w:t>
      </w:r>
      <w:proofErr w:type="gramStart"/>
      <w:r w:rsidRPr="00B12563">
        <w:rPr>
          <w:sz w:val="60"/>
          <w:szCs w:val="60"/>
        </w:rPr>
        <w:t>do  30 września</w:t>
      </w:r>
      <w:proofErr w:type="gramEnd"/>
      <w:r w:rsidRPr="00B12563">
        <w:rPr>
          <w:sz w:val="60"/>
          <w:szCs w:val="60"/>
        </w:rPr>
        <w:t xml:space="preserve"> 2015 roku) w %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3,4</w:t>
      </w:r>
    </w:p>
    <w:p w:rsid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4. </w:t>
      </w:r>
      <w:r>
        <w:rPr>
          <w:sz w:val="60"/>
          <w:szCs w:val="60"/>
        </w:rPr>
        <w:t>R</w:t>
      </w:r>
      <w:r w:rsidRPr="00B12563">
        <w:rPr>
          <w:sz w:val="60"/>
          <w:szCs w:val="60"/>
        </w:rPr>
        <w:t xml:space="preserve">entowność </w:t>
      </w:r>
      <w:r>
        <w:rPr>
          <w:sz w:val="60"/>
          <w:szCs w:val="60"/>
        </w:rPr>
        <w:t>sprzedaży netto/</w:t>
      </w:r>
      <w:r w:rsidRPr="00B12563">
        <w:t xml:space="preserve"> </w:t>
      </w:r>
      <w:r w:rsidRPr="00B12563">
        <w:rPr>
          <w:sz w:val="60"/>
          <w:szCs w:val="60"/>
        </w:rPr>
        <w:t>Płynność bieżąca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2,2</w:t>
      </w:r>
    </w:p>
    <w:p w:rsidR="00B12563" w:rsidRPr="00B12563" w:rsidRDefault="00B12563" w:rsidP="00B12563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Spółka: Stalprodukt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1.Cena/Wartość Księgowa (w dniu </w:t>
      </w:r>
      <w:r w:rsidR="006556A3">
        <w:rPr>
          <w:sz w:val="60"/>
          <w:szCs w:val="60"/>
        </w:rPr>
        <w:t>22</w:t>
      </w:r>
      <w:r w:rsidRPr="00B12563">
        <w:rPr>
          <w:sz w:val="60"/>
          <w:szCs w:val="60"/>
        </w:rPr>
        <w:t xml:space="preserve"> lutego 2016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0,81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2. Płynność bieżąca (w dniu 30 września 2015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2,7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3. Rentowność sprzedaży (za okres od 1 stycznia </w:t>
      </w:r>
      <w:proofErr w:type="gramStart"/>
      <w:r w:rsidRPr="00B12563">
        <w:rPr>
          <w:sz w:val="60"/>
          <w:szCs w:val="60"/>
        </w:rPr>
        <w:t>do  30 września</w:t>
      </w:r>
      <w:proofErr w:type="gramEnd"/>
      <w:r w:rsidRPr="00B12563">
        <w:rPr>
          <w:sz w:val="60"/>
          <w:szCs w:val="60"/>
        </w:rPr>
        <w:t xml:space="preserve"> 2015 roku) w %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7,5</w:t>
      </w:r>
    </w:p>
    <w:p w:rsid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4. </w:t>
      </w:r>
      <w:r>
        <w:rPr>
          <w:sz w:val="60"/>
          <w:szCs w:val="60"/>
        </w:rPr>
        <w:t>R</w:t>
      </w:r>
      <w:r w:rsidRPr="00B12563">
        <w:rPr>
          <w:sz w:val="60"/>
          <w:szCs w:val="60"/>
        </w:rPr>
        <w:t xml:space="preserve">entowność </w:t>
      </w:r>
      <w:r>
        <w:rPr>
          <w:sz w:val="60"/>
          <w:szCs w:val="60"/>
        </w:rPr>
        <w:t>sprzedaży netto/</w:t>
      </w:r>
      <w:r w:rsidRPr="00B12563">
        <w:t xml:space="preserve"> </w:t>
      </w:r>
      <w:r w:rsidRPr="00B12563">
        <w:rPr>
          <w:sz w:val="60"/>
          <w:szCs w:val="60"/>
        </w:rPr>
        <w:t>Płynność bieżąca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2,7</w:t>
      </w:r>
    </w:p>
    <w:p w:rsidR="00B12563" w:rsidRPr="00B12563" w:rsidRDefault="00B12563" w:rsidP="00B12563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 xml:space="preserve">Spółka: </w:t>
      </w:r>
      <w:proofErr w:type="spellStart"/>
      <w:r>
        <w:rPr>
          <w:b/>
          <w:sz w:val="60"/>
          <w:szCs w:val="60"/>
        </w:rPr>
        <w:t>Tesgas</w:t>
      </w:r>
      <w:proofErr w:type="spellEnd"/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1.Cena/Wartość Księgowa (w dniu </w:t>
      </w:r>
      <w:r w:rsidR="006556A3">
        <w:rPr>
          <w:sz w:val="60"/>
          <w:szCs w:val="60"/>
        </w:rPr>
        <w:t>22</w:t>
      </w:r>
      <w:r w:rsidRPr="00B12563">
        <w:rPr>
          <w:sz w:val="60"/>
          <w:szCs w:val="60"/>
        </w:rPr>
        <w:t xml:space="preserve"> lutego 2016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0,46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2. Płynność bieżąca (w dniu 30 września 2015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2,9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3. Rentowność sprzedaży (za okres od 1 stycznia </w:t>
      </w:r>
      <w:proofErr w:type="gramStart"/>
      <w:r w:rsidRPr="00B12563">
        <w:rPr>
          <w:sz w:val="60"/>
          <w:szCs w:val="60"/>
        </w:rPr>
        <w:t>do  30 września</w:t>
      </w:r>
      <w:proofErr w:type="gramEnd"/>
      <w:r w:rsidRPr="00B12563">
        <w:rPr>
          <w:sz w:val="60"/>
          <w:szCs w:val="60"/>
        </w:rPr>
        <w:t xml:space="preserve"> 2015 roku) w %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1,8</w:t>
      </w:r>
    </w:p>
    <w:p w:rsid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4. </w:t>
      </w:r>
      <w:r>
        <w:rPr>
          <w:sz w:val="60"/>
          <w:szCs w:val="60"/>
        </w:rPr>
        <w:t>R</w:t>
      </w:r>
      <w:r w:rsidRPr="00B12563">
        <w:rPr>
          <w:sz w:val="60"/>
          <w:szCs w:val="60"/>
        </w:rPr>
        <w:t xml:space="preserve">entowność </w:t>
      </w:r>
      <w:r>
        <w:rPr>
          <w:sz w:val="60"/>
          <w:szCs w:val="60"/>
        </w:rPr>
        <w:t>sprzedaży netto/</w:t>
      </w:r>
      <w:r w:rsidRPr="00B12563">
        <w:t xml:space="preserve"> </w:t>
      </w:r>
      <w:r w:rsidRPr="00B12563">
        <w:rPr>
          <w:sz w:val="60"/>
          <w:szCs w:val="60"/>
        </w:rPr>
        <w:t>Płynność bieżąca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0,6</w:t>
      </w:r>
    </w:p>
    <w:p w:rsidR="00B12563" w:rsidRPr="00B12563" w:rsidRDefault="00B12563" w:rsidP="00B12563">
      <w:pPr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Spółka: Unima2000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1.Cena/Wartość Księgowa (w dniu </w:t>
      </w:r>
      <w:r w:rsidR="006556A3">
        <w:rPr>
          <w:sz w:val="60"/>
          <w:szCs w:val="60"/>
        </w:rPr>
        <w:t>22</w:t>
      </w:r>
      <w:r w:rsidRPr="00B12563">
        <w:rPr>
          <w:sz w:val="60"/>
          <w:szCs w:val="60"/>
        </w:rPr>
        <w:t xml:space="preserve"> lutego 2016 roku) w krotnościach 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0,41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2. Płynność bieżąca (w dniu 30 września 2015 roku) w krotnościach </w:t>
      </w:r>
    </w:p>
    <w:p w:rsidR="00B12563" w:rsidRPr="002E1BF8" w:rsidRDefault="00B12563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1,5</w:t>
      </w:r>
    </w:p>
    <w:p w:rsidR="00B12563" w:rsidRP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3. Rentowność sprzedaży (za okres od 1 stycznia </w:t>
      </w:r>
      <w:proofErr w:type="gramStart"/>
      <w:r w:rsidRPr="00B12563">
        <w:rPr>
          <w:sz w:val="60"/>
          <w:szCs w:val="60"/>
        </w:rPr>
        <w:t>do  30 września</w:t>
      </w:r>
      <w:proofErr w:type="gramEnd"/>
      <w:r w:rsidRPr="00B12563">
        <w:rPr>
          <w:sz w:val="60"/>
          <w:szCs w:val="60"/>
        </w:rPr>
        <w:t xml:space="preserve"> 2015 roku) w %</w:t>
      </w:r>
    </w:p>
    <w:p w:rsidR="00B12563" w:rsidRPr="002E1BF8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0,0</w:t>
      </w:r>
    </w:p>
    <w:p w:rsidR="00B12563" w:rsidRDefault="00B12563" w:rsidP="00B12563">
      <w:pPr>
        <w:jc w:val="both"/>
        <w:rPr>
          <w:sz w:val="60"/>
          <w:szCs w:val="60"/>
        </w:rPr>
      </w:pPr>
      <w:r w:rsidRPr="00B12563">
        <w:rPr>
          <w:sz w:val="60"/>
          <w:szCs w:val="60"/>
        </w:rPr>
        <w:t xml:space="preserve">4. </w:t>
      </w:r>
      <w:r>
        <w:rPr>
          <w:sz w:val="60"/>
          <w:szCs w:val="60"/>
        </w:rPr>
        <w:t>R</w:t>
      </w:r>
      <w:r w:rsidRPr="00B12563">
        <w:rPr>
          <w:sz w:val="60"/>
          <w:szCs w:val="60"/>
        </w:rPr>
        <w:t xml:space="preserve">entowność </w:t>
      </w:r>
      <w:r>
        <w:rPr>
          <w:sz w:val="60"/>
          <w:szCs w:val="60"/>
        </w:rPr>
        <w:t>sprzedaży netto/</w:t>
      </w:r>
      <w:r w:rsidRPr="00B12563">
        <w:t xml:space="preserve"> </w:t>
      </w:r>
      <w:r w:rsidRPr="00B12563">
        <w:rPr>
          <w:sz w:val="60"/>
          <w:szCs w:val="60"/>
        </w:rPr>
        <w:t>Płynność bieżąca</w:t>
      </w:r>
    </w:p>
    <w:p w:rsidR="00B12563" w:rsidRDefault="002E1BF8" w:rsidP="00B12563">
      <w:pPr>
        <w:jc w:val="both"/>
        <w:rPr>
          <w:b/>
          <w:color w:val="FF0000"/>
          <w:sz w:val="60"/>
          <w:szCs w:val="60"/>
        </w:rPr>
      </w:pPr>
      <w:r w:rsidRPr="002E1BF8">
        <w:rPr>
          <w:b/>
          <w:color w:val="FF0000"/>
          <w:sz w:val="60"/>
          <w:szCs w:val="60"/>
        </w:rPr>
        <w:t>0,0</w:t>
      </w:r>
      <w:bookmarkStart w:id="0" w:name="_GoBack"/>
      <w:bookmarkEnd w:id="0"/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  <w:r w:rsidRPr="008A6BA9">
        <w:rPr>
          <w:sz w:val="34"/>
          <w:szCs w:val="34"/>
        </w:rPr>
        <w:lastRenderedPageBreak/>
        <w:t xml:space="preserve">Każda z tych spółek została umieszczona w rubryce </w:t>
      </w:r>
      <w:proofErr w:type="gramStart"/>
      <w:r w:rsidRPr="008A6BA9">
        <w:rPr>
          <w:sz w:val="34"/>
          <w:szCs w:val="34"/>
        </w:rPr>
        <w:t>,,</w:t>
      </w:r>
      <w:proofErr w:type="gramEnd"/>
      <w:r w:rsidRPr="008A6BA9">
        <w:rPr>
          <w:sz w:val="34"/>
          <w:szCs w:val="34"/>
        </w:rPr>
        <w:t xml:space="preserve">Wykres do przemyślenia” na przestrzeni ostatnich 12 miesięcy a </w:t>
      </w:r>
      <w:r w:rsidRPr="008A6BA9">
        <w:rPr>
          <w:b/>
          <w:sz w:val="34"/>
          <w:szCs w:val="34"/>
          <w:u w:val="single"/>
        </w:rPr>
        <w:t>jednocześnie</w:t>
      </w:r>
      <w:r w:rsidRPr="008A6BA9">
        <w:rPr>
          <w:sz w:val="34"/>
          <w:szCs w:val="34"/>
        </w:rPr>
        <w:t xml:space="preserve"> musiała spełnić 3 kryteria fundamentalne</w:t>
      </w: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</w:p>
    <w:p w:rsidR="00AB1D5B" w:rsidRPr="008A6BA9" w:rsidRDefault="00AB1D5B" w:rsidP="00AB1D5B">
      <w:pPr>
        <w:pStyle w:val="Bezodstpw"/>
        <w:jc w:val="both"/>
        <w:rPr>
          <w:b/>
          <w:sz w:val="34"/>
          <w:szCs w:val="34"/>
          <w:u w:val="single"/>
        </w:rPr>
      </w:pPr>
      <w:r w:rsidRPr="008A6BA9">
        <w:rPr>
          <w:b/>
          <w:sz w:val="34"/>
          <w:szCs w:val="34"/>
          <w:u w:val="single"/>
        </w:rPr>
        <w:t>Kryterium 1</w:t>
      </w: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  <w:r w:rsidRPr="008A6BA9">
        <w:rPr>
          <w:sz w:val="34"/>
          <w:szCs w:val="34"/>
        </w:rPr>
        <w:t>C/WK niższy od 1,0</w:t>
      </w:r>
    </w:p>
    <w:p w:rsidR="00AB1D5B" w:rsidRPr="008A6BA9" w:rsidRDefault="00AB1D5B" w:rsidP="00AB1D5B">
      <w:pPr>
        <w:pStyle w:val="Bezodstpw"/>
        <w:jc w:val="both"/>
        <w:rPr>
          <w:b/>
          <w:sz w:val="34"/>
          <w:szCs w:val="34"/>
          <w:u w:val="single"/>
        </w:rPr>
      </w:pPr>
      <w:r w:rsidRPr="008A6BA9">
        <w:rPr>
          <w:b/>
          <w:sz w:val="34"/>
          <w:szCs w:val="34"/>
          <w:u w:val="single"/>
        </w:rPr>
        <w:t>Kryterium 2</w:t>
      </w: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  <w:r w:rsidRPr="008A6BA9">
        <w:rPr>
          <w:sz w:val="34"/>
          <w:szCs w:val="34"/>
        </w:rPr>
        <w:t>Płynność bieżąca wyższa od 1,5</w:t>
      </w:r>
    </w:p>
    <w:p w:rsidR="00AB1D5B" w:rsidRPr="008A6BA9" w:rsidRDefault="00AB1D5B" w:rsidP="00AB1D5B">
      <w:pPr>
        <w:pStyle w:val="Bezodstpw"/>
        <w:jc w:val="both"/>
        <w:rPr>
          <w:b/>
          <w:sz w:val="34"/>
          <w:szCs w:val="34"/>
          <w:u w:val="single"/>
        </w:rPr>
      </w:pPr>
      <w:r w:rsidRPr="008A6BA9">
        <w:rPr>
          <w:b/>
          <w:sz w:val="34"/>
          <w:szCs w:val="34"/>
          <w:u w:val="single"/>
        </w:rPr>
        <w:t>Kryterium 3</w:t>
      </w: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  <w:r w:rsidRPr="008A6BA9">
        <w:rPr>
          <w:sz w:val="34"/>
          <w:szCs w:val="34"/>
        </w:rPr>
        <w:t>Rentowność/</w:t>
      </w:r>
      <w:proofErr w:type="gramStart"/>
      <w:r w:rsidRPr="008A6BA9">
        <w:rPr>
          <w:sz w:val="34"/>
          <w:szCs w:val="34"/>
        </w:rPr>
        <w:t>Płynność (czyli</w:t>
      </w:r>
      <w:proofErr w:type="gramEnd"/>
      <w:r w:rsidRPr="008A6BA9">
        <w:rPr>
          <w:sz w:val="34"/>
          <w:szCs w:val="34"/>
        </w:rPr>
        <w:t xml:space="preserve"> rentowność sprzedaży w %/płynność bieżąca w krotnościach) niższa od 3,0</w:t>
      </w: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  <w:proofErr w:type="gramStart"/>
      <w:r w:rsidRPr="008A6BA9">
        <w:rPr>
          <w:b/>
          <w:sz w:val="34"/>
          <w:szCs w:val="34"/>
        </w:rPr>
        <w:t>,,</w:t>
      </w:r>
      <w:proofErr w:type="gramEnd"/>
      <w:r w:rsidRPr="008A6BA9">
        <w:rPr>
          <w:b/>
          <w:sz w:val="34"/>
          <w:szCs w:val="34"/>
        </w:rPr>
        <w:t>S</w:t>
      </w:r>
      <w:r w:rsidRPr="008A6BA9">
        <w:rPr>
          <w:b/>
          <w:sz w:val="34"/>
          <w:szCs w:val="34"/>
        </w:rPr>
        <w:t>półką atrakcyjną fundamentalną”</w:t>
      </w:r>
      <w:r w:rsidRPr="008A6BA9">
        <w:rPr>
          <w:sz w:val="34"/>
          <w:szCs w:val="34"/>
        </w:rPr>
        <w:t xml:space="preserve"> jest ta, której akcje są tanio wycenione w stosunku do wartości księgowej, która charakteryzuje się relatywnie wysoką zdolnością do regulowania swych zobowiązań wobec dostawców oraz banków (o czym świadczy wysoki wskaźnik płynności bieżącej a poza tym charakteryzuje się stosunkowo niską rentownością (można bowiem założyć, że skoro rentowność jest obecnie relatywnie niska to w przyszłości wzrośnie, a kurs akcji będzie rósł dyskontując ów przyszły wzrost rentowności; kursy akcji dyskontują bowiem przyszłość)</w:t>
      </w: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</w:p>
    <w:p w:rsidR="00AB1D5B" w:rsidRPr="008A6BA9" w:rsidRDefault="00AB1D5B" w:rsidP="00AB1D5B">
      <w:pPr>
        <w:pStyle w:val="Bezodstpw"/>
        <w:jc w:val="both"/>
        <w:rPr>
          <w:sz w:val="34"/>
          <w:szCs w:val="34"/>
        </w:rPr>
      </w:pPr>
      <w:r w:rsidRPr="008A6BA9">
        <w:rPr>
          <w:sz w:val="34"/>
          <w:szCs w:val="34"/>
        </w:rPr>
        <w:t xml:space="preserve">Sławomir Kłusek, 22 lutego 2016 roku </w:t>
      </w:r>
    </w:p>
    <w:p w:rsidR="00AB1D5B" w:rsidRDefault="00AB1D5B" w:rsidP="00AB1D5B">
      <w:pPr>
        <w:pStyle w:val="Bezodstpw"/>
        <w:jc w:val="both"/>
        <w:rPr>
          <w:sz w:val="26"/>
          <w:szCs w:val="26"/>
        </w:rPr>
      </w:pPr>
    </w:p>
    <w:p w:rsidR="00AB1D5B" w:rsidRPr="00AB1D5B" w:rsidRDefault="00AB1D5B" w:rsidP="00AB1D5B">
      <w:pPr>
        <w:pStyle w:val="Bezodstpw"/>
        <w:jc w:val="both"/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</w:pPr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>Treści zawarte na stronie inte</w:t>
      </w:r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 xml:space="preserve">rnetowej </w:t>
      </w:r>
      <w:hyperlink r:id="rId5" w:history="1">
        <w:r w:rsidRPr="00AB1D5B">
          <w:rPr>
            <w:rStyle w:val="Hipercze"/>
            <w:rFonts w:ascii="MyriadPro-Regular" w:hAnsi="MyriadPro-Regular"/>
            <w:i/>
            <w:sz w:val="27"/>
            <w:szCs w:val="27"/>
            <w:shd w:val="clear" w:color="auto" w:fill="FFFFFF"/>
          </w:rPr>
          <w:t>www.analizy-rynkowe.pl</w:t>
        </w:r>
      </w:hyperlink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 xml:space="preserve"> </w:t>
      </w:r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>nie stanowią „rekomendacji”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>Dz.U</w:t>
      </w:r>
      <w:proofErr w:type="spellEnd"/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>. z 2005 r. Nr 206, poz</w:t>
      </w:r>
      <w:proofErr w:type="gramStart"/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>. 1715).Autor</w:t>
      </w:r>
      <w:proofErr w:type="gramEnd"/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 xml:space="preserve"> nie ponosi odpowiedzialności za jakiekolwiek decyzje inwestycyjne podjęte na podstawie treści zawartych na stronie internetowej </w:t>
      </w:r>
      <w:hyperlink r:id="rId6" w:history="1">
        <w:r w:rsidRPr="00AB1D5B">
          <w:rPr>
            <w:rStyle w:val="Hipercze"/>
            <w:rFonts w:ascii="MyriadPro-Regular" w:hAnsi="MyriadPro-Regular"/>
            <w:i/>
            <w:sz w:val="27"/>
            <w:szCs w:val="27"/>
            <w:shd w:val="clear" w:color="auto" w:fill="FFFFFF"/>
          </w:rPr>
          <w:t>www.analizy-rynkowe.pl</w:t>
        </w:r>
      </w:hyperlink>
      <w:r w:rsidRPr="00AB1D5B">
        <w:rPr>
          <w:rFonts w:ascii="MyriadPro-Regular" w:hAnsi="MyriadPro-Regular"/>
          <w:i/>
          <w:color w:val="000000"/>
          <w:sz w:val="27"/>
          <w:szCs w:val="27"/>
          <w:shd w:val="clear" w:color="auto" w:fill="FFFFFF"/>
        </w:rPr>
        <w:t>.</w:t>
      </w:r>
    </w:p>
    <w:p w:rsidR="00AB1D5B" w:rsidRPr="00AB1D5B" w:rsidRDefault="00AB1D5B" w:rsidP="00AB1D5B">
      <w:pPr>
        <w:pStyle w:val="Bezodstpw"/>
        <w:jc w:val="both"/>
        <w:rPr>
          <w:i/>
          <w:sz w:val="26"/>
          <w:szCs w:val="26"/>
        </w:rPr>
      </w:pPr>
    </w:p>
    <w:sectPr w:rsidR="00AB1D5B" w:rsidRPr="00AB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63"/>
    <w:rsid w:val="002E1BF8"/>
    <w:rsid w:val="006556A3"/>
    <w:rsid w:val="0083642B"/>
    <w:rsid w:val="008A6BA9"/>
    <w:rsid w:val="00AB1D5B"/>
    <w:rsid w:val="00B12563"/>
    <w:rsid w:val="00C9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D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1D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6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1D5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B1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alizy-rynkowe.pl" TargetMode="External"/><Relationship Id="rId5" Type="http://schemas.openxmlformats.org/officeDocument/2006/relationships/hyperlink" Target="http://www.analizy-rynkow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3</cp:revision>
  <cp:lastPrinted>2016-02-22T19:29:00Z</cp:lastPrinted>
  <dcterms:created xsi:type="dcterms:W3CDTF">2016-02-22T19:38:00Z</dcterms:created>
  <dcterms:modified xsi:type="dcterms:W3CDTF">2016-02-22T19:39:00Z</dcterms:modified>
</cp:coreProperties>
</file>