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BB" w:rsidRDefault="004B14BB" w:rsidP="004B14BB">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Raport</w:t>
      </w:r>
    </w:p>
    <w:p w:rsidR="004B14BB" w:rsidRDefault="004B14BB" w:rsidP="004B14BB">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Tygodniowy</w:t>
      </w:r>
    </w:p>
    <w:p w:rsidR="004B14BB" w:rsidRDefault="004B14BB" w:rsidP="004B14BB">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o</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sytuacji na</w:t>
      </w:r>
    </w:p>
    <w:p w:rsidR="004B14BB" w:rsidRDefault="004B14BB" w:rsidP="004B14BB">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rynkach</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finansowych</w:t>
      </w:r>
    </w:p>
    <w:p w:rsidR="004B14BB" w:rsidRDefault="004B14BB" w:rsidP="004B14BB">
      <w:pPr>
        <w:spacing w:after="0" w:line="240" w:lineRule="auto"/>
        <w:jc w:val="center"/>
        <w:rPr>
          <w:rFonts w:eastAsiaTheme="minorEastAsia"/>
          <w:sz w:val="48"/>
          <w:szCs w:val="48"/>
          <w:lang w:eastAsia="pl-PL"/>
        </w:rPr>
      </w:pPr>
    </w:p>
    <w:p w:rsidR="004B14BB" w:rsidRDefault="004B14BB" w:rsidP="004B14BB">
      <w:pPr>
        <w:spacing w:after="0" w:line="240" w:lineRule="auto"/>
        <w:jc w:val="center"/>
        <w:rPr>
          <w:rFonts w:eastAsiaTheme="minorEastAsia"/>
          <w:sz w:val="48"/>
          <w:szCs w:val="48"/>
          <w:lang w:eastAsia="pl-PL"/>
        </w:rPr>
      </w:pPr>
    </w:p>
    <w:p w:rsidR="004B14BB" w:rsidRDefault="004B14BB" w:rsidP="004B14BB">
      <w:pPr>
        <w:spacing w:after="0" w:line="240" w:lineRule="auto"/>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walutowy</w:t>
      </w:r>
    </w:p>
    <w:p w:rsidR="004B14BB" w:rsidRDefault="004B14BB" w:rsidP="004B14BB">
      <w:pPr>
        <w:spacing w:after="0" w:line="240" w:lineRule="auto"/>
        <w:jc w:val="center"/>
        <w:rPr>
          <w:rFonts w:eastAsiaTheme="minorEastAsia"/>
          <w:sz w:val="100"/>
          <w:szCs w:val="100"/>
          <w:lang w:eastAsia="pl-PL"/>
          <w14:shadow w14:blurRad="50800" w14:dist="38100" w14:dir="2700000" w14:sx="100000" w14:sy="100000" w14:kx="0" w14:ky="0" w14:algn="tl">
            <w14:srgbClr w14:val="000000">
              <w14:alpha w14:val="60000"/>
            </w14:srgbClr>
          </w14:shadow>
        </w:rPr>
      </w:pPr>
    </w:p>
    <w:p w:rsidR="004B14BB" w:rsidRDefault="004B14BB" w:rsidP="004B14BB">
      <w:pPr>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akcji</w:t>
      </w:r>
    </w:p>
    <w:p w:rsidR="004B14BB" w:rsidRDefault="004B14BB" w:rsidP="004B14BB">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4B14BB" w:rsidRDefault="004B14BB" w:rsidP="004B14BB">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4B14BB" w:rsidRDefault="004B14BB" w:rsidP="004B14BB">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r>
        <w:rPr>
          <w:rFonts w:eastAsiaTheme="minorEastAsia"/>
          <w:sz w:val="24"/>
          <w:szCs w:val="24"/>
          <w:lang w:eastAsia="pl-PL"/>
          <w14:shadow w14:blurRad="50800" w14:dist="38100" w14:dir="2700000" w14:sx="100000" w14:sy="100000" w14:kx="0" w14:ky="0" w14:algn="tl">
            <w14:srgbClr w14:val="000000">
              <w14:alpha w14:val="60000"/>
            </w14:srgbClr>
          </w14:shadow>
        </w:rPr>
        <w:lastRenderedPageBreak/>
        <w:t xml:space="preserve">Poniedziałek, </w:t>
      </w:r>
      <w:r w:rsidR="007B6F0F">
        <w:rPr>
          <w:rFonts w:eastAsiaTheme="minorEastAsia"/>
          <w:sz w:val="24"/>
          <w:szCs w:val="24"/>
          <w:lang w:eastAsia="pl-PL"/>
          <w14:shadow w14:blurRad="50800" w14:dist="38100" w14:dir="2700000" w14:sx="100000" w14:sy="100000" w14:kx="0" w14:ky="0" w14:algn="tl">
            <w14:srgbClr w14:val="000000">
              <w14:alpha w14:val="60000"/>
            </w14:srgbClr>
          </w14:shadow>
        </w:rPr>
        <w:t>22</w:t>
      </w:r>
      <w:r>
        <w:rPr>
          <w:rFonts w:eastAsiaTheme="minorEastAsia"/>
          <w:sz w:val="24"/>
          <w:szCs w:val="24"/>
          <w:lang w:eastAsia="pl-PL"/>
          <w14:shadow w14:blurRad="50800" w14:dist="38100" w14:dir="2700000" w14:sx="100000" w14:sy="100000" w14:kx="0" w14:ky="0" w14:algn="tl">
            <w14:srgbClr w14:val="000000">
              <w14:alpha w14:val="60000"/>
            </w14:srgbClr>
          </w14:shadow>
        </w:rPr>
        <w:t xml:space="preserve"> lutego 2016 roku</w:t>
      </w:r>
    </w:p>
    <w:p w:rsidR="004B14BB" w:rsidRDefault="004B14BB" w:rsidP="004B14BB">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USD/PLN – perspektywa długoterminowa, kurs z 1</w:t>
      </w:r>
      <w:r w:rsidR="007B6F0F">
        <w:rPr>
          <w:rFonts w:eastAsiaTheme="minorEastAsia"/>
          <w:lang w:eastAsia="pl-PL"/>
        </w:rPr>
        <w:t>9 lutego 2016 roku = 3,9254</w:t>
      </w:r>
    </w:p>
    <w:p w:rsidR="004B14BB" w:rsidRDefault="004B14BB" w:rsidP="004B14BB">
      <w:pPr>
        <w:spacing w:after="0" w:line="240" w:lineRule="auto"/>
        <w:jc w:val="both"/>
        <w:rPr>
          <w:rFonts w:eastAsiaTheme="minorEastAsia"/>
          <w:lang w:eastAsia="pl-PL"/>
        </w:rPr>
      </w:pPr>
    </w:p>
    <w:p w:rsidR="004B14BB" w:rsidRDefault="007B6F0F" w:rsidP="004B14BB">
      <w:pPr>
        <w:spacing w:after="0" w:line="240" w:lineRule="auto"/>
        <w:jc w:val="both"/>
        <w:rPr>
          <w:rFonts w:eastAsiaTheme="minorEastAsia"/>
          <w:lang w:eastAsia="pl-PL"/>
        </w:rPr>
      </w:pPr>
      <w:r>
        <w:rPr>
          <w:rFonts w:eastAsiaTheme="minorEastAsia"/>
          <w:noProof/>
          <w:lang w:eastAsia="pl-PL"/>
        </w:rPr>
        <w:drawing>
          <wp:inline distT="0" distB="0" distL="0" distR="0" wp14:anchorId="76D75FE2">
            <wp:extent cx="4829175" cy="2905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4B14BB" w:rsidRDefault="004B14BB" w:rsidP="004B14BB">
      <w:pPr>
        <w:spacing w:after="0" w:line="240" w:lineRule="auto"/>
        <w:jc w:val="both"/>
        <w:rPr>
          <w:rFonts w:eastAsiaTheme="minorEastAsia"/>
          <w:b/>
          <w:color w:val="FF0000"/>
          <w:lang w:eastAsia="pl-PL"/>
        </w:rPr>
      </w:pPr>
      <w:r>
        <w:rPr>
          <w:rFonts w:eastAsiaTheme="minorEastAsia"/>
          <w:lang w:eastAsia="pl-PL"/>
        </w:rPr>
        <w:t xml:space="preserve">Kurs 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heme="minorEastAsia"/>
          <w:b/>
          <w:color w:val="FF0000"/>
          <w:lang w:eastAsia="pl-PL"/>
        </w:rPr>
        <w:t xml:space="preserve">do 4,4252 zł. </w:t>
      </w:r>
    </w:p>
    <w:p w:rsidR="004B14BB" w:rsidRDefault="004B14BB" w:rsidP="004B14BB">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EUR/PLN – perspektywa średniookresowa, kurs z 1</w:t>
      </w:r>
      <w:r w:rsidR="007B6F0F">
        <w:rPr>
          <w:rFonts w:eastAsiaTheme="minorEastAsia"/>
          <w:lang w:eastAsia="pl-PL"/>
        </w:rPr>
        <w:t>9 lutego 2016 roku = 4,3696</w:t>
      </w:r>
    </w:p>
    <w:p w:rsidR="004B14BB" w:rsidRDefault="004B14BB" w:rsidP="004B14BB">
      <w:pPr>
        <w:spacing w:after="0" w:line="240" w:lineRule="auto"/>
        <w:jc w:val="both"/>
        <w:rPr>
          <w:rFonts w:eastAsiaTheme="minorEastAsia"/>
          <w:lang w:eastAsia="pl-PL"/>
        </w:rPr>
      </w:pPr>
    </w:p>
    <w:p w:rsidR="004B14BB" w:rsidRDefault="007B6F0F" w:rsidP="004B14BB">
      <w:pPr>
        <w:spacing w:after="0" w:line="240" w:lineRule="auto"/>
        <w:jc w:val="both"/>
        <w:rPr>
          <w:rFonts w:eastAsiaTheme="minorEastAsia"/>
          <w:lang w:eastAsia="pl-PL"/>
        </w:rPr>
      </w:pPr>
      <w:r>
        <w:rPr>
          <w:rFonts w:eastAsiaTheme="minorEastAsia"/>
          <w:noProof/>
          <w:lang w:eastAsia="pl-PL"/>
        </w:rPr>
        <w:drawing>
          <wp:inline distT="0" distB="0" distL="0" distR="0" wp14:anchorId="50A17FBC">
            <wp:extent cx="4829175" cy="2905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4B14BB" w:rsidRDefault="004B14BB" w:rsidP="004B14BB">
      <w:pPr>
        <w:spacing w:after="0" w:line="240" w:lineRule="auto"/>
        <w:jc w:val="both"/>
        <w:rPr>
          <w:rFonts w:eastAsiaTheme="minorEastAsia"/>
          <w:color w:val="000000" w:themeColor="text1"/>
          <w:lang w:eastAsia="pl-PL"/>
        </w:rPr>
      </w:pPr>
      <w:r>
        <w:rPr>
          <w:rFonts w:eastAsiaTheme="minorEastAsia"/>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w:t>
      </w:r>
      <w:r>
        <w:rPr>
          <w:rFonts w:eastAsiaTheme="minorEastAsia"/>
          <w:color w:val="000000" w:themeColor="text1"/>
          <w:lang w:eastAsia="pl-PL"/>
        </w:rPr>
        <w:t xml:space="preserve">4,3607 zł. Dojście do oporu (szczyt z 26 grudnia 2014 roku) może osłabiło kursu euro (w złotych). W piątek 15 stycznia popyt zaatakował. Przebite zostało roczne maksimum. Można oczekiwać wzrostu w kierunku </w:t>
      </w:r>
      <w:r>
        <w:rPr>
          <w:rFonts w:eastAsiaTheme="minorEastAsia"/>
          <w:b/>
          <w:color w:val="FF0000"/>
          <w:lang w:eastAsia="pl-PL"/>
        </w:rPr>
        <w:t>4,5644</w:t>
      </w:r>
      <w:r>
        <w:rPr>
          <w:rFonts w:eastAsiaTheme="minorEastAsia"/>
          <w:color w:val="FF0000"/>
          <w:lang w:eastAsia="pl-PL"/>
        </w:rPr>
        <w:t xml:space="preserve"> </w:t>
      </w:r>
      <w:r>
        <w:rPr>
          <w:rFonts w:eastAsiaTheme="minorEastAsia"/>
          <w:color w:val="000000" w:themeColor="text1"/>
          <w:lang w:eastAsia="pl-PL"/>
        </w:rPr>
        <w:t xml:space="preserve">(szczyt z 13 grudnia 2011 roku). </w:t>
      </w:r>
    </w:p>
    <w:p w:rsidR="004B14BB" w:rsidRPr="004B14BB" w:rsidRDefault="004B14BB" w:rsidP="004B14BB">
      <w:pPr>
        <w:pBdr>
          <w:top w:val="single" w:sz="4" w:space="0" w:color="auto"/>
          <w:left w:val="single" w:sz="4" w:space="4" w:color="auto"/>
          <w:bottom w:val="single" w:sz="4" w:space="1" w:color="auto"/>
          <w:right w:val="single" w:sz="4" w:space="4" w:color="auto"/>
        </w:pBdr>
        <w:shd w:val="clear" w:color="auto" w:fill="FFFF00"/>
        <w:spacing w:after="0" w:line="240" w:lineRule="auto"/>
        <w:jc w:val="center"/>
        <w:rPr>
          <w:sz w:val="26"/>
          <w:szCs w:val="26"/>
        </w:rPr>
      </w:pPr>
      <w:r w:rsidRPr="004B14BB">
        <w:rPr>
          <w:sz w:val="26"/>
          <w:szCs w:val="26"/>
        </w:rPr>
        <w:lastRenderedPageBreak/>
        <w:t>Ryzyko spadków indeksów dojrzałych rynków akcji powróciło…</w:t>
      </w:r>
    </w:p>
    <w:p w:rsidR="004B14BB" w:rsidRPr="004B14BB" w:rsidRDefault="004B14BB" w:rsidP="004B14BB">
      <w:pPr>
        <w:spacing w:after="0" w:line="240" w:lineRule="auto"/>
        <w:jc w:val="center"/>
        <w:rPr>
          <w:sz w:val="26"/>
          <w:szCs w:val="26"/>
        </w:rPr>
      </w:pPr>
    </w:p>
    <w:p w:rsidR="004B14BB" w:rsidRPr="004B14BB" w:rsidRDefault="004B14BB" w:rsidP="004B14BB">
      <w:pPr>
        <w:spacing w:after="0" w:line="240" w:lineRule="auto"/>
        <w:jc w:val="both"/>
        <w:rPr>
          <w:sz w:val="26"/>
          <w:szCs w:val="26"/>
        </w:rPr>
      </w:pPr>
      <w:r w:rsidRPr="004B14BB">
        <w:rPr>
          <w:sz w:val="26"/>
          <w:szCs w:val="26"/>
        </w:rPr>
        <w:t xml:space="preserve">16 grudnia 2015 roku amerykański bank centralny podwyższył stopy procentowe po raz pierwszy od 2006 roku. Tym samy rozpoczęła się faza zaostrzania polityki pieniężnej w USA. </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sz w:val="26"/>
          <w:szCs w:val="26"/>
        </w:rPr>
      </w:pPr>
      <w:r w:rsidRPr="004B14BB">
        <w:rPr>
          <w:sz w:val="26"/>
          <w:szCs w:val="26"/>
        </w:rPr>
        <w:t xml:space="preserve">Skutkiem tej decyzji może być </w:t>
      </w:r>
      <w:r w:rsidRPr="007B6F0F">
        <w:rPr>
          <w:b/>
          <w:sz w:val="26"/>
          <w:szCs w:val="26"/>
          <w:u w:val="single"/>
        </w:rPr>
        <w:t>zmniejszanie skłonności do podejmowania ryzyka przez uczestników życia gospodarczego</w:t>
      </w:r>
      <w:r w:rsidRPr="004B14BB">
        <w:rPr>
          <w:sz w:val="26"/>
          <w:szCs w:val="26"/>
        </w:rPr>
        <w:t xml:space="preserve"> na całym świecie. </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sz w:val="26"/>
          <w:szCs w:val="26"/>
        </w:rPr>
      </w:pPr>
      <w:r w:rsidRPr="004B14BB">
        <w:rPr>
          <w:sz w:val="26"/>
          <w:szCs w:val="26"/>
        </w:rPr>
        <w:t xml:space="preserve">Popatrzmy na wykres indeksu ogólnoświatowego, który to indeks jest indeksem dojrzałych rynków akcji a największy udział w nim posiadają Stany Zjednoczone. </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b/>
          <w:sz w:val="26"/>
          <w:szCs w:val="26"/>
          <w:u w:val="single"/>
        </w:rPr>
      </w:pPr>
      <w:r w:rsidRPr="004B14BB">
        <w:rPr>
          <w:b/>
          <w:sz w:val="26"/>
          <w:szCs w:val="26"/>
          <w:u w:val="single"/>
        </w:rPr>
        <w:t>INDEKS OGÓLNOŚWIATOWY</w:t>
      </w:r>
    </w:p>
    <w:p w:rsidR="004B14BB" w:rsidRPr="004B14BB" w:rsidRDefault="004B14BB" w:rsidP="004B14BB">
      <w:pPr>
        <w:spacing w:after="0" w:line="240" w:lineRule="auto"/>
        <w:jc w:val="both"/>
        <w:rPr>
          <w:b/>
          <w:sz w:val="26"/>
          <w:szCs w:val="26"/>
          <w:u w:val="single"/>
        </w:rPr>
      </w:pPr>
    </w:p>
    <w:p w:rsidR="004B14BB" w:rsidRPr="004B14BB" w:rsidRDefault="004B14BB" w:rsidP="004B14BB">
      <w:pPr>
        <w:spacing w:after="0" w:line="240" w:lineRule="auto"/>
        <w:jc w:val="both"/>
        <w:rPr>
          <w:b/>
          <w:sz w:val="26"/>
          <w:szCs w:val="26"/>
          <w:u w:val="single"/>
        </w:rPr>
      </w:pPr>
      <w:r w:rsidRPr="004B14BB">
        <w:rPr>
          <w:b/>
          <w:noProof/>
          <w:sz w:val="26"/>
          <w:szCs w:val="26"/>
          <w:u w:val="single"/>
          <w:lang w:eastAsia="pl-PL"/>
        </w:rPr>
        <w:drawing>
          <wp:inline distT="0" distB="0" distL="0" distR="0" wp14:anchorId="01193979" wp14:editId="3FBE9466">
            <wp:extent cx="5429250" cy="32575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4B14BB" w:rsidRPr="004B14BB" w:rsidRDefault="004B14BB" w:rsidP="004B14BB">
      <w:pPr>
        <w:spacing w:after="0" w:line="240" w:lineRule="auto"/>
        <w:jc w:val="center"/>
        <w:rPr>
          <w:sz w:val="26"/>
          <w:szCs w:val="26"/>
        </w:rPr>
      </w:pPr>
    </w:p>
    <w:p w:rsidR="004B14BB" w:rsidRPr="004B14BB" w:rsidRDefault="004B14BB" w:rsidP="004B14BB">
      <w:pPr>
        <w:spacing w:after="0" w:line="240" w:lineRule="auto"/>
        <w:jc w:val="both"/>
        <w:rPr>
          <w:sz w:val="26"/>
          <w:szCs w:val="26"/>
        </w:rPr>
      </w:pPr>
      <w:r w:rsidRPr="004B14BB">
        <w:rPr>
          <w:sz w:val="26"/>
          <w:szCs w:val="26"/>
        </w:rPr>
        <w:t xml:space="preserve">Na wykresie powyższego wykresu doszło </w:t>
      </w:r>
      <w:r w:rsidRPr="007B6F0F">
        <w:rPr>
          <w:b/>
          <w:sz w:val="26"/>
          <w:szCs w:val="26"/>
          <w:u w:val="single"/>
        </w:rPr>
        <w:t>do wybicia z formacji nietypowego podwójnego szczytu</w:t>
      </w:r>
      <w:r w:rsidRPr="004B14BB">
        <w:rPr>
          <w:sz w:val="26"/>
          <w:szCs w:val="26"/>
        </w:rPr>
        <w:t>, co stwarza ryzyko spadków. Gdyby formacja podwójnego szczytu miała się wypełnić powinno dojść do zniżek tego indeksu o 9,0 %.</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sz w:val="26"/>
          <w:szCs w:val="26"/>
        </w:rPr>
      </w:pPr>
      <w:r w:rsidRPr="004B14BB">
        <w:rPr>
          <w:sz w:val="26"/>
          <w:szCs w:val="26"/>
        </w:rPr>
        <w:t xml:space="preserve">Oczywiście nie wiemy czy faktycznie do tego typu spadków dojdzie, ale w każdym razie ryzyko spadków występuje i należy o nim wspomnieć. </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sz w:val="26"/>
          <w:szCs w:val="26"/>
        </w:rPr>
      </w:pPr>
      <w:r w:rsidRPr="004B14BB">
        <w:rPr>
          <w:sz w:val="26"/>
          <w:szCs w:val="26"/>
        </w:rPr>
        <w:t xml:space="preserve">Z punktu widzenia posiadaczy akcji było by zapewne lepiej, aby wspomniana formacja podwójnego szczytu uległa </w:t>
      </w:r>
      <w:proofErr w:type="gramStart"/>
      <w:r w:rsidRPr="004B14BB">
        <w:rPr>
          <w:sz w:val="26"/>
          <w:szCs w:val="26"/>
        </w:rPr>
        <w:t>,,</w:t>
      </w:r>
      <w:proofErr w:type="gramEnd"/>
      <w:r w:rsidRPr="004B14BB">
        <w:rPr>
          <w:sz w:val="26"/>
          <w:szCs w:val="26"/>
        </w:rPr>
        <w:t xml:space="preserve">spaleniu” i doszło do wzrostów (i przyznam, że sam liczyłem na taki scenariusz na początku stycznia tego roku), ale o ryzyku spadków należy jednak wspomnieć. Oczywiście zawsze należy też pamiętać o możliwości wystąpienia scenariusza alternatywnego. Kiedy mogłoby do niego </w:t>
      </w:r>
      <w:proofErr w:type="gramStart"/>
      <w:r w:rsidRPr="004B14BB">
        <w:rPr>
          <w:sz w:val="26"/>
          <w:szCs w:val="26"/>
        </w:rPr>
        <w:t xml:space="preserve">dojść ? </w:t>
      </w:r>
      <w:proofErr w:type="gramEnd"/>
      <w:r w:rsidRPr="004B14BB">
        <w:rPr>
          <w:sz w:val="26"/>
          <w:szCs w:val="26"/>
        </w:rPr>
        <w:t xml:space="preserve">Otóż </w:t>
      </w:r>
      <w:r w:rsidRPr="004B14BB">
        <w:rPr>
          <w:sz w:val="26"/>
          <w:szCs w:val="26"/>
        </w:rPr>
        <w:lastRenderedPageBreak/>
        <w:t>odpowiedź na to pytanie można sformułować po obejrzeniu wykresu poniższego pokazującego (na razie czysto hipotetyczną, teoretyczną) możliwość utworzenia się małej formacji podwójnego dna.</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b/>
          <w:sz w:val="26"/>
          <w:szCs w:val="26"/>
          <w:u w:val="single"/>
        </w:rPr>
      </w:pPr>
      <w:r w:rsidRPr="004B14BB">
        <w:rPr>
          <w:b/>
          <w:sz w:val="26"/>
          <w:szCs w:val="26"/>
          <w:u w:val="single"/>
        </w:rPr>
        <w:t>INDEKS OGÓLNOŚWIATOWY</w:t>
      </w:r>
    </w:p>
    <w:p w:rsidR="004B14BB" w:rsidRPr="004B14BB" w:rsidRDefault="004B14BB" w:rsidP="004B14BB">
      <w:pPr>
        <w:spacing w:after="0" w:line="240" w:lineRule="auto"/>
        <w:jc w:val="both"/>
        <w:rPr>
          <w:b/>
          <w:sz w:val="26"/>
          <w:szCs w:val="26"/>
          <w:u w:val="single"/>
        </w:rPr>
      </w:pPr>
    </w:p>
    <w:p w:rsidR="004B14BB" w:rsidRPr="004B14BB" w:rsidRDefault="004B14BB" w:rsidP="004B14BB">
      <w:pPr>
        <w:spacing w:after="0" w:line="240" w:lineRule="auto"/>
        <w:jc w:val="both"/>
        <w:rPr>
          <w:b/>
          <w:sz w:val="26"/>
          <w:szCs w:val="26"/>
          <w:u w:val="single"/>
        </w:rPr>
      </w:pPr>
      <w:r w:rsidRPr="004B14BB">
        <w:rPr>
          <w:b/>
          <w:noProof/>
          <w:sz w:val="26"/>
          <w:szCs w:val="26"/>
          <w:u w:val="single"/>
          <w:lang w:eastAsia="pl-PL"/>
        </w:rPr>
        <w:drawing>
          <wp:inline distT="0" distB="0" distL="0" distR="0" wp14:anchorId="0D4FE4CD" wp14:editId="4D093FF3">
            <wp:extent cx="5429250" cy="32575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sz w:val="26"/>
          <w:szCs w:val="26"/>
        </w:rPr>
      </w:pPr>
      <w:r w:rsidRPr="004B14BB">
        <w:rPr>
          <w:sz w:val="26"/>
          <w:szCs w:val="26"/>
        </w:rPr>
        <w:t xml:space="preserve">Na razie jednak, że tak powiem, większą wagę przywiązuję do wykresu pierwszego zwłaszcza, że </w:t>
      </w:r>
      <w:r w:rsidRPr="007B6F0F">
        <w:rPr>
          <w:b/>
          <w:sz w:val="26"/>
          <w:szCs w:val="26"/>
          <w:u w:val="single"/>
        </w:rPr>
        <w:t>do wybicia ze sporej formacji nietypowego podwójnego szczytu</w:t>
      </w:r>
      <w:r w:rsidRPr="004B14BB">
        <w:rPr>
          <w:sz w:val="26"/>
          <w:szCs w:val="26"/>
        </w:rPr>
        <w:t xml:space="preserve"> doszło także w przypadku na przykład japońskiego indeksu NIKKEI 225. Gdyby formacja ta miała się wypełnić powinno dojść do spadków w Tokio o 10,3 %. Warto zauważyć, że na wykresie tego indeksu przebita została linia łącząca ważne dołki. </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b/>
          <w:sz w:val="26"/>
          <w:szCs w:val="26"/>
          <w:u w:val="single"/>
        </w:rPr>
      </w:pPr>
      <w:r w:rsidRPr="004B14BB">
        <w:rPr>
          <w:b/>
          <w:sz w:val="26"/>
          <w:szCs w:val="26"/>
          <w:u w:val="single"/>
        </w:rPr>
        <w:t>NIKKEI 225</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sz w:val="26"/>
          <w:szCs w:val="26"/>
        </w:rPr>
      </w:pPr>
      <w:r w:rsidRPr="004B14BB">
        <w:rPr>
          <w:noProof/>
          <w:sz w:val="26"/>
          <w:szCs w:val="26"/>
          <w:lang w:eastAsia="pl-PL"/>
        </w:rPr>
        <w:drawing>
          <wp:inline distT="0" distB="0" distL="0" distR="0" wp14:anchorId="76E71EF2" wp14:editId="1B9B29AB">
            <wp:extent cx="4229100" cy="25336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533650"/>
                    </a:xfrm>
                    <a:prstGeom prst="rect">
                      <a:avLst/>
                    </a:prstGeom>
                    <a:noFill/>
                  </pic:spPr>
                </pic:pic>
              </a:graphicData>
            </a:graphic>
          </wp:inline>
        </w:drawing>
      </w:r>
    </w:p>
    <w:p w:rsidR="004B14BB" w:rsidRPr="004B14BB" w:rsidRDefault="004B14BB" w:rsidP="004B14BB">
      <w:pPr>
        <w:spacing w:after="0" w:line="240" w:lineRule="auto"/>
        <w:jc w:val="both"/>
        <w:rPr>
          <w:sz w:val="26"/>
          <w:szCs w:val="26"/>
        </w:rPr>
      </w:pPr>
      <w:r w:rsidRPr="007B6F0F">
        <w:rPr>
          <w:b/>
          <w:sz w:val="26"/>
          <w:szCs w:val="26"/>
          <w:u w:val="single"/>
        </w:rPr>
        <w:lastRenderedPageBreak/>
        <w:t>WIG20 znajduje się z kolei w kluczowym momencie</w:t>
      </w:r>
      <w:r w:rsidRPr="004B14BB">
        <w:rPr>
          <w:sz w:val="26"/>
          <w:szCs w:val="26"/>
        </w:rPr>
        <w:t xml:space="preserve">. W tym roku indeks ten na świecowym wykresie przebił od góry linię poprowadzoną przez dołki z marca 1995 roku oraz lutego 2009 roku. Potem popyt zaatakował. </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sz w:val="26"/>
          <w:szCs w:val="26"/>
        </w:rPr>
      </w:pPr>
      <w:r w:rsidRPr="004B14BB">
        <w:rPr>
          <w:sz w:val="26"/>
          <w:szCs w:val="26"/>
        </w:rPr>
        <w:t xml:space="preserve">Co jednak stanie się </w:t>
      </w:r>
      <w:proofErr w:type="gramStart"/>
      <w:r w:rsidRPr="004B14BB">
        <w:rPr>
          <w:sz w:val="26"/>
          <w:szCs w:val="26"/>
        </w:rPr>
        <w:t xml:space="preserve">teraz ? </w:t>
      </w:r>
      <w:proofErr w:type="gramEnd"/>
      <w:r w:rsidRPr="004B14BB">
        <w:rPr>
          <w:sz w:val="26"/>
          <w:szCs w:val="26"/>
        </w:rPr>
        <w:t xml:space="preserve">Kluczowe znacznie ma zachowanie indeksów rynków dojrzałych. Biorąc pod uwagę wykres przedstawiający ryzyko realizacji podwójnego szczytu na indeksie ogólnoświatowym bardziej realne wydaje się być realizacja scenariusz powrotu indeksu WIG20 do trendu spadkowego. </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b/>
          <w:sz w:val="26"/>
          <w:szCs w:val="26"/>
          <w:u w:val="single"/>
        </w:rPr>
      </w:pPr>
      <w:r w:rsidRPr="004B14BB">
        <w:rPr>
          <w:b/>
          <w:sz w:val="26"/>
          <w:szCs w:val="26"/>
          <w:u w:val="single"/>
        </w:rPr>
        <w:t>WIG20</w:t>
      </w:r>
    </w:p>
    <w:p w:rsidR="004B14BB" w:rsidRPr="004B14BB" w:rsidRDefault="004B14BB" w:rsidP="004B14BB">
      <w:pPr>
        <w:spacing w:after="0" w:line="240" w:lineRule="auto"/>
        <w:jc w:val="both"/>
        <w:rPr>
          <w:b/>
          <w:sz w:val="26"/>
          <w:szCs w:val="26"/>
          <w:u w:val="single"/>
        </w:rPr>
      </w:pPr>
    </w:p>
    <w:p w:rsidR="004B14BB" w:rsidRPr="004B14BB" w:rsidRDefault="004B14BB" w:rsidP="004B14BB">
      <w:pPr>
        <w:spacing w:after="0" w:line="240" w:lineRule="auto"/>
        <w:jc w:val="both"/>
        <w:rPr>
          <w:b/>
          <w:sz w:val="26"/>
          <w:szCs w:val="26"/>
          <w:u w:val="single"/>
        </w:rPr>
      </w:pPr>
      <w:r w:rsidRPr="004B14BB">
        <w:rPr>
          <w:b/>
          <w:noProof/>
          <w:sz w:val="26"/>
          <w:szCs w:val="26"/>
          <w:u w:val="single"/>
          <w:lang w:eastAsia="pl-PL"/>
        </w:rPr>
        <w:drawing>
          <wp:inline distT="0" distB="0" distL="0" distR="0" wp14:anchorId="2A9A536C" wp14:editId="7D7F28F4">
            <wp:extent cx="5429250" cy="32575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sz w:val="26"/>
          <w:szCs w:val="26"/>
        </w:rPr>
      </w:pPr>
      <w:r w:rsidRPr="004B14BB">
        <w:rPr>
          <w:sz w:val="26"/>
          <w:szCs w:val="26"/>
        </w:rPr>
        <w:t xml:space="preserve">Warto zauważyć, że gdyby nawet doszło do dalszych spadków indeksu ogólnoświatowego to prawie na pewno </w:t>
      </w:r>
      <w:proofErr w:type="gramStart"/>
      <w:r w:rsidRPr="004B14BB">
        <w:rPr>
          <w:sz w:val="26"/>
          <w:szCs w:val="26"/>
        </w:rPr>
        <w:t>znalazła by</w:t>
      </w:r>
      <w:proofErr w:type="gramEnd"/>
      <w:r w:rsidRPr="004B14BB">
        <w:rPr>
          <w:sz w:val="26"/>
          <w:szCs w:val="26"/>
        </w:rPr>
        <w:t xml:space="preserve"> się grupa takich spółek lub mówiąc bardziej ogólnie takich polskich indeksów branżowych, które zachowały by się stosunkowo mocno. </w:t>
      </w:r>
    </w:p>
    <w:p w:rsidR="004B14BB" w:rsidRPr="004B14BB" w:rsidRDefault="004B14BB" w:rsidP="004B14BB">
      <w:pPr>
        <w:spacing w:after="0" w:line="240" w:lineRule="auto"/>
        <w:jc w:val="both"/>
        <w:rPr>
          <w:sz w:val="26"/>
          <w:szCs w:val="26"/>
        </w:rPr>
      </w:pPr>
    </w:p>
    <w:p w:rsidR="004B14BB" w:rsidRPr="004B14BB" w:rsidRDefault="004B14BB" w:rsidP="004B14BB">
      <w:pPr>
        <w:pBdr>
          <w:top w:val="single" w:sz="4" w:space="1" w:color="auto"/>
          <w:left w:val="single" w:sz="4" w:space="4" w:color="auto"/>
          <w:bottom w:val="single" w:sz="4" w:space="1" w:color="auto"/>
          <w:right w:val="single" w:sz="4" w:space="4" w:color="auto"/>
        </w:pBdr>
        <w:shd w:val="clear" w:color="auto" w:fill="8AFA1A"/>
        <w:spacing w:after="0" w:line="240" w:lineRule="auto"/>
        <w:jc w:val="both"/>
        <w:rPr>
          <w:b/>
          <w:sz w:val="26"/>
          <w:szCs w:val="26"/>
        </w:rPr>
      </w:pPr>
      <w:r w:rsidRPr="004B14BB">
        <w:rPr>
          <w:b/>
          <w:sz w:val="26"/>
          <w:szCs w:val="26"/>
        </w:rPr>
        <w:t xml:space="preserve">Teraz ważne </w:t>
      </w:r>
      <w:proofErr w:type="gramStart"/>
      <w:r w:rsidRPr="004B14BB">
        <w:rPr>
          <w:b/>
          <w:sz w:val="26"/>
          <w:szCs w:val="26"/>
        </w:rPr>
        <w:t>pytanie: które</w:t>
      </w:r>
      <w:proofErr w:type="gramEnd"/>
      <w:r w:rsidRPr="004B14BB">
        <w:rPr>
          <w:b/>
          <w:sz w:val="26"/>
          <w:szCs w:val="26"/>
        </w:rPr>
        <w:t xml:space="preserve"> indeksy branżowe obliczane przez portal </w:t>
      </w:r>
      <w:hyperlink r:id="rId12" w:history="1">
        <w:r w:rsidRPr="004B14BB">
          <w:rPr>
            <w:b/>
            <w:color w:val="0000FF" w:themeColor="hyperlink"/>
            <w:sz w:val="26"/>
            <w:szCs w:val="26"/>
            <w:u w:val="single"/>
          </w:rPr>
          <w:t>http://stooq.pl/</w:t>
        </w:r>
      </w:hyperlink>
      <w:r w:rsidRPr="004B14BB">
        <w:rPr>
          <w:b/>
          <w:sz w:val="26"/>
          <w:szCs w:val="26"/>
        </w:rPr>
        <w:t xml:space="preserve"> były na tyle mocne, że w okresie od początku grudnia 2015 roku do 19 lutego 2016 roku były w stanie przebić swe 52-tygodniowe </w:t>
      </w:r>
      <w:proofErr w:type="gramStart"/>
      <w:r w:rsidRPr="004B14BB">
        <w:rPr>
          <w:b/>
          <w:sz w:val="26"/>
          <w:szCs w:val="26"/>
        </w:rPr>
        <w:t xml:space="preserve">maksima ? </w:t>
      </w:r>
      <w:proofErr w:type="gramEnd"/>
    </w:p>
    <w:p w:rsidR="004B14BB" w:rsidRPr="004B14BB" w:rsidRDefault="004B14BB" w:rsidP="004B14BB">
      <w:pPr>
        <w:pBdr>
          <w:top w:val="single" w:sz="4" w:space="1" w:color="auto"/>
          <w:left w:val="single" w:sz="4" w:space="4" w:color="auto"/>
          <w:bottom w:val="single" w:sz="4" w:space="1" w:color="auto"/>
          <w:right w:val="single" w:sz="4" w:space="4" w:color="auto"/>
        </w:pBdr>
        <w:shd w:val="clear" w:color="auto" w:fill="8AFA1A"/>
        <w:spacing w:after="0" w:line="240" w:lineRule="auto"/>
        <w:jc w:val="both"/>
        <w:rPr>
          <w:b/>
          <w:sz w:val="26"/>
          <w:szCs w:val="26"/>
        </w:rPr>
      </w:pPr>
    </w:p>
    <w:p w:rsidR="004B14BB" w:rsidRPr="004B14BB" w:rsidRDefault="004B14BB" w:rsidP="004B14BB">
      <w:pPr>
        <w:pBdr>
          <w:top w:val="single" w:sz="4" w:space="1" w:color="auto"/>
          <w:left w:val="single" w:sz="4" w:space="4" w:color="auto"/>
          <w:bottom w:val="single" w:sz="4" w:space="1" w:color="auto"/>
          <w:right w:val="single" w:sz="4" w:space="4" w:color="auto"/>
        </w:pBdr>
        <w:shd w:val="clear" w:color="auto" w:fill="8AFA1A"/>
        <w:spacing w:after="0" w:line="240" w:lineRule="auto"/>
        <w:jc w:val="center"/>
        <w:rPr>
          <w:b/>
          <w:sz w:val="26"/>
          <w:szCs w:val="26"/>
        </w:rPr>
      </w:pPr>
      <w:r w:rsidRPr="004B14BB">
        <w:rPr>
          <w:b/>
          <w:sz w:val="26"/>
          <w:szCs w:val="26"/>
        </w:rPr>
        <w:t>Otóż były to 4 indeksy:</w:t>
      </w:r>
    </w:p>
    <w:p w:rsidR="004B14BB" w:rsidRPr="004B14BB" w:rsidRDefault="004B14BB" w:rsidP="004B14BB">
      <w:pPr>
        <w:pBdr>
          <w:top w:val="single" w:sz="4" w:space="1" w:color="auto"/>
          <w:left w:val="single" w:sz="4" w:space="4" w:color="auto"/>
          <w:bottom w:val="single" w:sz="4" w:space="1" w:color="auto"/>
          <w:right w:val="single" w:sz="4" w:space="4" w:color="auto"/>
        </w:pBdr>
        <w:shd w:val="clear" w:color="auto" w:fill="8AFA1A"/>
        <w:spacing w:after="0" w:line="240" w:lineRule="auto"/>
        <w:jc w:val="center"/>
        <w:rPr>
          <w:b/>
          <w:sz w:val="26"/>
          <w:szCs w:val="26"/>
        </w:rPr>
      </w:pPr>
    </w:p>
    <w:p w:rsidR="004B14BB" w:rsidRPr="004B14BB" w:rsidRDefault="004B14BB" w:rsidP="004B14BB">
      <w:pPr>
        <w:pBdr>
          <w:top w:val="single" w:sz="4" w:space="1" w:color="auto"/>
          <w:left w:val="single" w:sz="4" w:space="4" w:color="auto"/>
          <w:bottom w:val="single" w:sz="4" w:space="1" w:color="auto"/>
          <w:right w:val="single" w:sz="4" w:space="4" w:color="auto"/>
        </w:pBdr>
        <w:shd w:val="clear" w:color="auto" w:fill="8AFA1A"/>
        <w:spacing w:after="0" w:line="240" w:lineRule="auto"/>
        <w:jc w:val="center"/>
        <w:rPr>
          <w:b/>
          <w:sz w:val="26"/>
          <w:szCs w:val="26"/>
        </w:rPr>
      </w:pPr>
      <w:r w:rsidRPr="004B14BB">
        <w:rPr>
          <w:b/>
          <w:sz w:val="26"/>
          <w:szCs w:val="26"/>
        </w:rPr>
        <w:t>1.Indeks branży drzewnej</w:t>
      </w:r>
    </w:p>
    <w:p w:rsidR="004B14BB" w:rsidRPr="004B14BB" w:rsidRDefault="004B14BB" w:rsidP="004B14BB">
      <w:pPr>
        <w:pBdr>
          <w:top w:val="single" w:sz="4" w:space="1" w:color="auto"/>
          <w:left w:val="single" w:sz="4" w:space="4" w:color="auto"/>
          <w:bottom w:val="single" w:sz="4" w:space="1" w:color="auto"/>
          <w:right w:val="single" w:sz="4" w:space="4" w:color="auto"/>
        </w:pBdr>
        <w:shd w:val="clear" w:color="auto" w:fill="8AFA1A"/>
        <w:spacing w:after="0" w:line="240" w:lineRule="auto"/>
        <w:jc w:val="center"/>
        <w:rPr>
          <w:b/>
          <w:sz w:val="26"/>
          <w:szCs w:val="26"/>
        </w:rPr>
      </w:pPr>
      <w:r w:rsidRPr="004B14BB">
        <w:rPr>
          <w:b/>
          <w:sz w:val="26"/>
          <w:szCs w:val="26"/>
        </w:rPr>
        <w:t>2.Indeks branży konglomeratów</w:t>
      </w:r>
    </w:p>
    <w:p w:rsidR="004B14BB" w:rsidRPr="004B14BB" w:rsidRDefault="004B14BB" w:rsidP="004B14BB">
      <w:pPr>
        <w:pBdr>
          <w:top w:val="single" w:sz="4" w:space="1" w:color="auto"/>
          <w:left w:val="single" w:sz="4" w:space="4" w:color="auto"/>
          <w:bottom w:val="single" w:sz="4" w:space="1" w:color="auto"/>
          <w:right w:val="single" w:sz="4" w:space="4" w:color="auto"/>
        </w:pBdr>
        <w:shd w:val="clear" w:color="auto" w:fill="8AFA1A"/>
        <w:spacing w:after="0" w:line="240" w:lineRule="auto"/>
        <w:jc w:val="center"/>
        <w:rPr>
          <w:b/>
          <w:sz w:val="26"/>
          <w:szCs w:val="26"/>
        </w:rPr>
      </w:pPr>
      <w:r w:rsidRPr="004B14BB">
        <w:rPr>
          <w:b/>
          <w:sz w:val="26"/>
          <w:szCs w:val="26"/>
        </w:rPr>
        <w:t>3.Indeks branży medialnej</w:t>
      </w:r>
    </w:p>
    <w:p w:rsidR="004B14BB" w:rsidRPr="004B14BB" w:rsidRDefault="004B14BB" w:rsidP="004B14BB">
      <w:pPr>
        <w:pBdr>
          <w:top w:val="single" w:sz="4" w:space="1" w:color="auto"/>
          <w:left w:val="single" w:sz="4" w:space="4" w:color="auto"/>
          <w:bottom w:val="single" w:sz="4" w:space="1" w:color="auto"/>
          <w:right w:val="single" w:sz="4" w:space="4" w:color="auto"/>
        </w:pBdr>
        <w:shd w:val="clear" w:color="auto" w:fill="8AFA1A"/>
        <w:spacing w:after="0" w:line="240" w:lineRule="auto"/>
        <w:jc w:val="center"/>
        <w:rPr>
          <w:sz w:val="26"/>
          <w:szCs w:val="26"/>
        </w:rPr>
      </w:pPr>
      <w:r w:rsidRPr="004B14BB">
        <w:rPr>
          <w:b/>
          <w:sz w:val="26"/>
          <w:szCs w:val="26"/>
        </w:rPr>
        <w:t>4.Indeks branży motoryzacyjnej</w:t>
      </w:r>
    </w:p>
    <w:p w:rsidR="004B14BB" w:rsidRPr="004B14BB" w:rsidRDefault="004B14BB" w:rsidP="004B14BB">
      <w:pPr>
        <w:spacing w:after="0" w:line="240" w:lineRule="auto"/>
        <w:jc w:val="both"/>
        <w:rPr>
          <w:sz w:val="26"/>
          <w:szCs w:val="26"/>
        </w:rPr>
      </w:pPr>
      <w:r w:rsidRPr="004B14BB">
        <w:rPr>
          <w:sz w:val="26"/>
          <w:szCs w:val="26"/>
        </w:rPr>
        <w:lastRenderedPageBreak/>
        <w:t xml:space="preserve">Warto przypomnieć sobie, które spółki wchodzące w skład tych 4 indeksów znalazły się dotychczas w rubryce </w:t>
      </w:r>
      <w:proofErr w:type="gramStart"/>
      <w:r w:rsidRPr="004B14BB">
        <w:rPr>
          <w:sz w:val="26"/>
          <w:szCs w:val="26"/>
        </w:rPr>
        <w:t>,,</w:t>
      </w:r>
      <w:proofErr w:type="gramEnd"/>
      <w:r w:rsidRPr="004B14BB">
        <w:rPr>
          <w:sz w:val="26"/>
          <w:szCs w:val="26"/>
        </w:rPr>
        <w:t xml:space="preserve">Wykres do przemyślenia” ? Otóż były to: </w:t>
      </w:r>
      <w:r w:rsidRPr="004B14BB">
        <w:rPr>
          <w:b/>
          <w:color w:val="FF0000"/>
          <w:sz w:val="26"/>
          <w:szCs w:val="26"/>
        </w:rPr>
        <w:t xml:space="preserve">Dębica </w:t>
      </w:r>
      <w:r w:rsidRPr="004B14BB">
        <w:rPr>
          <w:sz w:val="26"/>
          <w:szCs w:val="26"/>
        </w:rPr>
        <w:t xml:space="preserve">(indeks branży motoryzacyjnej), </w:t>
      </w:r>
      <w:proofErr w:type="spellStart"/>
      <w:r w:rsidRPr="004B14BB">
        <w:rPr>
          <w:b/>
          <w:color w:val="FF0000"/>
          <w:sz w:val="26"/>
          <w:szCs w:val="26"/>
        </w:rPr>
        <w:t>Immobile</w:t>
      </w:r>
      <w:proofErr w:type="spellEnd"/>
      <w:r w:rsidRPr="004B14BB">
        <w:rPr>
          <w:color w:val="FF0000"/>
          <w:sz w:val="26"/>
          <w:szCs w:val="26"/>
        </w:rPr>
        <w:t xml:space="preserve"> </w:t>
      </w:r>
      <w:r w:rsidRPr="004B14BB">
        <w:rPr>
          <w:sz w:val="26"/>
          <w:szCs w:val="26"/>
        </w:rPr>
        <w:t xml:space="preserve">(konglomeraty, </w:t>
      </w:r>
      <w:r w:rsidRPr="004B14BB">
        <w:rPr>
          <w:b/>
          <w:color w:val="FF0000"/>
          <w:sz w:val="26"/>
          <w:szCs w:val="26"/>
        </w:rPr>
        <w:t>Agora, Cyfrowy Polsat, Muza</w:t>
      </w:r>
      <w:r w:rsidRPr="004B14BB">
        <w:rPr>
          <w:color w:val="FF0000"/>
          <w:sz w:val="26"/>
          <w:szCs w:val="26"/>
        </w:rPr>
        <w:t xml:space="preserve"> </w:t>
      </w:r>
      <w:r w:rsidRPr="004B14BB">
        <w:rPr>
          <w:sz w:val="26"/>
          <w:szCs w:val="26"/>
        </w:rPr>
        <w:t xml:space="preserve">(indeks branży medialnej). </w:t>
      </w:r>
    </w:p>
    <w:p w:rsidR="004B14BB" w:rsidRPr="004B14BB" w:rsidRDefault="004B14BB" w:rsidP="004B14BB">
      <w:pPr>
        <w:spacing w:after="0" w:line="240" w:lineRule="auto"/>
        <w:jc w:val="both"/>
        <w:rPr>
          <w:sz w:val="26"/>
          <w:szCs w:val="26"/>
        </w:rPr>
      </w:pPr>
    </w:p>
    <w:p w:rsidR="004B14BB" w:rsidRPr="004B14BB" w:rsidRDefault="004B14BB" w:rsidP="004B14BB">
      <w:pPr>
        <w:spacing w:after="0" w:line="240" w:lineRule="auto"/>
        <w:jc w:val="both"/>
        <w:rPr>
          <w:sz w:val="26"/>
          <w:szCs w:val="26"/>
        </w:rPr>
      </w:pPr>
      <w:r w:rsidRPr="004B14BB">
        <w:rPr>
          <w:sz w:val="26"/>
          <w:szCs w:val="26"/>
        </w:rPr>
        <w:t xml:space="preserve">Dlaczego ta informacja jest tak </w:t>
      </w:r>
      <w:proofErr w:type="gramStart"/>
      <w:r w:rsidRPr="004B14BB">
        <w:rPr>
          <w:sz w:val="26"/>
          <w:szCs w:val="26"/>
        </w:rPr>
        <w:t>ważna ? Otóż dlatego</w:t>
      </w:r>
      <w:proofErr w:type="gramEnd"/>
      <w:r w:rsidRPr="004B14BB">
        <w:rPr>
          <w:sz w:val="26"/>
          <w:szCs w:val="26"/>
        </w:rPr>
        <w:t>, że…</w:t>
      </w:r>
    </w:p>
    <w:p w:rsidR="004B14BB" w:rsidRPr="004B14BB" w:rsidRDefault="004B14BB" w:rsidP="004B14BB">
      <w:pPr>
        <w:spacing w:after="0" w:line="240" w:lineRule="auto"/>
        <w:jc w:val="both"/>
        <w:rPr>
          <w:sz w:val="26"/>
          <w:szCs w:val="26"/>
        </w:rPr>
      </w:pPr>
    </w:p>
    <w:p w:rsidR="004B14BB" w:rsidRPr="004B14BB" w:rsidRDefault="004B14BB" w:rsidP="004B14BB">
      <w:pPr>
        <w:pBdr>
          <w:top w:val="single" w:sz="4" w:space="1" w:color="auto"/>
          <w:left w:val="single" w:sz="4" w:space="4" w:color="auto"/>
          <w:bottom w:val="single" w:sz="4" w:space="1" w:color="auto"/>
          <w:right w:val="single" w:sz="4" w:space="4" w:color="auto"/>
        </w:pBdr>
        <w:shd w:val="clear" w:color="auto" w:fill="FF0000"/>
        <w:spacing w:after="0" w:line="240" w:lineRule="auto"/>
        <w:jc w:val="center"/>
        <w:rPr>
          <w:color w:val="FFFFFF" w:themeColor="background1"/>
          <w:sz w:val="106"/>
          <w:szCs w:val="106"/>
        </w:rPr>
      </w:pPr>
      <w:r w:rsidRPr="004B14BB">
        <w:rPr>
          <w:color w:val="FFFFFF" w:themeColor="background1"/>
          <w:sz w:val="106"/>
          <w:szCs w:val="106"/>
        </w:rPr>
        <w:t xml:space="preserve">kursy akcji spółki po wprowadzeniu jej do rubryki </w:t>
      </w:r>
      <w:proofErr w:type="gramStart"/>
      <w:r w:rsidRPr="004B14BB">
        <w:rPr>
          <w:color w:val="FFFFFF" w:themeColor="background1"/>
          <w:sz w:val="106"/>
          <w:szCs w:val="106"/>
        </w:rPr>
        <w:t>,,</w:t>
      </w:r>
      <w:proofErr w:type="gramEnd"/>
      <w:r w:rsidRPr="004B14BB">
        <w:rPr>
          <w:color w:val="FFFFFF" w:themeColor="background1"/>
          <w:sz w:val="106"/>
          <w:szCs w:val="106"/>
        </w:rPr>
        <w:t>Wykres do przemyślenia” zasadniczo rzecz biorąc wykazują relatywną przewagę nad indeksem WIG20 !</w:t>
      </w:r>
    </w:p>
    <w:p w:rsidR="004B14BB" w:rsidRDefault="004B14BB" w:rsidP="004B14BB">
      <w:pPr>
        <w:spacing w:after="0" w:line="240" w:lineRule="auto"/>
        <w:jc w:val="both"/>
        <w:rPr>
          <w:rFonts w:eastAsiaTheme="minorEastAsia"/>
          <w:color w:val="000000" w:themeColor="text1"/>
          <w:lang w:eastAsia="pl-PL"/>
        </w:rPr>
      </w:pPr>
    </w:p>
    <w:p w:rsidR="004B14BB" w:rsidRDefault="004B14BB" w:rsidP="004B14BB">
      <w:pPr>
        <w:spacing w:after="0" w:line="240" w:lineRule="auto"/>
        <w:jc w:val="both"/>
        <w:rPr>
          <w:rFonts w:eastAsiaTheme="minorEastAsia"/>
          <w:color w:val="000000" w:themeColor="text1"/>
          <w:lang w:eastAsia="pl-PL"/>
        </w:rPr>
      </w:pPr>
    </w:p>
    <w:p w:rsidR="004B14BB" w:rsidRDefault="004B14BB" w:rsidP="004B14BB">
      <w:pPr>
        <w:shd w:val="clear" w:color="auto" w:fill="FFFF00"/>
        <w:spacing w:after="0" w:line="240" w:lineRule="auto"/>
        <w:jc w:val="center"/>
        <w:rPr>
          <w:rFonts w:eastAsia="Times New Roman" w:cs="Times New Roman"/>
          <w:b/>
          <w:sz w:val="100"/>
          <w:szCs w:val="100"/>
          <w:lang w:eastAsia="pl-PL"/>
        </w:rPr>
      </w:pPr>
      <w:r>
        <w:rPr>
          <w:rFonts w:eastAsia="Times New Roman" w:cs="Times New Roman"/>
          <w:b/>
          <w:sz w:val="100"/>
          <w:szCs w:val="100"/>
          <w:lang w:eastAsia="pl-PL"/>
        </w:rPr>
        <w:t xml:space="preserve">Ile wynosiła średnia procentowa zmiana kursu akcji spółki po wprowadzeniu jej do rubryki </w:t>
      </w:r>
      <w:proofErr w:type="gramStart"/>
      <w:r>
        <w:rPr>
          <w:rFonts w:eastAsia="Times New Roman" w:cs="Times New Roman"/>
          <w:b/>
          <w:sz w:val="100"/>
          <w:szCs w:val="100"/>
          <w:lang w:eastAsia="pl-PL"/>
        </w:rPr>
        <w:t>,,</w:t>
      </w:r>
      <w:proofErr w:type="gramEnd"/>
      <w:r>
        <w:rPr>
          <w:rFonts w:eastAsia="Times New Roman" w:cs="Times New Roman"/>
          <w:b/>
          <w:sz w:val="100"/>
          <w:szCs w:val="100"/>
          <w:lang w:eastAsia="pl-PL"/>
        </w:rPr>
        <w:t>Wykres do przemyślenia” w okresie 12 pierwszych miesięcy po jej wprowadzeniu do tej rubryki ?</w:t>
      </w:r>
    </w:p>
    <w:p w:rsidR="004B14BB" w:rsidRDefault="004B14BB" w:rsidP="004B14BB">
      <w:pPr>
        <w:spacing w:after="0" w:line="240" w:lineRule="auto"/>
        <w:jc w:val="both"/>
        <w:rPr>
          <w:rFonts w:eastAsia="Times New Roman" w:cs="Times New Roman"/>
          <w:b/>
          <w:sz w:val="26"/>
          <w:szCs w:val="26"/>
          <w:lang w:eastAsia="pl-PL"/>
        </w:rPr>
      </w:pPr>
    </w:p>
    <w:p w:rsidR="004B14BB" w:rsidRDefault="004B14BB" w:rsidP="004B14BB">
      <w:pPr>
        <w:spacing w:after="0" w:line="240" w:lineRule="auto"/>
        <w:jc w:val="both"/>
        <w:rPr>
          <w:rFonts w:eastAsia="Times New Roman" w:cs="Times New Roman"/>
          <w:b/>
          <w:sz w:val="26"/>
          <w:szCs w:val="26"/>
          <w:lang w:eastAsia="pl-PL"/>
        </w:rPr>
      </w:pPr>
    </w:p>
    <w:p w:rsidR="004B14BB" w:rsidRDefault="004B14BB" w:rsidP="004B14BB">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Obliczenia według stanu na 1</w:t>
      </w:r>
      <w:r w:rsidR="00805EE1">
        <w:rPr>
          <w:rFonts w:eastAsia="Times New Roman" w:cs="Times New Roman"/>
          <w:b/>
          <w:sz w:val="32"/>
          <w:szCs w:val="32"/>
          <w:u w:val="single"/>
          <w:lang w:eastAsia="pl-PL"/>
        </w:rPr>
        <w:t>9</w:t>
      </w:r>
      <w:r>
        <w:rPr>
          <w:rFonts w:eastAsia="Times New Roman" w:cs="Times New Roman"/>
          <w:b/>
          <w:sz w:val="32"/>
          <w:szCs w:val="32"/>
          <w:u w:val="single"/>
          <w:lang w:eastAsia="pl-PL"/>
        </w:rPr>
        <w:t xml:space="preserve"> lutego 2016 roku</w:t>
      </w:r>
    </w:p>
    <w:p w:rsidR="004B14BB" w:rsidRDefault="004B14BB" w:rsidP="004B14BB">
      <w:pPr>
        <w:spacing w:after="0" w:line="240" w:lineRule="auto"/>
        <w:jc w:val="center"/>
        <w:rPr>
          <w:rFonts w:eastAsia="Times New Roman" w:cs="Times New Roman"/>
          <w:b/>
          <w:sz w:val="32"/>
          <w:szCs w:val="32"/>
          <w:u w:val="single"/>
          <w:lang w:eastAsia="pl-PL"/>
        </w:rPr>
      </w:pPr>
    </w:p>
    <w:p w:rsidR="004B14BB" w:rsidRDefault="004B14BB" w:rsidP="004B14BB">
      <w:pPr>
        <w:spacing w:after="0" w:line="240" w:lineRule="auto"/>
        <w:jc w:val="both"/>
        <w:rPr>
          <w:rFonts w:eastAsia="Times New Roman" w:cs="Times New Roman"/>
          <w:b/>
          <w:sz w:val="26"/>
          <w:szCs w:val="26"/>
          <w:lang w:eastAsia="pl-PL"/>
        </w:rPr>
      </w:pPr>
    </w:p>
    <w:p w:rsidR="004B14BB" w:rsidRDefault="004B14BB" w:rsidP="004B14BB">
      <w:pPr>
        <w:spacing w:after="0" w:line="240" w:lineRule="auto"/>
        <w:jc w:val="both"/>
        <w:rPr>
          <w:rFonts w:eastAsia="Times New Roman" w:cs="Times New Roman"/>
          <w:b/>
          <w:sz w:val="26"/>
          <w:szCs w:val="26"/>
          <w:lang w:eastAsia="pl-PL"/>
        </w:rPr>
      </w:pPr>
      <w:r>
        <w:rPr>
          <w:rFonts w:eastAsia="Times New Roman" w:cs="Times New Roman"/>
          <w:b/>
          <w:sz w:val="26"/>
          <w:szCs w:val="26"/>
          <w:lang w:eastAsia="pl-PL"/>
        </w:rPr>
        <w:t xml:space="preserve">Wprowadzenie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Strona internetowa </w:t>
      </w:r>
      <w:hyperlink r:id="rId13" w:history="1">
        <w:r>
          <w:rPr>
            <w:rStyle w:val="Hipercze"/>
            <w:rFonts w:eastAsia="Times New Roman" w:cs="Times New Roman"/>
            <w:sz w:val="26"/>
            <w:szCs w:val="26"/>
            <w:lang w:eastAsia="pl-PL"/>
          </w:rPr>
          <w:t>http://analizy-rynkowe.pl/</w:t>
        </w:r>
      </w:hyperlink>
      <w:r>
        <w:rPr>
          <w:rFonts w:eastAsia="Times New Roman" w:cs="Times New Roman"/>
          <w:sz w:val="26"/>
          <w:szCs w:val="26"/>
          <w:lang w:eastAsia="pl-PL"/>
        </w:rPr>
        <w:t xml:space="preserve"> prowadzona jest od września 2014 roku.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Co tydzień publikowany jest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Raport Tygodniowy”</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Od czasu do czasu umieszczam wybrane spółki w rubryce </w:t>
      </w:r>
      <w:proofErr w:type="gramStart"/>
      <w:r>
        <w:rPr>
          <w:rFonts w:eastAsia="Times New Roman" w:cs="Times New Roman"/>
          <w:b/>
          <w:color w:val="FF0000"/>
          <w:sz w:val="26"/>
          <w:szCs w:val="26"/>
          <w:lang w:eastAsia="pl-PL"/>
        </w:rPr>
        <w:t>,,</w:t>
      </w:r>
      <w:proofErr w:type="gramEnd"/>
      <w:r>
        <w:rPr>
          <w:rFonts w:eastAsia="Times New Roman" w:cs="Times New Roman"/>
          <w:b/>
          <w:color w:val="FF0000"/>
          <w:sz w:val="26"/>
          <w:szCs w:val="26"/>
          <w:lang w:eastAsia="pl-PL"/>
        </w:rPr>
        <w:t xml:space="preserve">Wykres do przemyślenia”.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Umieszczane są tam te przykładowe spółki, których kurs </w:t>
      </w:r>
      <w:r>
        <w:rPr>
          <w:rFonts w:eastAsia="Times New Roman" w:cs="Times New Roman"/>
          <w:b/>
          <w:color w:val="FF0000"/>
          <w:sz w:val="26"/>
          <w:szCs w:val="26"/>
          <w:lang w:eastAsia="pl-PL"/>
        </w:rPr>
        <w:t xml:space="preserve">wybił się z formacji podwójnego dna.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Formacja podwójnego dna ma </w:t>
      </w:r>
      <w:r>
        <w:rPr>
          <w:rFonts w:eastAsia="Times New Roman" w:cs="Times New Roman"/>
          <w:b/>
          <w:sz w:val="26"/>
          <w:szCs w:val="26"/>
          <w:lang w:eastAsia="pl-PL"/>
        </w:rPr>
        <w:t xml:space="preserve">2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 xml:space="preserve">zadania”.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Podstawowym, minimalnym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jej wypełnienie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Drugim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doprowadzenie do zmiany trendu ze spadkowego na wzrostowy.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Osobiście wyróżniam </w:t>
      </w:r>
      <w:r>
        <w:rPr>
          <w:rFonts w:eastAsia="Times New Roman" w:cs="Times New Roman"/>
          <w:b/>
          <w:sz w:val="26"/>
          <w:szCs w:val="26"/>
          <w:lang w:eastAsia="pl-PL"/>
        </w:rPr>
        <w:t>typowe oraz nietypowe podwójne dno.</w:t>
      </w:r>
      <w:r>
        <w:rPr>
          <w:rFonts w:eastAsia="Times New Roman" w:cs="Times New Roman"/>
          <w:sz w:val="26"/>
          <w:szCs w:val="26"/>
          <w:lang w:eastAsia="pl-PL"/>
        </w:rPr>
        <w:t xml:space="preserve">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Typowa formacja podwójnego dna charakteryzuje się tym, że dołki w formacji kształtują się na poziomie identycznym, bądź prawie identycznym.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Natomiast w przypadku nietypowej formacji podwójnego dna kształtują się one na poziomie zupełnie odmiennym.</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Od pierwszego numeru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postanowiłem, że będę </w:t>
      </w:r>
      <w:r>
        <w:rPr>
          <w:rFonts w:eastAsia="Times New Roman" w:cs="Times New Roman"/>
          <w:b/>
          <w:sz w:val="26"/>
          <w:szCs w:val="26"/>
          <w:lang w:eastAsia="pl-PL"/>
        </w:rPr>
        <w:t>porównywał</w:t>
      </w:r>
      <w:r>
        <w:rPr>
          <w:rFonts w:eastAsia="Times New Roman" w:cs="Times New Roman"/>
          <w:sz w:val="26"/>
          <w:szCs w:val="26"/>
          <w:lang w:eastAsia="pl-PL"/>
        </w:rPr>
        <w:t xml:space="preserve"> zachowanie kursu akcji spółki po wprowadzeniu jej do rubryki ,,Wykres do przemyślenia” </w:t>
      </w:r>
      <w:r>
        <w:rPr>
          <w:rFonts w:eastAsia="Times New Roman" w:cs="Times New Roman"/>
          <w:b/>
          <w:sz w:val="26"/>
          <w:szCs w:val="26"/>
          <w:lang w:eastAsia="pl-PL"/>
        </w:rPr>
        <w:t xml:space="preserve">z zachowaniem indeksu WIG20.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Mam świadomość, że podejście to może budzić kontrowersje, sprzeciw. Dobrze. Tak być musi.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Postanowiłem odpowiedzieć na pytanie: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Ile wynosiła średnia procentowa zmiana kursu akcji spółki po wprowadzeniu jej do rubryki ,,Wykres do przemyślenia” w okresie 12 pierwszych miesięcy po jej wprowadzeniu do tej rubryki ?”</w:t>
      </w:r>
    </w:p>
    <w:p w:rsidR="004B14BB" w:rsidRDefault="004B14BB"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W związku z powyższym postanowiłem odpowiedzieć </w:t>
      </w:r>
      <w:r>
        <w:rPr>
          <w:rFonts w:eastAsia="Times New Roman" w:cs="Times New Roman"/>
          <w:b/>
          <w:sz w:val="26"/>
          <w:szCs w:val="26"/>
          <w:lang w:eastAsia="pl-PL"/>
        </w:rPr>
        <w:t>także</w:t>
      </w:r>
      <w:r>
        <w:rPr>
          <w:rFonts w:eastAsia="Times New Roman" w:cs="Times New Roman"/>
          <w:sz w:val="26"/>
          <w:szCs w:val="26"/>
          <w:lang w:eastAsia="pl-PL"/>
        </w:rPr>
        <w:t xml:space="preserve"> na pytanie: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Ile wynosiła średnia procentowa zmiana indeksu WIG 20 w tym okresie ?”</w:t>
      </w:r>
      <w:r w:rsidR="001705D4">
        <w:rPr>
          <w:rFonts w:eastAsia="Times New Roman" w:cs="Times New Roman"/>
          <w:sz w:val="26"/>
          <w:szCs w:val="26"/>
          <w:lang w:eastAsia="pl-PL"/>
        </w:rPr>
        <w:t xml:space="preserve">. </w:t>
      </w:r>
      <w:r>
        <w:rPr>
          <w:rFonts w:eastAsia="Times New Roman" w:cs="Times New Roman"/>
          <w:sz w:val="26"/>
          <w:szCs w:val="26"/>
          <w:lang w:eastAsia="pl-PL"/>
        </w:rPr>
        <w:t xml:space="preserve">Odpowiedź na te pytania przedstawiłem w tabeli na następnej stronie. </w:t>
      </w: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 akcji czterech spółek, których akcje zostały wymienione w pierwszym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8 września 2014 roku w rubryce ,,Wykres do przemyślenia” w okresie od 5 września do 4 września 2015 roku oraz procentowa zmiana indeksu WIG 20 w tym okresie. </w:t>
      </w:r>
    </w:p>
    <w:p w:rsidR="004B14BB" w:rsidRDefault="004B14BB" w:rsidP="004B14BB">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05.09.2014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04.09.2015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Immobile</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2,04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2,35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+15,2 %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Lena</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3,99 zł.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4,44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+11,3 %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Netmedia</w:t>
            </w:r>
            <w:proofErr w:type="spellEnd"/>
            <w:proofErr w:type="gramEnd"/>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3,63 zł.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5,64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+55,4 %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Rafako</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4,25 zł.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6,72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+58,1 %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 xml:space="preserve">    +35,0 %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2 541,42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2 146,47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-15,5 %</w:t>
            </w:r>
          </w:p>
        </w:tc>
      </w:tr>
    </w:tbl>
    <w:p w:rsidR="004B14BB" w:rsidRDefault="004B14BB" w:rsidP="004B14BB">
      <w:pPr>
        <w:spacing w:after="0" w:line="240" w:lineRule="auto"/>
        <w:jc w:val="both"/>
        <w:rPr>
          <w:rFonts w:ascii="Calibri" w:eastAsia="Times New Roman" w:hAnsi="Calibri" w:cs="Times New Roman"/>
          <w:sz w:val="36"/>
          <w:szCs w:val="36"/>
          <w:u w:val="single"/>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drugim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15 września 2014 roku w rubryce ,,Wykres do przemyślenia” w okresie od 12 września do 11 września 2015 roku oraz procentowa zmiana indeksu WIG 20 w tym okresie. </w:t>
      </w:r>
    </w:p>
    <w:p w:rsidR="004B14BB" w:rsidRDefault="004B14BB" w:rsidP="004B14BB">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12.09.2014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11.09.2015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Boryszew</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6,50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5,15 zł. </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-20,8 %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 xml:space="preserve">  -20,8 %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2 185,46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-12,5 %</w:t>
            </w:r>
          </w:p>
        </w:tc>
      </w:tr>
    </w:tbl>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16 września na stronie internetowej </w:t>
      </w:r>
      <w:hyperlink r:id="rId14"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15 września do 15 września 2015 roku oraz procentowa zmiana indeksu WIG 20 w tym okresie. </w:t>
      </w:r>
    </w:p>
    <w:p w:rsidR="004B14BB" w:rsidRDefault="004B14BB" w:rsidP="004B14BB">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15.09.2014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15.09.2015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Erbud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26,50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32,90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24,2 %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 xml:space="preserve">  24,2 %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2 185,88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-12,2 %</w:t>
            </w:r>
          </w:p>
        </w:tc>
      </w:tr>
    </w:tbl>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trzecim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22 września 2014 roku w rubryce ,,Wykres do przemyślenia” w okresie od 19 września 2014 roku do 18 września 2015 roku oraz procentowa zmiana indeksu WIG 20 w tym okresie. </w:t>
      </w:r>
    </w:p>
    <w:p w:rsidR="004B14BB" w:rsidRDefault="004B14BB" w:rsidP="004B14BB">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19.09.2014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IF Capital</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1,32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0,98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2,3 %</w:t>
            </w:r>
          </w:p>
        </w:tc>
      </w:tr>
      <w:tr w:rsidR="004B14BB" w:rsidTr="004B14BB">
        <w:trPr>
          <w:trHeight w:val="310"/>
        </w:trPr>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2,3 %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-13,2 %</w:t>
            </w:r>
          </w:p>
        </w:tc>
      </w:tr>
    </w:tbl>
    <w:p w:rsidR="004B14BB" w:rsidRDefault="004B14BB" w:rsidP="004B14BB">
      <w:pPr>
        <w:spacing w:after="0" w:line="240" w:lineRule="auto"/>
        <w:jc w:val="both"/>
        <w:rPr>
          <w:rFonts w:eastAsiaTheme="minorEastAsia"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25 września na stronie internetowej </w:t>
      </w:r>
      <w:hyperlink r:id="rId15"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24 września 2014 roku do 24 września 2015 roku oraz procentowa zmiana indeksu WIG 20 w tym okresie. </w:t>
      </w:r>
    </w:p>
    <w:p w:rsidR="004B14BB" w:rsidRDefault="004B14BB" w:rsidP="004B14BB">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24.09.2014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Capital Partners</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1,85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2,40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+29,7 %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+29,7 %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2 082,95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-15,8 %</w:t>
            </w:r>
          </w:p>
        </w:tc>
      </w:tr>
    </w:tbl>
    <w:p w:rsidR="004B14BB" w:rsidRDefault="004B14BB" w:rsidP="004B14BB">
      <w:pPr>
        <w:spacing w:after="0" w:line="240" w:lineRule="auto"/>
        <w:jc w:val="both"/>
        <w:rPr>
          <w:rFonts w:eastAsiaTheme="minorEastAsia" w:cs="Times New Roman"/>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 akcji trzech spółek, których akcje zostały wymienione w czwartym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29 września 2014 roku w rubryce ,,Wykres do przemyślenia” w okresie od 30 września 2014 roku do 25 września 2015 roku oraz procentowa zmiana indeksu WIG 20 w tym okresie. </w:t>
      </w:r>
    </w:p>
    <w:p w:rsidR="004B14BB" w:rsidRDefault="004B14BB" w:rsidP="004B14BB">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26.09.2014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25.09.2015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 </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45,64 zł.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54,70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+19,9 %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CD</w:t>
            </w:r>
            <w:proofErr w:type="gramEnd"/>
            <w:r>
              <w:rPr>
                <w:rFonts w:eastAsiaTheme="minorEastAsia"/>
                <w:lang w:eastAsia="pl-PL"/>
              </w:rPr>
              <w:t xml:space="preserve"> Projekt</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16,59 zł.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26,80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+61,5 %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Sygnity</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17,60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8,82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- 49,9 %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 xml:space="preserve"> +10,5%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2484,02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- 15,8 %</w:t>
            </w:r>
          </w:p>
        </w:tc>
      </w:tr>
    </w:tbl>
    <w:p w:rsidR="004B14BB" w:rsidRDefault="004B14BB" w:rsidP="004B14BB">
      <w:pPr>
        <w:spacing w:after="0" w:line="240" w:lineRule="auto"/>
        <w:rPr>
          <w:rFonts w:ascii="Calibri" w:eastAsia="Times New Roman" w:hAnsi="Calibri" w:cs="Times New Roman"/>
          <w:sz w:val="26"/>
          <w:szCs w:val="26"/>
          <w:u w:val="single"/>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piątym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6 października 2014 roku w rubryce ,,Wykres do przemyślenia” w okresie od 3 października do 2 października 2015 roku oraz procentowa zmiana indeksu WIG 20 w tym okresie. </w:t>
      </w:r>
    </w:p>
    <w:p w:rsidR="004B14BB" w:rsidRDefault="004B14BB" w:rsidP="004B14BB">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03.10.2014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02.10.2015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244,10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278,15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+13,9 %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+13,9 %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2 444,06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2 036,32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-16,7 %</w:t>
            </w:r>
          </w:p>
        </w:tc>
      </w:tr>
    </w:tbl>
    <w:p w:rsidR="004B14BB" w:rsidRDefault="004B14BB" w:rsidP="004B14BB">
      <w:pPr>
        <w:spacing w:after="0" w:line="240" w:lineRule="auto"/>
        <w:rPr>
          <w:rFonts w:ascii="Calibri" w:eastAsia="Times New Roman" w:hAnsi="Calibri" w:cs="Times New Roman"/>
          <w:sz w:val="26"/>
          <w:szCs w:val="26"/>
          <w:u w:val="single"/>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szóstym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20 października 2014 roku w rubryce ,,Wykres do przemyślenia” w okresie od 17 września do 16 października 2015 roku oraz procentowa zmiana indeksu WIG 20 w tym okresie. </w:t>
      </w:r>
    </w:p>
    <w:p w:rsidR="004B14BB" w:rsidRDefault="004B14BB" w:rsidP="004B14BB">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17.10.2014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16.10.2015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Tauron</w:t>
            </w:r>
            <w:proofErr w:type="spellEnd"/>
            <w:r>
              <w:rPr>
                <w:rFonts w:eastAsiaTheme="minorEastAsia"/>
                <w:lang w:eastAsia="pl-PL"/>
              </w:rPr>
              <w:t xml:space="preserve"> Polska Energia</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5,21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3,23 zł. </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-38,0 %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 xml:space="preserve">  -38,0 %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2 121,94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-11,6 %</w:t>
            </w:r>
          </w:p>
        </w:tc>
      </w:tr>
    </w:tbl>
    <w:p w:rsidR="004B14BB" w:rsidRDefault="004B14BB" w:rsidP="004B14BB">
      <w:pPr>
        <w:spacing w:after="0" w:line="240" w:lineRule="auto"/>
        <w:rPr>
          <w:rFonts w:ascii="Calibri" w:eastAsia="Times New Roman" w:hAnsi="Calibri" w:cs="Times New Roman"/>
          <w:sz w:val="42"/>
          <w:szCs w:val="42"/>
          <w:u w:val="single"/>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22 października na stronie internetowej </w:t>
      </w:r>
      <w:hyperlink r:id="rId16"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21 października do 19 czerwca 2015 roku do 21 października 2015 roku oraz procentowa zmiana indeksu WIG 20 w tym okresie. </w:t>
      </w:r>
    </w:p>
    <w:p w:rsidR="004B14BB" w:rsidRDefault="004B14BB" w:rsidP="004B14BB">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21.10.2014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21.10.2015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Elektrotim</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8,70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18,66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+ 114,5 %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color w:val="000000" w:themeColor="text1"/>
                <w:lang w:eastAsia="pl-PL"/>
              </w:rPr>
            </w:pPr>
            <w:r>
              <w:rPr>
                <w:rFonts w:eastAsiaTheme="minorEastAsia"/>
                <w:color w:val="000000" w:themeColor="text1"/>
                <w:lang w:eastAsia="pl-PL"/>
              </w:rPr>
              <w:t xml:space="preserve">6,93 zł.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color w:val="000000" w:themeColor="text1"/>
                <w:lang w:eastAsia="pl-PL"/>
              </w:rPr>
            </w:pPr>
            <w:r>
              <w:rPr>
                <w:rFonts w:eastAsiaTheme="minorEastAsia"/>
                <w:color w:val="000000" w:themeColor="text1"/>
                <w:lang w:eastAsia="pl-PL"/>
              </w:rPr>
              <w:t xml:space="preserve">6,70 zł. </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color w:val="000000" w:themeColor="text1"/>
                <w:lang w:eastAsia="pl-PL"/>
              </w:rPr>
            </w:pPr>
            <w:r>
              <w:rPr>
                <w:rFonts w:eastAsiaTheme="minorEastAsia"/>
                <w:color w:val="000000" w:themeColor="text1"/>
                <w:lang w:eastAsia="pl-PL"/>
              </w:rPr>
              <w:t xml:space="preserve">  -3,3 %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4B14BB" w:rsidRDefault="004B14BB">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4B14BB" w:rsidRDefault="004B14BB">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 xml:space="preserve">   + 55,6 %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2 423,77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2 105,65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-13,1 %</w:t>
            </w:r>
          </w:p>
        </w:tc>
      </w:tr>
    </w:tbl>
    <w:p w:rsidR="004B14BB" w:rsidRDefault="004B14BB" w:rsidP="004B14BB">
      <w:pPr>
        <w:spacing w:after="0" w:line="240" w:lineRule="auto"/>
        <w:jc w:val="both"/>
        <w:rPr>
          <w:rFonts w:eastAsiaTheme="minorEastAsia" w:cs="Times New Roman"/>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siódmym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27 października 2014 roku w rubryce ,,Wykres do przemyślenia” w okresie od 24 października 2014 roku do 23 października 2015 roku oraz procentowa zmiana indeksu WIG 20 w tym okresie. </w:t>
      </w:r>
    </w:p>
    <w:p w:rsidR="004B14BB" w:rsidRDefault="004B14BB" w:rsidP="004B14BB">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24.10.2014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23.10.2015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4,32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3,70 zł. </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-14,4 %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 xml:space="preserve">  -14,4 %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2 107,43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-13,1 %</w:t>
            </w:r>
          </w:p>
        </w:tc>
      </w:tr>
    </w:tbl>
    <w:p w:rsidR="004B14BB" w:rsidRDefault="004B14BB" w:rsidP="004B14BB">
      <w:pPr>
        <w:spacing w:after="0" w:line="240" w:lineRule="auto"/>
        <w:jc w:val="both"/>
        <w:rPr>
          <w:rFonts w:ascii="Calibri" w:eastAsia="Times New Roman" w:hAnsi="Calibri" w:cs="Times New Roman"/>
          <w:sz w:val="30"/>
          <w:szCs w:val="30"/>
          <w:u w:val="single"/>
          <w:lang w:eastAsia="pl-PL"/>
        </w:rPr>
      </w:pPr>
    </w:p>
    <w:p w:rsidR="004B14BB" w:rsidRDefault="004B14BB" w:rsidP="004B14BB">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3 listopada 2014 roku w rubryce ,,Wykres do przemyślenia” w okresie od 31 października 2014 roku do 30 października 2015 roku oraz procentowa zmiana indeksu WIG 20 w tym okresie. </w:t>
      </w:r>
    </w:p>
    <w:p w:rsidR="004B14BB" w:rsidRDefault="004B14BB" w:rsidP="004B14BB">
      <w:pPr>
        <w:spacing w:after="0" w:line="240" w:lineRule="auto"/>
        <w:jc w:val="both"/>
        <w:rPr>
          <w:rFonts w:eastAsia="Times New Roman" w:cs="Times New Roman"/>
          <w:sz w:val="28"/>
          <w:szCs w:val="28"/>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31.10.2014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30.10.2015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Enea</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16,00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12,83 zł. </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-19,8 %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 xml:space="preserve">  -19,8 %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2 463,68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2 060,03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-16,4 %</w:t>
            </w:r>
          </w:p>
        </w:tc>
      </w:tr>
    </w:tbl>
    <w:p w:rsidR="004B14BB" w:rsidRDefault="004B14BB" w:rsidP="004B14BB">
      <w:pPr>
        <w:spacing w:after="0" w:line="240" w:lineRule="auto"/>
        <w:jc w:val="both"/>
        <w:rPr>
          <w:rFonts w:ascii="Calibri" w:eastAsia="Times New Roman" w:hAnsi="Calibri" w:cs="Times New Roman"/>
          <w:sz w:val="26"/>
          <w:szCs w:val="26"/>
          <w:u w:val="single"/>
          <w:lang w:eastAsia="pl-PL"/>
        </w:rPr>
      </w:pPr>
    </w:p>
    <w:p w:rsidR="004B14BB" w:rsidRDefault="004B14BB" w:rsidP="004B14BB">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1 grudnia 2014 roku w rubryce ,,Wykres do przemyślenia” w okresie od 28 listopada 2014 roku do 27 listopada 2015 roku oraz procentowa zmiana indeksu WIG 20 w tym okresie. </w:t>
      </w:r>
    </w:p>
    <w:p w:rsidR="004B14BB" w:rsidRDefault="004B14BB" w:rsidP="004B14BB">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28.11.2014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27.11.2015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Procad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1,06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1,84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+73,6 %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+73,6 %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2 416,93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1 936,05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-19,9 %</w:t>
            </w:r>
          </w:p>
        </w:tc>
      </w:tr>
    </w:tbl>
    <w:p w:rsidR="001705D4" w:rsidRDefault="001705D4" w:rsidP="004B14BB">
      <w:pPr>
        <w:spacing w:after="0" w:line="240" w:lineRule="auto"/>
        <w:jc w:val="both"/>
        <w:rPr>
          <w:rFonts w:eastAsia="Times New Roman" w:cs="Times New Roman"/>
          <w:sz w:val="26"/>
          <w:szCs w:val="26"/>
          <w:lang w:eastAsia="pl-PL"/>
        </w:rPr>
      </w:pPr>
    </w:p>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 grudnia na stronie internetowej </w:t>
      </w:r>
      <w:hyperlink r:id="rId17"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 grudnia 2014 roku do 1 grudnia 2015 roku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01.12.2014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01.12.2015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PKO BP </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37,65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27,20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-27,8 %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-27,8 %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1 923,94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-20,4 %</w:t>
            </w:r>
          </w:p>
        </w:tc>
      </w:tr>
    </w:tbl>
    <w:p w:rsidR="004B14BB" w:rsidRDefault="004B14BB" w:rsidP="004B14BB">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wymienione w numerze </w:t>
      </w:r>
      <w:proofErr w:type="gramStart"/>
      <w:r>
        <w:rPr>
          <w:rFonts w:eastAsia="Times New Roman" w:cs="Times New Roman"/>
          <w:lang w:eastAsia="pl-PL"/>
        </w:rPr>
        <w:t>,,</w:t>
      </w:r>
      <w:proofErr w:type="gramEnd"/>
      <w:r>
        <w:rPr>
          <w:rFonts w:eastAsia="Times New Roman" w:cs="Times New Roman"/>
          <w:lang w:eastAsia="pl-PL"/>
        </w:rPr>
        <w:t xml:space="preserve">Raportu Tygodniowego” z 15 grudnia 2014 roku w rubryce ,,Wykres do przemyślenia” w okresie od 12 grudnia 2014 roku do 11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12.12.2014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11.12.2015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Mercor</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8,14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8,60 zł. </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+5,7 %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 xml:space="preserve">  +5,7 %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2 360,00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1 757,37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  25,5 %</w:t>
            </w:r>
          </w:p>
        </w:tc>
      </w:tr>
    </w:tbl>
    <w:p w:rsidR="004B14BB" w:rsidRDefault="004B14BB" w:rsidP="004B14BB">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18"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30 grudnia 2014 roku do 23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30.12.2014</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115,50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114,05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-1,3 %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-1,3 %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2 315,94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-19,7  %</w:t>
            </w:r>
          </w:p>
        </w:tc>
      </w:tr>
    </w:tbl>
    <w:p w:rsidR="004B14BB" w:rsidRDefault="004B14BB" w:rsidP="004B14BB">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12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19" w:history="1">
        <w:r>
          <w:rPr>
            <w:rStyle w:val="Hipercze"/>
            <w:rFonts w:eastAsia="Times New Roman" w:cs="Times New Roman"/>
            <w:lang w:eastAsia="pl-PL"/>
          </w:rPr>
          <w:t>www.analizy-rynkowe.</w:t>
        </w:r>
        <w:proofErr w:type="gramStart"/>
        <w:r>
          <w:rPr>
            <w:rStyle w:val="Hipercze"/>
            <w:rFonts w:eastAsia="Times New Roman" w:cs="Times New Roman"/>
            <w:lang w:eastAsia="pl-PL"/>
          </w:rPr>
          <w:t>pl</w:t>
        </w:r>
      </w:hyperlink>
      <w:r>
        <w:rPr>
          <w:rFonts w:eastAsia="Times New Roman" w:cs="Times New Roman"/>
          <w:lang w:eastAsia="pl-PL"/>
        </w:rPr>
        <w:t>na  stronie</w:t>
      </w:r>
      <w:proofErr w:type="gramEnd"/>
      <w:r>
        <w:rPr>
          <w:rFonts w:eastAsia="Times New Roman" w:cs="Times New Roman"/>
          <w:lang w:eastAsia="pl-PL"/>
        </w:rPr>
        <w:t xml:space="preserve"> internetowej </w:t>
      </w:r>
      <w:hyperlink r:id="rId20"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9 stycznia 2015 roku do 8 stycznia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09.01.2015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08.012016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Muza</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3,34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2,84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 -15,0 %0</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-15,0 %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1 725,14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-28,6 %</w:t>
            </w:r>
          </w:p>
        </w:tc>
      </w:tr>
    </w:tbl>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30 stycznia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21"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29 stycznia 2015 roku </w:t>
      </w:r>
      <w:r>
        <w:rPr>
          <w:rFonts w:eastAsia="Times New Roman" w:cs="Times New Roman"/>
          <w:lang w:eastAsia="pl-PL"/>
        </w:rPr>
        <w:t xml:space="preserve">do 29 stycznia 2016 roku  </w:t>
      </w:r>
      <w:r>
        <w:rPr>
          <w:rFonts w:eastAsia="Times New Roman" w:cs="Times New Roman"/>
          <w:sz w:val="26"/>
          <w:szCs w:val="26"/>
          <w:lang w:eastAsia="pl-PL"/>
        </w:rPr>
        <w:t xml:space="preserve">oraz procentowa zmiana indeksu WIG 20 w tym okresie. </w:t>
      </w:r>
    </w:p>
    <w:p w:rsidR="004B14BB" w:rsidRDefault="004B14BB" w:rsidP="004B14BB">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29.01.2015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29.01.2016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Lubawa</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1,11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0,78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-29,7 %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-29,7 %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1 780,25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-26,3 %</w:t>
            </w:r>
          </w:p>
        </w:tc>
      </w:tr>
    </w:tbl>
    <w:p w:rsidR="004B14BB" w:rsidRDefault="004B14BB" w:rsidP="004B14BB">
      <w:pPr>
        <w:spacing w:after="0" w:line="240" w:lineRule="auto"/>
        <w:jc w:val="both"/>
        <w:rPr>
          <w:rFonts w:eastAsiaTheme="minorEastAsia" w:cs="Times New Roman"/>
          <w:lang w:eastAsia="pl-PL"/>
        </w:rPr>
      </w:pPr>
    </w:p>
    <w:p w:rsidR="004B14BB" w:rsidRDefault="004B14BB" w:rsidP="004B14BB">
      <w:pPr>
        <w:spacing w:after="0" w:line="240" w:lineRule="auto"/>
        <w:jc w:val="both"/>
        <w:rPr>
          <w:rFonts w:eastAsiaTheme="minorEastAsia" w:cs="Times New Roman"/>
          <w:lang w:eastAsia="pl-PL"/>
        </w:rPr>
      </w:pPr>
    </w:p>
    <w:p w:rsidR="004B14BB" w:rsidRDefault="004B14BB" w:rsidP="004B14BB">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10 lutego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2"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9 lutego </w:t>
      </w:r>
      <w:r>
        <w:rPr>
          <w:rFonts w:eastAsia="Times New Roman" w:cs="Times New Roman"/>
          <w:sz w:val="26"/>
          <w:szCs w:val="26"/>
          <w:lang w:eastAsia="pl-PL"/>
        </w:rPr>
        <w:t xml:space="preserve">2015 roku </w:t>
      </w:r>
      <w:r>
        <w:rPr>
          <w:rFonts w:eastAsia="Times New Roman" w:cs="Times New Roman"/>
          <w:lang w:eastAsia="pl-PL"/>
        </w:rPr>
        <w:t xml:space="preserve">do 9 lutego 2016 roku  oraz procentowa zmiana indeksu WIG 20 w tym okresie. </w:t>
      </w:r>
    </w:p>
    <w:p w:rsidR="004B14BB" w:rsidRDefault="004B14BB" w:rsidP="004B14BB">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09.02.2015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09.02.2016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Atrem</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4,50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4,00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-11,1 %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-11,1 %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1 790,87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-24,5%</w:t>
            </w:r>
          </w:p>
        </w:tc>
      </w:tr>
    </w:tbl>
    <w:p w:rsidR="004B14BB" w:rsidRDefault="004B14BB" w:rsidP="004B14BB">
      <w:pPr>
        <w:spacing w:after="0" w:line="240" w:lineRule="auto"/>
        <w:jc w:val="both"/>
        <w:rPr>
          <w:rFonts w:eastAsiaTheme="minorEastAsia" w:cs="Times New Roman"/>
          <w:lang w:eastAsia="pl-PL"/>
        </w:rPr>
      </w:pPr>
    </w:p>
    <w:p w:rsidR="004B14BB" w:rsidRDefault="004B14BB" w:rsidP="004B14BB">
      <w:pPr>
        <w:spacing w:after="0" w:line="240" w:lineRule="auto"/>
        <w:jc w:val="both"/>
        <w:rPr>
          <w:rFonts w:eastAsiaTheme="minorEastAsia" w:cs="Times New Roman"/>
          <w:lang w:eastAsia="pl-PL"/>
        </w:rPr>
      </w:pPr>
    </w:p>
    <w:p w:rsidR="004B14BB" w:rsidRPr="001705D4" w:rsidRDefault="004B14BB" w:rsidP="004B14BB">
      <w:pPr>
        <w:spacing w:after="0" w:line="240" w:lineRule="auto"/>
        <w:jc w:val="both"/>
        <w:rPr>
          <w:rFonts w:ascii="Calibri" w:eastAsia="Times New Roman" w:hAnsi="Calibri" w:cs="Times New Roman"/>
          <w:sz w:val="48"/>
          <w:szCs w:val="48"/>
          <w:u w:val="single"/>
          <w:lang w:eastAsia="pl-PL"/>
        </w:rPr>
      </w:pPr>
      <w:r w:rsidRPr="001705D4">
        <w:rPr>
          <w:rFonts w:ascii="Calibri" w:eastAsia="Times New Roman" w:hAnsi="Calibri" w:cs="Times New Roman"/>
          <w:sz w:val="48"/>
          <w:szCs w:val="48"/>
          <w:u w:val="single"/>
          <w:lang w:eastAsia="pl-PL"/>
        </w:rPr>
        <w:t>Wniosek końcowy z powyższych rozważań brzmi następująco:</w:t>
      </w:r>
    </w:p>
    <w:p w:rsidR="004B14BB" w:rsidRPr="001705D4" w:rsidRDefault="004B14BB" w:rsidP="004B14BB">
      <w:pPr>
        <w:spacing w:after="0" w:line="240" w:lineRule="auto"/>
        <w:jc w:val="both"/>
        <w:rPr>
          <w:rFonts w:ascii="Calibri" w:eastAsia="Times New Roman" w:hAnsi="Calibri" w:cs="Times New Roman"/>
          <w:color w:val="FF0000"/>
          <w:sz w:val="48"/>
          <w:szCs w:val="48"/>
          <w:u w:val="single"/>
          <w:lang w:eastAsia="pl-PL"/>
        </w:rPr>
      </w:pPr>
    </w:p>
    <w:p w:rsidR="004B14BB" w:rsidRPr="001705D4" w:rsidRDefault="004B14BB" w:rsidP="004B14BB">
      <w:pPr>
        <w:spacing w:after="0" w:line="240" w:lineRule="auto"/>
        <w:jc w:val="both"/>
        <w:rPr>
          <w:rFonts w:ascii="Calibri" w:eastAsia="Times New Roman" w:hAnsi="Calibri" w:cs="Times New Roman"/>
          <w:b/>
          <w:color w:val="000000" w:themeColor="text1"/>
          <w:sz w:val="42"/>
          <w:szCs w:val="42"/>
          <w:u w:val="single"/>
          <w:lang w:eastAsia="pl-PL"/>
        </w:rPr>
      </w:pPr>
      <w:r w:rsidRPr="001705D4">
        <w:rPr>
          <w:rFonts w:ascii="Calibri" w:eastAsia="Times New Roman" w:hAnsi="Calibri" w:cs="Times New Roman"/>
          <w:color w:val="000000"/>
          <w:sz w:val="42"/>
          <w:szCs w:val="42"/>
          <w:lang w:eastAsia="pl-PL"/>
        </w:rPr>
        <w:t xml:space="preserve">Średnia procentowa zmiana kursu akcji spółki po wprowadzeniu jej do rubryki </w:t>
      </w:r>
      <w:proofErr w:type="gramStart"/>
      <w:r w:rsidRPr="001705D4">
        <w:rPr>
          <w:rFonts w:ascii="Calibri" w:eastAsia="Times New Roman" w:hAnsi="Calibri" w:cs="Times New Roman"/>
          <w:b/>
          <w:color w:val="FF0000"/>
          <w:sz w:val="42"/>
          <w:szCs w:val="42"/>
          <w:lang w:eastAsia="pl-PL"/>
        </w:rPr>
        <w:t>,,</w:t>
      </w:r>
      <w:proofErr w:type="gramEnd"/>
      <w:r w:rsidRPr="001705D4">
        <w:rPr>
          <w:rFonts w:ascii="Calibri" w:eastAsia="Times New Roman" w:hAnsi="Calibri" w:cs="Times New Roman"/>
          <w:b/>
          <w:color w:val="FF0000"/>
          <w:sz w:val="42"/>
          <w:szCs w:val="42"/>
          <w:lang w:eastAsia="pl-PL"/>
        </w:rPr>
        <w:t>Wykres do przemyślenia”</w:t>
      </w:r>
      <w:r w:rsidRPr="001705D4">
        <w:rPr>
          <w:rFonts w:ascii="Calibri" w:eastAsia="Times New Roman" w:hAnsi="Calibri" w:cs="Times New Roman"/>
          <w:color w:val="000000"/>
          <w:sz w:val="42"/>
          <w:szCs w:val="42"/>
          <w:lang w:eastAsia="pl-PL"/>
        </w:rPr>
        <w:t xml:space="preserve"> w okresie 12 pierwszych miesięcy po jej wprowadzeniu do tej rubryki wynosiła </w:t>
      </w:r>
      <w:r w:rsidRPr="001705D4">
        <w:rPr>
          <w:rFonts w:ascii="Calibri" w:eastAsia="Times New Roman" w:hAnsi="Calibri" w:cs="Times New Roman"/>
          <w:b/>
          <w:color w:val="FF0000"/>
          <w:sz w:val="42"/>
          <w:szCs w:val="42"/>
          <w:lang w:eastAsia="pl-PL"/>
        </w:rPr>
        <w:t>plus 10,6 %.</w:t>
      </w:r>
      <w:r w:rsidRPr="001705D4">
        <w:rPr>
          <w:rFonts w:ascii="Calibri" w:eastAsia="Times New Roman" w:hAnsi="Calibri" w:cs="Times New Roman"/>
          <w:color w:val="FF0000"/>
          <w:sz w:val="42"/>
          <w:szCs w:val="42"/>
          <w:lang w:eastAsia="pl-PL"/>
        </w:rPr>
        <w:t xml:space="preserve"> </w:t>
      </w:r>
      <w:r w:rsidRPr="001705D4">
        <w:rPr>
          <w:rFonts w:ascii="Calibri" w:eastAsia="Times New Roman" w:hAnsi="Calibri" w:cs="Times New Roman"/>
          <w:color w:val="000000" w:themeColor="text1"/>
          <w:sz w:val="42"/>
          <w:szCs w:val="42"/>
          <w:lang w:eastAsia="pl-PL"/>
        </w:rPr>
        <w:t xml:space="preserve">Średnia procentowa zmiana indeksu </w:t>
      </w:r>
      <w:r w:rsidRPr="001705D4">
        <w:rPr>
          <w:rFonts w:ascii="Calibri" w:eastAsia="Times New Roman" w:hAnsi="Calibri" w:cs="Times New Roman"/>
          <w:color w:val="000000" w:themeColor="text1"/>
          <w:sz w:val="42"/>
          <w:szCs w:val="42"/>
          <w:u w:val="single"/>
          <w:lang w:eastAsia="pl-PL"/>
        </w:rPr>
        <w:t xml:space="preserve">WIG20 </w:t>
      </w:r>
      <w:r w:rsidRPr="001705D4">
        <w:rPr>
          <w:rFonts w:ascii="Calibri" w:eastAsia="Times New Roman" w:hAnsi="Calibri" w:cs="Times New Roman"/>
          <w:color w:val="000000" w:themeColor="text1"/>
          <w:sz w:val="42"/>
          <w:szCs w:val="42"/>
          <w:lang w:eastAsia="pl-PL"/>
        </w:rPr>
        <w:t xml:space="preserve">w tym okresie wynosiła </w:t>
      </w:r>
      <w:r w:rsidRPr="001705D4">
        <w:rPr>
          <w:rFonts w:ascii="Calibri" w:eastAsia="Times New Roman" w:hAnsi="Calibri" w:cs="Times New Roman"/>
          <w:b/>
          <w:color w:val="000000" w:themeColor="text1"/>
          <w:sz w:val="42"/>
          <w:szCs w:val="42"/>
          <w:u w:val="single"/>
          <w:lang w:eastAsia="pl-PL"/>
        </w:rPr>
        <w:t xml:space="preserve">minus 17,2 %. </w:t>
      </w:r>
    </w:p>
    <w:p w:rsidR="001705D4" w:rsidRPr="001705D4" w:rsidRDefault="001705D4" w:rsidP="004B14BB">
      <w:pPr>
        <w:spacing w:after="0" w:line="240" w:lineRule="auto"/>
        <w:jc w:val="both"/>
        <w:rPr>
          <w:rFonts w:ascii="Calibri" w:eastAsia="Times New Roman" w:hAnsi="Calibri" w:cs="Times New Roman"/>
          <w:b/>
          <w:color w:val="000000" w:themeColor="text1"/>
          <w:sz w:val="42"/>
          <w:szCs w:val="42"/>
          <w:u w:val="single"/>
          <w:lang w:eastAsia="pl-PL"/>
        </w:rPr>
      </w:pPr>
    </w:p>
    <w:p w:rsidR="004B14BB" w:rsidRDefault="004B14BB" w:rsidP="004B14BB">
      <w:pPr>
        <w:shd w:val="clear" w:color="auto" w:fill="FFFF00"/>
        <w:spacing w:after="0" w:line="240" w:lineRule="auto"/>
        <w:jc w:val="center"/>
        <w:rPr>
          <w:rFonts w:eastAsia="Times New Roman" w:cs="Times New Roman"/>
          <w:b/>
          <w:sz w:val="96"/>
          <w:szCs w:val="96"/>
          <w:lang w:eastAsia="pl-PL"/>
        </w:rPr>
      </w:pPr>
      <w:r>
        <w:rPr>
          <w:rFonts w:eastAsia="Times New Roman" w:cs="Times New Roman"/>
          <w:b/>
          <w:sz w:val="96"/>
          <w:szCs w:val="96"/>
          <w:lang w:eastAsia="pl-PL"/>
        </w:rPr>
        <w:lastRenderedPageBreak/>
        <w:t xml:space="preserve">Spółki dla których nie można jeszcze obliczyć procentowej zmiany kursu akcji po wprowadzeniu jej do rubryki </w:t>
      </w:r>
      <w:proofErr w:type="gramStart"/>
      <w:r>
        <w:rPr>
          <w:rFonts w:eastAsia="Times New Roman" w:cs="Times New Roman"/>
          <w:b/>
          <w:sz w:val="96"/>
          <w:szCs w:val="96"/>
          <w:lang w:eastAsia="pl-PL"/>
        </w:rPr>
        <w:t>,,</w:t>
      </w:r>
      <w:proofErr w:type="gramEnd"/>
      <w:r>
        <w:rPr>
          <w:rFonts w:eastAsia="Times New Roman" w:cs="Times New Roman"/>
          <w:b/>
          <w:sz w:val="96"/>
          <w:szCs w:val="96"/>
          <w:lang w:eastAsia="pl-PL"/>
        </w:rPr>
        <w:t xml:space="preserve">Wykres do przemyślenia” w okresie 12 pierwszych miesięcy po jej wprowadzeniu do tej rubryki </w:t>
      </w:r>
    </w:p>
    <w:p w:rsidR="004B14BB" w:rsidRDefault="004B14BB" w:rsidP="004B14BB">
      <w:pPr>
        <w:spacing w:after="0" w:line="240" w:lineRule="auto"/>
        <w:jc w:val="both"/>
        <w:rPr>
          <w:rFonts w:eastAsia="Times New Roman" w:cs="Times New Roman"/>
          <w:b/>
          <w:sz w:val="26"/>
          <w:szCs w:val="26"/>
          <w:lang w:eastAsia="pl-PL"/>
        </w:rPr>
      </w:pPr>
    </w:p>
    <w:p w:rsidR="004B14BB" w:rsidRDefault="004B14BB" w:rsidP="004B14BB">
      <w:pPr>
        <w:spacing w:after="0" w:line="240" w:lineRule="auto"/>
        <w:jc w:val="both"/>
        <w:rPr>
          <w:rFonts w:eastAsia="Times New Roman" w:cs="Times New Roman"/>
          <w:b/>
          <w:sz w:val="26"/>
          <w:szCs w:val="26"/>
          <w:lang w:eastAsia="pl-PL"/>
        </w:rPr>
      </w:pPr>
    </w:p>
    <w:p w:rsidR="004B14BB" w:rsidRDefault="004B14BB" w:rsidP="004B14BB">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Obliczenia według stanu na 1</w:t>
      </w:r>
      <w:r w:rsidR="00805EE1">
        <w:rPr>
          <w:rFonts w:eastAsia="Times New Roman" w:cs="Times New Roman"/>
          <w:b/>
          <w:sz w:val="32"/>
          <w:szCs w:val="32"/>
          <w:u w:val="single"/>
          <w:lang w:eastAsia="pl-PL"/>
        </w:rPr>
        <w:t>9</w:t>
      </w:r>
      <w:r>
        <w:rPr>
          <w:rFonts w:eastAsia="Times New Roman" w:cs="Times New Roman"/>
          <w:b/>
          <w:sz w:val="32"/>
          <w:szCs w:val="32"/>
          <w:u w:val="single"/>
          <w:lang w:eastAsia="pl-PL"/>
        </w:rPr>
        <w:t xml:space="preserve"> lutego 2016 roku</w:t>
      </w:r>
    </w:p>
    <w:p w:rsidR="004B14BB" w:rsidRPr="001705D4" w:rsidRDefault="004B14BB" w:rsidP="004B14BB">
      <w:pPr>
        <w:spacing w:after="0" w:line="240" w:lineRule="auto"/>
        <w:jc w:val="both"/>
        <w:rPr>
          <w:rFonts w:eastAsia="Times New Roman" w:cs="Times New Roman"/>
          <w:sz w:val="30"/>
          <w:szCs w:val="30"/>
          <w:lang w:eastAsia="pl-PL"/>
        </w:rPr>
      </w:pPr>
      <w:r w:rsidRPr="001705D4">
        <w:rPr>
          <w:rFonts w:eastAsia="Times New Roman" w:cs="Times New Roman"/>
          <w:sz w:val="30"/>
          <w:szCs w:val="30"/>
          <w:lang w:eastAsia="pl-PL"/>
        </w:rPr>
        <w:lastRenderedPageBreak/>
        <w:t xml:space="preserve">Tabela: Procentowa zmiana ceny akcji spółki, której akcje zostały umieszczone 3 marca 2015 roku </w:t>
      </w:r>
      <w:proofErr w:type="gramStart"/>
      <w:r w:rsidRPr="001705D4">
        <w:rPr>
          <w:rFonts w:eastAsia="Times New Roman" w:cs="Times New Roman"/>
          <w:sz w:val="30"/>
          <w:szCs w:val="30"/>
          <w:lang w:eastAsia="pl-PL"/>
        </w:rPr>
        <w:t>na  stronie</w:t>
      </w:r>
      <w:proofErr w:type="gramEnd"/>
      <w:r w:rsidRPr="001705D4">
        <w:rPr>
          <w:rFonts w:eastAsia="Times New Roman" w:cs="Times New Roman"/>
          <w:sz w:val="30"/>
          <w:szCs w:val="30"/>
          <w:lang w:eastAsia="pl-PL"/>
        </w:rPr>
        <w:t xml:space="preserve"> internetowej </w:t>
      </w:r>
      <w:hyperlink r:id="rId23" w:history="1">
        <w:r w:rsidRPr="001705D4">
          <w:rPr>
            <w:rStyle w:val="Hipercze"/>
            <w:rFonts w:eastAsia="Times New Roman" w:cs="Times New Roman"/>
            <w:sz w:val="30"/>
            <w:szCs w:val="30"/>
            <w:lang w:eastAsia="pl-PL"/>
          </w:rPr>
          <w:t>www.analizy-rynkowe.pl</w:t>
        </w:r>
      </w:hyperlink>
      <w:r w:rsidRPr="001705D4">
        <w:rPr>
          <w:rFonts w:eastAsia="Times New Roman" w:cs="Times New Roman"/>
          <w:sz w:val="30"/>
          <w:szCs w:val="30"/>
          <w:lang w:eastAsia="pl-PL"/>
        </w:rPr>
        <w:t xml:space="preserve"> w </w:t>
      </w:r>
      <w:proofErr w:type="gramStart"/>
      <w:r w:rsidRPr="001705D4">
        <w:rPr>
          <w:rFonts w:eastAsia="Times New Roman" w:cs="Times New Roman"/>
          <w:sz w:val="30"/>
          <w:szCs w:val="30"/>
          <w:lang w:eastAsia="pl-PL"/>
        </w:rPr>
        <w:t>rubryce  ,,Wykres</w:t>
      </w:r>
      <w:proofErr w:type="gramEnd"/>
      <w:r w:rsidRPr="001705D4">
        <w:rPr>
          <w:rFonts w:eastAsia="Times New Roman" w:cs="Times New Roman"/>
          <w:sz w:val="30"/>
          <w:szCs w:val="30"/>
          <w:lang w:eastAsia="pl-PL"/>
        </w:rPr>
        <w:t xml:space="preserve"> do przemyślenia” w okresie od 2 marca 2015 roku do 1</w:t>
      </w:r>
      <w:r w:rsidR="00CE58E2" w:rsidRPr="001705D4">
        <w:rPr>
          <w:rFonts w:eastAsia="Times New Roman" w:cs="Times New Roman"/>
          <w:sz w:val="30"/>
          <w:szCs w:val="30"/>
          <w:lang w:eastAsia="pl-PL"/>
        </w:rPr>
        <w:t>9</w:t>
      </w:r>
      <w:r w:rsidRPr="001705D4">
        <w:rPr>
          <w:rFonts w:eastAsia="Times New Roman" w:cs="Times New Roman"/>
          <w:sz w:val="30"/>
          <w:szCs w:val="30"/>
          <w:lang w:eastAsia="pl-PL"/>
        </w:rPr>
        <w:t xml:space="preserve"> lutego 2016 roku  oraz procentowa zmiana indeksu WIG 20 w tym okresie. </w:t>
      </w:r>
    </w:p>
    <w:p w:rsidR="004B14BB" w:rsidRDefault="004B14BB" w:rsidP="004B14BB">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02.03.2015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Mostostal Warszawa</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7,57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12,</w:t>
            </w:r>
            <w:r w:rsidR="009D3AD3">
              <w:rPr>
                <w:rFonts w:eastAsiaTheme="minorEastAsia"/>
                <w:lang w:eastAsia="pl-PL"/>
              </w:rPr>
              <w:t>4</w:t>
            </w:r>
            <w:r>
              <w:rPr>
                <w:rFonts w:eastAsiaTheme="minorEastAsia"/>
                <w:lang w:eastAsia="pl-PL"/>
              </w:rPr>
              <w:t>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w:t>
            </w:r>
            <w:r w:rsidR="009D3AD3">
              <w:rPr>
                <w:rFonts w:eastAsiaTheme="minorEastAsia"/>
                <w:lang w:eastAsia="pl-PL"/>
              </w:rPr>
              <w:t>63</w:t>
            </w:r>
            <w:r>
              <w:rPr>
                <w:rFonts w:eastAsiaTheme="minorEastAsia"/>
                <w:lang w:eastAsia="pl-PL"/>
              </w:rPr>
              <w:t>,</w:t>
            </w:r>
            <w:r w:rsidR="009D3AD3">
              <w:rPr>
                <w:rFonts w:eastAsiaTheme="minorEastAsia"/>
                <w:lang w:eastAsia="pl-PL"/>
              </w:rPr>
              <w:t>8</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w:t>
            </w:r>
            <w:r w:rsidR="009D3AD3">
              <w:rPr>
                <w:rFonts w:eastAsiaTheme="minorEastAsia"/>
                <w:b/>
                <w:color w:val="FF0000"/>
                <w:lang w:eastAsia="pl-PL"/>
              </w:rPr>
              <w:t>63</w:t>
            </w:r>
            <w:r>
              <w:rPr>
                <w:rFonts w:eastAsiaTheme="minorEastAsia"/>
                <w:b/>
                <w:color w:val="FF0000"/>
                <w:lang w:eastAsia="pl-PL"/>
              </w:rPr>
              <w:t>,</w:t>
            </w:r>
            <w:r w:rsidR="009D3AD3">
              <w:rPr>
                <w:rFonts w:eastAsiaTheme="minorEastAsia"/>
                <w:b/>
                <w:color w:val="FF0000"/>
                <w:lang w:eastAsia="pl-PL"/>
              </w:rPr>
              <w:t>8</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2 358,25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-2</w:t>
            </w:r>
            <w:r w:rsidR="009D3AD3">
              <w:rPr>
                <w:rFonts w:eastAsiaTheme="minorEastAsia"/>
                <w:lang w:eastAsia="pl-PL"/>
              </w:rPr>
              <w:t>1</w:t>
            </w:r>
            <w:r>
              <w:rPr>
                <w:rFonts w:eastAsiaTheme="minorEastAsia"/>
                <w:lang w:eastAsia="pl-PL"/>
              </w:rPr>
              <w:t>,</w:t>
            </w:r>
            <w:r w:rsidR="009D3AD3">
              <w:rPr>
                <w:rFonts w:eastAsiaTheme="minorEastAsia"/>
                <w:lang w:eastAsia="pl-PL"/>
              </w:rPr>
              <w:t>9</w:t>
            </w:r>
            <w:r>
              <w:rPr>
                <w:rFonts w:eastAsiaTheme="minorEastAsia"/>
                <w:lang w:eastAsia="pl-PL"/>
              </w:rPr>
              <w:t xml:space="preserve"> %</w:t>
            </w:r>
          </w:p>
        </w:tc>
      </w:tr>
    </w:tbl>
    <w:p w:rsidR="004B14BB" w:rsidRDefault="004B14BB" w:rsidP="004B14BB">
      <w:pPr>
        <w:spacing w:after="0" w:line="240" w:lineRule="auto"/>
        <w:jc w:val="both"/>
        <w:rPr>
          <w:rFonts w:eastAsiaTheme="minorEastAsia" w:cs="Times New Roman"/>
          <w:b/>
          <w:lang w:eastAsia="pl-PL"/>
        </w:rPr>
      </w:pPr>
    </w:p>
    <w:p w:rsidR="004B14BB" w:rsidRPr="001705D4" w:rsidRDefault="004B14BB" w:rsidP="004B14BB">
      <w:pPr>
        <w:spacing w:after="0" w:line="240" w:lineRule="auto"/>
        <w:jc w:val="both"/>
        <w:rPr>
          <w:rFonts w:eastAsia="Times New Roman" w:cs="Times New Roman"/>
          <w:sz w:val="30"/>
          <w:szCs w:val="30"/>
          <w:lang w:eastAsia="pl-PL"/>
        </w:rPr>
      </w:pPr>
      <w:r w:rsidRPr="001705D4">
        <w:rPr>
          <w:rFonts w:eastAsia="Times New Roman" w:cs="Times New Roman"/>
          <w:sz w:val="30"/>
          <w:szCs w:val="30"/>
          <w:lang w:eastAsia="pl-PL"/>
        </w:rPr>
        <w:t xml:space="preserve">Tabela: Procentowa zmiana ceny akcji spółki, której akcje zostały umieszczone 9 kwietnia 2015 roku </w:t>
      </w:r>
      <w:proofErr w:type="gramStart"/>
      <w:r w:rsidRPr="001705D4">
        <w:rPr>
          <w:rFonts w:eastAsia="Times New Roman" w:cs="Times New Roman"/>
          <w:sz w:val="30"/>
          <w:szCs w:val="30"/>
          <w:lang w:eastAsia="pl-PL"/>
        </w:rPr>
        <w:t>na  stronie</w:t>
      </w:r>
      <w:proofErr w:type="gramEnd"/>
      <w:r w:rsidRPr="001705D4">
        <w:rPr>
          <w:rFonts w:eastAsia="Times New Roman" w:cs="Times New Roman"/>
          <w:sz w:val="30"/>
          <w:szCs w:val="30"/>
          <w:lang w:eastAsia="pl-PL"/>
        </w:rPr>
        <w:t xml:space="preserve"> internetowej </w:t>
      </w:r>
      <w:hyperlink r:id="rId24" w:history="1">
        <w:r w:rsidRPr="001705D4">
          <w:rPr>
            <w:rStyle w:val="Hipercze"/>
            <w:rFonts w:eastAsia="Times New Roman" w:cs="Times New Roman"/>
            <w:sz w:val="30"/>
            <w:szCs w:val="30"/>
            <w:lang w:eastAsia="pl-PL"/>
          </w:rPr>
          <w:t>www.analizy-rynkowe.pl</w:t>
        </w:r>
      </w:hyperlink>
      <w:r w:rsidRPr="001705D4">
        <w:rPr>
          <w:rFonts w:eastAsia="Times New Roman" w:cs="Times New Roman"/>
          <w:sz w:val="30"/>
          <w:szCs w:val="30"/>
          <w:lang w:eastAsia="pl-PL"/>
        </w:rPr>
        <w:t xml:space="preserve"> w </w:t>
      </w:r>
      <w:proofErr w:type="gramStart"/>
      <w:r w:rsidRPr="001705D4">
        <w:rPr>
          <w:rFonts w:eastAsia="Times New Roman" w:cs="Times New Roman"/>
          <w:sz w:val="30"/>
          <w:szCs w:val="30"/>
          <w:lang w:eastAsia="pl-PL"/>
        </w:rPr>
        <w:t>rubryce  ,,Wykres</w:t>
      </w:r>
      <w:proofErr w:type="gramEnd"/>
      <w:r w:rsidRPr="001705D4">
        <w:rPr>
          <w:rFonts w:eastAsia="Times New Roman" w:cs="Times New Roman"/>
          <w:sz w:val="30"/>
          <w:szCs w:val="30"/>
          <w:lang w:eastAsia="pl-PL"/>
        </w:rPr>
        <w:t xml:space="preserve"> do przemyślenia” w okresie od 8 kwietnia 2015 roku do 1</w:t>
      </w:r>
      <w:r w:rsidR="00CE58E2" w:rsidRPr="001705D4">
        <w:rPr>
          <w:rFonts w:eastAsia="Times New Roman" w:cs="Times New Roman"/>
          <w:sz w:val="30"/>
          <w:szCs w:val="30"/>
          <w:lang w:eastAsia="pl-PL"/>
        </w:rPr>
        <w:t>9</w:t>
      </w:r>
      <w:r w:rsidRPr="001705D4">
        <w:rPr>
          <w:rFonts w:eastAsia="Times New Roman" w:cs="Times New Roman"/>
          <w:sz w:val="30"/>
          <w:szCs w:val="30"/>
          <w:lang w:eastAsia="pl-PL"/>
        </w:rPr>
        <w:t xml:space="preserve"> lutego 2016 roku  oraz procentowa zmiana indeksu WIG 20 w tym okresie. </w:t>
      </w:r>
    </w:p>
    <w:p w:rsidR="004B14BB" w:rsidRDefault="004B14BB" w:rsidP="004B14BB">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08.04.2015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Ceramika Nowa Gala</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1,25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1,20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-4,0 %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-4,0%</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-2</w:t>
            </w:r>
            <w:r w:rsidR="009D3AD3">
              <w:rPr>
                <w:rFonts w:eastAsiaTheme="minorEastAsia"/>
                <w:lang w:eastAsia="pl-PL"/>
              </w:rPr>
              <w:t>4</w:t>
            </w:r>
            <w:r>
              <w:rPr>
                <w:rFonts w:eastAsiaTheme="minorEastAsia"/>
                <w:lang w:eastAsia="pl-PL"/>
              </w:rPr>
              <w:t>,</w:t>
            </w:r>
            <w:r w:rsidR="009D3AD3">
              <w:rPr>
                <w:rFonts w:eastAsiaTheme="minorEastAsia"/>
                <w:lang w:eastAsia="pl-PL"/>
              </w:rPr>
              <w:t>1</w:t>
            </w:r>
            <w:r>
              <w:rPr>
                <w:rFonts w:eastAsiaTheme="minorEastAsia"/>
                <w:lang w:eastAsia="pl-PL"/>
              </w:rPr>
              <w:t xml:space="preserve"> %</w:t>
            </w:r>
          </w:p>
        </w:tc>
      </w:tr>
    </w:tbl>
    <w:p w:rsidR="004B14BB" w:rsidRDefault="004B14BB" w:rsidP="004B14BB">
      <w:pPr>
        <w:spacing w:after="0" w:line="240" w:lineRule="auto"/>
        <w:jc w:val="both"/>
        <w:rPr>
          <w:rFonts w:eastAsiaTheme="minorEastAsia" w:cs="Times New Roman"/>
          <w:sz w:val="34"/>
          <w:szCs w:val="34"/>
          <w:lang w:eastAsia="pl-PL"/>
        </w:rPr>
      </w:pPr>
    </w:p>
    <w:p w:rsidR="004B14BB" w:rsidRPr="001705D4" w:rsidRDefault="004B14BB" w:rsidP="004B14BB">
      <w:pPr>
        <w:spacing w:after="0" w:line="240" w:lineRule="auto"/>
        <w:jc w:val="both"/>
        <w:rPr>
          <w:rFonts w:eastAsia="Times New Roman" w:cs="Times New Roman"/>
          <w:sz w:val="30"/>
          <w:szCs w:val="30"/>
          <w:lang w:eastAsia="pl-PL"/>
        </w:rPr>
      </w:pPr>
      <w:r w:rsidRPr="001705D4">
        <w:rPr>
          <w:rFonts w:eastAsia="Times New Roman" w:cs="Times New Roman"/>
          <w:sz w:val="30"/>
          <w:szCs w:val="30"/>
          <w:lang w:eastAsia="pl-PL"/>
        </w:rPr>
        <w:t xml:space="preserve">Tabela: Procentowa zmiana ceny akcji spółki, której akcje zostały umieszczone 5 maja 2015 roku </w:t>
      </w:r>
      <w:proofErr w:type="gramStart"/>
      <w:r w:rsidRPr="001705D4">
        <w:rPr>
          <w:rFonts w:eastAsia="Times New Roman" w:cs="Times New Roman"/>
          <w:sz w:val="30"/>
          <w:szCs w:val="30"/>
          <w:lang w:eastAsia="pl-PL"/>
        </w:rPr>
        <w:t>na  stronie</w:t>
      </w:r>
      <w:proofErr w:type="gramEnd"/>
      <w:r w:rsidRPr="001705D4">
        <w:rPr>
          <w:rFonts w:eastAsia="Times New Roman" w:cs="Times New Roman"/>
          <w:sz w:val="30"/>
          <w:szCs w:val="30"/>
          <w:lang w:eastAsia="pl-PL"/>
        </w:rPr>
        <w:t xml:space="preserve"> internetowej </w:t>
      </w:r>
      <w:hyperlink r:id="rId25" w:history="1">
        <w:r w:rsidRPr="001705D4">
          <w:rPr>
            <w:rStyle w:val="Hipercze"/>
            <w:rFonts w:eastAsia="Times New Roman" w:cs="Times New Roman"/>
            <w:sz w:val="30"/>
            <w:szCs w:val="30"/>
            <w:lang w:eastAsia="pl-PL"/>
          </w:rPr>
          <w:t>www.analizy-rynkowe.pl</w:t>
        </w:r>
      </w:hyperlink>
      <w:r w:rsidRPr="001705D4">
        <w:rPr>
          <w:rFonts w:eastAsia="Times New Roman" w:cs="Times New Roman"/>
          <w:sz w:val="30"/>
          <w:szCs w:val="30"/>
          <w:lang w:eastAsia="pl-PL"/>
        </w:rPr>
        <w:t xml:space="preserve"> w </w:t>
      </w:r>
      <w:proofErr w:type="gramStart"/>
      <w:r w:rsidRPr="001705D4">
        <w:rPr>
          <w:rFonts w:eastAsia="Times New Roman" w:cs="Times New Roman"/>
          <w:sz w:val="30"/>
          <w:szCs w:val="30"/>
          <w:lang w:eastAsia="pl-PL"/>
        </w:rPr>
        <w:t>rubryce  ,,Wykres</w:t>
      </w:r>
      <w:proofErr w:type="gramEnd"/>
      <w:r w:rsidRPr="001705D4">
        <w:rPr>
          <w:rFonts w:eastAsia="Times New Roman" w:cs="Times New Roman"/>
          <w:sz w:val="30"/>
          <w:szCs w:val="30"/>
          <w:lang w:eastAsia="pl-PL"/>
        </w:rPr>
        <w:t xml:space="preserve"> do przemyślenia” w okresie od 4 maja 2015 roku do 1</w:t>
      </w:r>
      <w:r w:rsidR="00CE58E2" w:rsidRPr="001705D4">
        <w:rPr>
          <w:rFonts w:eastAsia="Times New Roman" w:cs="Times New Roman"/>
          <w:sz w:val="30"/>
          <w:szCs w:val="30"/>
          <w:lang w:eastAsia="pl-PL"/>
        </w:rPr>
        <w:t>9</w:t>
      </w:r>
      <w:r w:rsidRPr="001705D4">
        <w:rPr>
          <w:rFonts w:eastAsia="Times New Roman" w:cs="Times New Roman"/>
          <w:sz w:val="30"/>
          <w:szCs w:val="30"/>
          <w:lang w:eastAsia="pl-PL"/>
        </w:rPr>
        <w:t xml:space="preserve"> lutego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04.05.2015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Polnord</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11,10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11,</w:t>
            </w:r>
            <w:r w:rsidR="009D3AD3">
              <w:rPr>
                <w:rFonts w:eastAsiaTheme="minorEastAsia"/>
                <w:lang w:eastAsia="pl-PL"/>
              </w:rPr>
              <w:t>2</w:t>
            </w:r>
            <w:r>
              <w:rPr>
                <w:rFonts w:eastAsiaTheme="minorEastAsia"/>
                <w:lang w:eastAsia="pl-PL"/>
              </w:rPr>
              <w:t>5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1</w:t>
            </w:r>
            <w:r>
              <w:rPr>
                <w:rFonts w:eastAsiaTheme="minorEastAsia"/>
                <w:lang w:eastAsia="pl-PL"/>
              </w:rPr>
              <w:t>,</w:t>
            </w:r>
            <w:r w:rsidR="009D3AD3">
              <w:rPr>
                <w:rFonts w:eastAsiaTheme="minorEastAsia"/>
                <w:lang w:eastAsia="pl-PL"/>
              </w:rPr>
              <w:t>4</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 xml:space="preserve">  +</w:t>
            </w:r>
            <w:r w:rsidR="009D3AD3">
              <w:rPr>
                <w:rFonts w:eastAsiaTheme="minorEastAsia"/>
                <w:b/>
                <w:color w:val="FF0000"/>
                <w:lang w:eastAsia="pl-PL"/>
              </w:rPr>
              <w:t>1</w:t>
            </w:r>
            <w:r>
              <w:rPr>
                <w:rFonts w:eastAsiaTheme="minorEastAsia"/>
                <w:b/>
                <w:color w:val="FF0000"/>
                <w:lang w:eastAsia="pl-PL"/>
              </w:rPr>
              <w:t>,</w:t>
            </w:r>
            <w:r w:rsidR="009D3AD3">
              <w:rPr>
                <w:rFonts w:eastAsiaTheme="minorEastAsia"/>
                <w:b/>
                <w:color w:val="FF0000"/>
                <w:lang w:eastAsia="pl-PL"/>
              </w:rPr>
              <w:t>4</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2 523,09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w:t>
            </w:r>
            <w:r w:rsidR="009D3AD3">
              <w:rPr>
                <w:rFonts w:eastAsiaTheme="minorEastAsia"/>
                <w:lang w:eastAsia="pl-PL"/>
              </w:rPr>
              <w:t>27</w:t>
            </w:r>
            <w:r>
              <w:rPr>
                <w:rFonts w:eastAsiaTheme="minorEastAsia"/>
                <w:lang w:eastAsia="pl-PL"/>
              </w:rPr>
              <w:t>,0 %</w:t>
            </w:r>
          </w:p>
        </w:tc>
      </w:tr>
    </w:tbl>
    <w:p w:rsidR="004B14BB" w:rsidRPr="001705D4" w:rsidRDefault="004B14BB" w:rsidP="004B14BB">
      <w:pPr>
        <w:spacing w:after="0" w:line="240" w:lineRule="auto"/>
        <w:jc w:val="both"/>
        <w:rPr>
          <w:rFonts w:eastAsia="Times New Roman" w:cs="Times New Roman"/>
          <w:sz w:val="32"/>
          <w:szCs w:val="32"/>
          <w:lang w:eastAsia="pl-PL"/>
        </w:rPr>
      </w:pPr>
      <w:r w:rsidRPr="001705D4">
        <w:rPr>
          <w:rFonts w:eastAsia="Times New Roman" w:cs="Times New Roman"/>
          <w:sz w:val="32"/>
          <w:szCs w:val="32"/>
          <w:lang w:eastAsia="pl-PL"/>
        </w:rPr>
        <w:lastRenderedPageBreak/>
        <w:t xml:space="preserve">Tabela: Procentowa zmiana cen akcji trzech spółek, których akcje zostały umieszczone w dniu 1 lipca na stronie internetowej </w:t>
      </w:r>
      <w:hyperlink r:id="rId26" w:history="1">
        <w:r w:rsidRPr="001705D4">
          <w:rPr>
            <w:rStyle w:val="Hipercze"/>
            <w:rFonts w:eastAsia="Times New Roman" w:cs="Times New Roman"/>
            <w:sz w:val="32"/>
            <w:szCs w:val="32"/>
            <w:lang w:eastAsia="pl-PL"/>
          </w:rPr>
          <w:t>http://analizy-rynkowe.pl/</w:t>
        </w:r>
      </w:hyperlink>
      <w:r w:rsidRPr="001705D4">
        <w:rPr>
          <w:rFonts w:eastAsia="Times New Roman" w:cs="Times New Roman"/>
          <w:sz w:val="32"/>
          <w:szCs w:val="32"/>
          <w:lang w:eastAsia="pl-PL"/>
        </w:rPr>
        <w:t xml:space="preserve"> w rubryce ,,Wykres do przemyślenia” w okresie od 30 czerwca 2015 roku do 1</w:t>
      </w:r>
      <w:r w:rsidR="00CE58E2" w:rsidRPr="001705D4">
        <w:rPr>
          <w:rFonts w:eastAsia="Times New Roman" w:cs="Times New Roman"/>
          <w:sz w:val="32"/>
          <w:szCs w:val="32"/>
          <w:lang w:eastAsia="pl-PL"/>
        </w:rPr>
        <w:t>9</w:t>
      </w:r>
      <w:r w:rsidRPr="001705D4">
        <w:rPr>
          <w:rFonts w:eastAsia="Times New Roman" w:cs="Times New Roman"/>
          <w:sz w:val="32"/>
          <w:szCs w:val="32"/>
          <w:lang w:eastAsia="pl-PL"/>
        </w:rPr>
        <w:t xml:space="preserve"> lutego 2016 </w:t>
      </w:r>
      <w:proofErr w:type="gramStart"/>
      <w:r w:rsidRPr="001705D4">
        <w:rPr>
          <w:rFonts w:eastAsia="Times New Roman" w:cs="Times New Roman"/>
          <w:sz w:val="32"/>
          <w:szCs w:val="32"/>
          <w:lang w:eastAsia="pl-PL"/>
        </w:rPr>
        <w:t>roku  oraz</w:t>
      </w:r>
      <w:proofErr w:type="gramEnd"/>
      <w:r w:rsidRPr="001705D4">
        <w:rPr>
          <w:rFonts w:eastAsia="Times New Roman" w:cs="Times New Roman"/>
          <w:sz w:val="32"/>
          <w:szCs w:val="32"/>
          <w:lang w:eastAsia="pl-PL"/>
        </w:rPr>
        <w:t xml:space="preserve">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30.06.2015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TIM</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9,49 zł.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9D3AD3" w:rsidP="009D3AD3">
            <w:pPr>
              <w:jc w:val="center"/>
              <w:rPr>
                <w:rFonts w:eastAsiaTheme="minorEastAsia"/>
                <w:lang w:eastAsia="pl-PL"/>
              </w:rPr>
            </w:pPr>
            <w:r>
              <w:rPr>
                <w:rFonts w:eastAsiaTheme="minorEastAsia"/>
                <w:lang w:eastAsia="pl-PL"/>
              </w:rPr>
              <w:t>8</w:t>
            </w:r>
            <w:r w:rsidR="004B14BB">
              <w:rPr>
                <w:rFonts w:eastAsiaTheme="minorEastAsia"/>
                <w:lang w:eastAsia="pl-PL"/>
              </w:rPr>
              <w:t>,</w:t>
            </w:r>
            <w:r>
              <w:rPr>
                <w:rFonts w:eastAsiaTheme="minorEastAsia"/>
                <w:lang w:eastAsia="pl-PL"/>
              </w:rPr>
              <w:t>85</w:t>
            </w:r>
            <w:r w:rsidR="004B14BB">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w:t>
            </w:r>
            <w:r w:rsidR="009D3AD3">
              <w:rPr>
                <w:rFonts w:eastAsiaTheme="minorEastAsia"/>
                <w:lang w:eastAsia="pl-PL"/>
              </w:rPr>
              <w:t>6</w:t>
            </w:r>
            <w:r>
              <w:rPr>
                <w:rFonts w:eastAsiaTheme="minorEastAsia"/>
                <w:lang w:eastAsia="pl-PL"/>
              </w:rPr>
              <w:t>,</w:t>
            </w:r>
            <w:r w:rsidR="009D3AD3">
              <w:rPr>
                <w:rFonts w:eastAsiaTheme="minorEastAsia"/>
                <w:lang w:eastAsia="pl-PL"/>
              </w:rPr>
              <w:t>7</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Unima</w:t>
            </w:r>
            <w:proofErr w:type="spellEnd"/>
            <w:proofErr w:type="gramEnd"/>
            <w:r>
              <w:rPr>
                <w:rFonts w:eastAsiaTheme="minorEastAsia"/>
                <w:lang w:eastAsia="pl-PL"/>
              </w:rPr>
              <w:t xml:space="preserve"> 2000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2,58 zł.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2,</w:t>
            </w:r>
            <w:r w:rsidR="009D3AD3">
              <w:rPr>
                <w:rFonts w:eastAsiaTheme="minorEastAsia"/>
                <w:lang w:eastAsia="pl-PL"/>
              </w:rPr>
              <w:t>30</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w:t>
            </w:r>
            <w:r w:rsidR="009D3AD3">
              <w:rPr>
                <w:rFonts w:eastAsiaTheme="minorEastAsia"/>
                <w:lang w:eastAsia="pl-PL"/>
              </w:rPr>
              <w:t>0</w:t>
            </w:r>
            <w:r>
              <w:rPr>
                <w:rFonts w:eastAsiaTheme="minorEastAsia"/>
                <w:lang w:eastAsia="pl-PL"/>
              </w:rPr>
              <w:t>,</w:t>
            </w:r>
            <w:r w:rsidR="009D3AD3">
              <w:rPr>
                <w:rFonts w:eastAsiaTheme="minorEastAsia"/>
                <w:lang w:eastAsia="pl-PL"/>
              </w:rPr>
              <w:t>9</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Variant</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1,77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1,68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-5,1  %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-7,6  %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2317,84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-2</w:t>
            </w:r>
            <w:r w:rsidR="009D3AD3">
              <w:rPr>
                <w:rFonts w:eastAsiaTheme="minorEastAsia"/>
                <w:lang w:eastAsia="pl-PL"/>
              </w:rPr>
              <w:t>0</w:t>
            </w:r>
            <w:r>
              <w:rPr>
                <w:rFonts w:eastAsiaTheme="minorEastAsia"/>
                <w:lang w:eastAsia="pl-PL"/>
              </w:rPr>
              <w:t>,</w:t>
            </w:r>
            <w:r w:rsidR="009D3AD3">
              <w:rPr>
                <w:rFonts w:eastAsiaTheme="minorEastAsia"/>
                <w:lang w:eastAsia="pl-PL"/>
              </w:rPr>
              <w:t>6</w:t>
            </w:r>
            <w:r>
              <w:rPr>
                <w:rFonts w:eastAsiaTheme="minorEastAsia"/>
                <w:lang w:eastAsia="pl-PL"/>
              </w:rPr>
              <w:t xml:space="preserve"> %</w:t>
            </w:r>
          </w:p>
        </w:tc>
      </w:tr>
    </w:tbl>
    <w:p w:rsidR="004B14BB" w:rsidRPr="001705D4" w:rsidRDefault="004B14BB" w:rsidP="004B14BB">
      <w:pPr>
        <w:spacing w:after="0" w:line="240" w:lineRule="auto"/>
        <w:jc w:val="both"/>
        <w:rPr>
          <w:rFonts w:eastAsia="Times New Roman" w:cs="Times New Roman"/>
          <w:sz w:val="28"/>
          <w:szCs w:val="28"/>
          <w:lang w:eastAsia="pl-PL"/>
        </w:rPr>
      </w:pPr>
      <w:r w:rsidRPr="001705D4">
        <w:rPr>
          <w:rFonts w:eastAsia="Times New Roman" w:cs="Times New Roman"/>
          <w:sz w:val="28"/>
          <w:szCs w:val="28"/>
          <w:lang w:eastAsia="pl-PL"/>
        </w:rPr>
        <w:t xml:space="preserve">Tabela: Procentowa zmiana ceny akcji spółki, której akcje zostały umieszczone 21 lipca 2015 roku </w:t>
      </w:r>
      <w:proofErr w:type="gramStart"/>
      <w:r w:rsidRPr="001705D4">
        <w:rPr>
          <w:rFonts w:eastAsia="Times New Roman" w:cs="Times New Roman"/>
          <w:sz w:val="28"/>
          <w:szCs w:val="28"/>
          <w:lang w:eastAsia="pl-PL"/>
        </w:rPr>
        <w:t>na  stronie</w:t>
      </w:r>
      <w:proofErr w:type="gramEnd"/>
      <w:r w:rsidRPr="001705D4">
        <w:rPr>
          <w:rFonts w:eastAsia="Times New Roman" w:cs="Times New Roman"/>
          <w:sz w:val="28"/>
          <w:szCs w:val="28"/>
          <w:lang w:eastAsia="pl-PL"/>
        </w:rPr>
        <w:t xml:space="preserve"> internetowej </w:t>
      </w:r>
      <w:hyperlink r:id="rId27" w:history="1">
        <w:r w:rsidRPr="001705D4">
          <w:rPr>
            <w:rStyle w:val="Hipercze"/>
            <w:rFonts w:eastAsia="Times New Roman" w:cs="Times New Roman"/>
            <w:sz w:val="28"/>
            <w:szCs w:val="28"/>
            <w:lang w:eastAsia="pl-PL"/>
          </w:rPr>
          <w:t>www.analizy-rynkowe.pl</w:t>
        </w:r>
      </w:hyperlink>
      <w:r w:rsidRPr="001705D4">
        <w:rPr>
          <w:rFonts w:eastAsia="Times New Roman" w:cs="Times New Roman"/>
          <w:sz w:val="28"/>
          <w:szCs w:val="28"/>
          <w:lang w:eastAsia="pl-PL"/>
        </w:rPr>
        <w:t xml:space="preserve"> w </w:t>
      </w:r>
      <w:proofErr w:type="gramStart"/>
      <w:r w:rsidRPr="001705D4">
        <w:rPr>
          <w:rFonts w:eastAsia="Times New Roman" w:cs="Times New Roman"/>
          <w:sz w:val="28"/>
          <w:szCs w:val="28"/>
          <w:lang w:eastAsia="pl-PL"/>
        </w:rPr>
        <w:t>rubryce  ,,Wykres</w:t>
      </w:r>
      <w:proofErr w:type="gramEnd"/>
      <w:r w:rsidRPr="001705D4">
        <w:rPr>
          <w:rFonts w:eastAsia="Times New Roman" w:cs="Times New Roman"/>
          <w:sz w:val="28"/>
          <w:szCs w:val="28"/>
          <w:lang w:eastAsia="pl-PL"/>
        </w:rPr>
        <w:t xml:space="preserve"> do przemyślenia” w okresie od 21 lipca 2015 roku do 1</w:t>
      </w:r>
      <w:r w:rsidR="00CE58E2" w:rsidRPr="001705D4">
        <w:rPr>
          <w:rFonts w:eastAsia="Times New Roman" w:cs="Times New Roman"/>
          <w:sz w:val="28"/>
          <w:szCs w:val="28"/>
          <w:lang w:eastAsia="pl-PL"/>
        </w:rPr>
        <w:t>9</w:t>
      </w:r>
      <w:r w:rsidRPr="001705D4">
        <w:rPr>
          <w:rFonts w:eastAsia="Times New Roman" w:cs="Times New Roman"/>
          <w:sz w:val="28"/>
          <w:szCs w:val="28"/>
          <w:lang w:eastAsia="pl-PL"/>
        </w:rPr>
        <w:t xml:space="preserve"> lutego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21.07.2015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Ropczyce </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20,80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20,</w:t>
            </w:r>
            <w:r w:rsidR="009D3AD3">
              <w:rPr>
                <w:rFonts w:eastAsiaTheme="minorEastAsia"/>
                <w:lang w:eastAsia="pl-PL"/>
              </w:rPr>
              <w:t>0</w:t>
            </w:r>
            <w:r>
              <w:rPr>
                <w:rFonts w:eastAsiaTheme="minorEastAsia"/>
                <w:lang w:eastAsia="pl-PL"/>
              </w:rPr>
              <w:t>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w:t>
            </w:r>
            <w:r w:rsidR="009D3AD3">
              <w:rPr>
                <w:rFonts w:eastAsiaTheme="minorEastAsia"/>
                <w:lang w:eastAsia="pl-PL"/>
              </w:rPr>
              <w:t>3</w:t>
            </w:r>
            <w:r>
              <w:rPr>
                <w:rFonts w:eastAsiaTheme="minorEastAsia"/>
                <w:lang w:eastAsia="pl-PL"/>
              </w:rPr>
              <w:t>,</w:t>
            </w:r>
            <w:r w:rsidR="009D3AD3">
              <w:rPr>
                <w:rFonts w:eastAsiaTheme="minorEastAsia"/>
                <w:lang w:eastAsia="pl-PL"/>
              </w:rPr>
              <w:t>8</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w:t>
            </w:r>
            <w:r w:rsidR="009D3AD3">
              <w:rPr>
                <w:rFonts w:eastAsiaTheme="minorEastAsia"/>
                <w:b/>
                <w:color w:val="FF0000"/>
                <w:lang w:eastAsia="pl-PL"/>
              </w:rPr>
              <w:t>3</w:t>
            </w:r>
            <w:r>
              <w:rPr>
                <w:rFonts w:eastAsiaTheme="minorEastAsia"/>
                <w:b/>
                <w:color w:val="FF0000"/>
                <w:lang w:eastAsia="pl-PL"/>
              </w:rPr>
              <w:t>,</w:t>
            </w:r>
            <w:r w:rsidR="009D3AD3">
              <w:rPr>
                <w:rFonts w:eastAsiaTheme="minorEastAsia"/>
                <w:b/>
                <w:color w:val="FF0000"/>
                <w:lang w:eastAsia="pl-PL"/>
              </w:rPr>
              <w:t>8</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2 444,63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w:t>
            </w:r>
            <w:r w:rsidR="009D3AD3">
              <w:rPr>
                <w:rFonts w:eastAsiaTheme="minorEastAsia"/>
                <w:lang w:eastAsia="pl-PL"/>
              </w:rPr>
              <w:t>8</w:t>
            </w:r>
            <w:r>
              <w:rPr>
                <w:rFonts w:eastAsiaTheme="minorEastAsia"/>
                <w:lang w:eastAsia="pl-PL"/>
              </w:rPr>
              <w:t>,</w:t>
            </w:r>
            <w:r w:rsidR="009D3AD3">
              <w:rPr>
                <w:rFonts w:eastAsiaTheme="minorEastAsia"/>
                <w:lang w:eastAsia="pl-PL"/>
              </w:rPr>
              <w:t>0</w:t>
            </w:r>
            <w:r>
              <w:rPr>
                <w:rFonts w:eastAsiaTheme="minorEastAsia"/>
                <w:lang w:eastAsia="pl-PL"/>
              </w:rPr>
              <w:t xml:space="preserve">  %</w:t>
            </w:r>
          </w:p>
        </w:tc>
      </w:tr>
    </w:tbl>
    <w:p w:rsidR="004B14BB" w:rsidRPr="001705D4" w:rsidRDefault="004B14BB" w:rsidP="004B14BB">
      <w:pPr>
        <w:spacing w:after="0" w:line="240" w:lineRule="auto"/>
        <w:jc w:val="both"/>
        <w:rPr>
          <w:rFonts w:eastAsia="Times New Roman" w:cs="Times New Roman"/>
          <w:sz w:val="32"/>
          <w:szCs w:val="32"/>
          <w:lang w:eastAsia="pl-PL"/>
        </w:rPr>
      </w:pPr>
      <w:r w:rsidRPr="001705D4">
        <w:rPr>
          <w:rFonts w:eastAsia="Times New Roman" w:cs="Times New Roman"/>
          <w:sz w:val="32"/>
          <w:szCs w:val="32"/>
          <w:lang w:eastAsia="pl-PL"/>
        </w:rPr>
        <w:t xml:space="preserve">Tabela: Procentowa zmiana ceny akcji spółki, której akcje zostały umieszczone 23 lipca 2015 roku </w:t>
      </w:r>
      <w:proofErr w:type="gramStart"/>
      <w:r w:rsidRPr="001705D4">
        <w:rPr>
          <w:rFonts w:eastAsia="Times New Roman" w:cs="Times New Roman"/>
          <w:sz w:val="32"/>
          <w:szCs w:val="32"/>
          <w:lang w:eastAsia="pl-PL"/>
        </w:rPr>
        <w:t>na  stronie</w:t>
      </w:r>
      <w:proofErr w:type="gramEnd"/>
      <w:r w:rsidRPr="001705D4">
        <w:rPr>
          <w:rFonts w:eastAsia="Times New Roman" w:cs="Times New Roman"/>
          <w:sz w:val="32"/>
          <w:szCs w:val="32"/>
          <w:lang w:eastAsia="pl-PL"/>
        </w:rPr>
        <w:t xml:space="preserve"> internetowej </w:t>
      </w:r>
      <w:hyperlink r:id="rId28" w:history="1">
        <w:r w:rsidRPr="001705D4">
          <w:rPr>
            <w:rStyle w:val="Hipercze"/>
            <w:rFonts w:eastAsia="Times New Roman" w:cs="Times New Roman"/>
            <w:sz w:val="32"/>
            <w:szCs w:val="32"/>
            <w:lang w:eastAsia="pl-PL"/>
          </w:rPr>
          <w:t>www.analizy-rynkowe.pl</w:t>
        </w:r>
      </w:hyperlink>
      <w:r w:rsidRPr="001705D4">
        <w:rPr>
          <w:rFonts w:eastAsia="Times New Roman" w:cs="Times New Roman"/>
          <w:sz w:val="32"/>
          <w:szCs w:val="32"/>
          <w:lang w:eastAsia="pl-PL"/>
        </w:rPr>
        <w:t xml:space="preserve"> w </w:t>
      </w:r>
      <w:proofErr w:type="gramStart"/>
      <w:r w:rsidRPr="001705D4">
        <w:rPr>
          <w:rFonts w:eastAsia="Times New Roman" w:cs="Times New Roman"/>
          <w:sz w:val="32"/>
          <w:szCs w:val="32"/>
          <w:lang w:eastAsia="pl-PL"/>
        </w:rPr>
        <w:t>rubryce  ,,Wykres</w:t>
      </w:r>
      <w:proofErr w:type="gramEnd"/>
      <w:r w:rsidRPr="001705D4">
        <w:rPr>
          <w:rFonts w:eastAsia="Times New Roman" w:cs="Times New Roman"/>
          <w:sz w:val="32"/>
          <w:szCs w:val="32"/>
          <w:lang w:eastAsia="pl-PL"/>
        </w:rPr>
        <w:t xml:space="preserve"> do przemyślenia” w okresie od 22 lipca 2015 roku do 1</w:t>
      </w:r>
      <w:r w:rsidR="00CE58E2" w:rsidRPr="001705D4">
        <w:rPr>
          <w:rFonts w:eastAsia="Times New Roman" w:cs="Times New Roman"/>
          <w:sz w:val="32"/>
          <w:szCs w:val="32"/>
          <w:lang w:eastAsia="pl-PL"/>
        </w:rPr>
        <w:t>9</w:t>
      </w:r>
      <w:r w:rsidRPr="001705D4">
        <w:rPr>
          <w:rFonts w:eastAsia="Times New Roman" w:cs="Times New Roman"/>
          <w:sz w:val="32"/>
          <w:szCs w:val="32"/>
          <w:lang w:eastAsia="pl-PL"/>
        </w:rPr>
        <w:t xml:space="preserve"> lutego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22.07.2015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Eurocash</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41,26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5</w:t>
            </w:r>
            <w:r w:rsidR="009D3AD3">
              <w:rPr>
                <w:rFonts w:eastAsiaTheme="minorEastAsia"/>
                <w:lang w:eastAsia="pl-PL"/>
              </w:rPr>
              <w:t>4</w:t>
            </w:r>
            <w:r>
              <w:rPr>
                <w:rFonts w:eastAsiaTheme="minorEastAsia"/>
                <w:lang w:eastAsia="pl-PL"/>
              </w:rPr>
              <w:t>,</w:t>
            </w:r>
            <w:r w:rsidR="009D3AD3">
              <w:rPr>
                <w:rFonts w:eastAsiaTheme="minorEastAsia"/>
                <w:lang w:eastAsia="pl-PL"/>
              </w:rPr>
              <w:t>83</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+3</w:t>
            </w:r>
            <w:r w:rsidR="009D3AD3">
              <w:rPr>
                <w:rFonts w:eastAsiaTheme="minorEastAsia"/>
                <w:lang w:eastAsia="pl-PL"/>
              </w:rPr>
              <w:t>2</w:t>
            </w:r>
            <w:r>
              <w:rPr>
                <w:rFonts w:eastAsiaTheme="minorEastAsia"/>
                <w:lang w:eastAsia="pl-PL"/>
              </w:rPr>
              <w:t>,</w:t>
            </w:r>
            <w:r w:rsidR="009D3AD3">
              <w:rPr>
                <w:rFonts w:eastAsiaTheme="minorEastAsia"/>
                <w:lang w:eastAsia="pl-PL"/>
              </w:rPr>
              <w:t>9</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+3</w:t>
            </w:r>
            <w:r w:rsidR="009D3AD3">
              <w:rPr>
                <w:rFonts w:eastAsiaTheme="minorEastAsia"/>
                <w:b/>
                <w:color w:val="FF0000"/>
                <w:lang w:eastAsia="pl-PL"/>
              </w:rPr>
              <w:t>2</w:t>
            </w:r>
            <w:r>
              <w:rPr>
                <w:rFonts w:eastAsiaTheme="minorEastAsia"/>
                <w:b/>
                <w:color w:val="FF0000"/>
                <w:lang w:eastAsia="pl-PL"/>
              </w:rPr>
              <w:t>,</w:t>
            </w:r>
            <w:r w:rsidR="009D3AD3">
              <w:rPr>
                <w:rFonts w:eastAsiaTheme="minorEastAsia"/>
                <w:b/>
                <w:color w:val="FF0000"/>
                <w:lang w:eastAsia="pl-PL"/>
              </w:rPr>
              <w:t>9</w:t>
            </w:r>
            <w:r>
              <w:rPr>
                <w:rFonts w:eastAsiaTheme="minorEastAsia"/>
                <w:b/>
                <w:color w:val="FF0000"/>
                <w:lang w:eastAsia="pl-PL"/>
              </w:rPr>
              <w:t>%</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2 185,83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w:t>
            </w:r>
            <w:r w:rsidR="009D3AD3">
              <w:rPr>
                <w:rFonts w:eastAsiaTheme="minorEastAsia"/>
                <w:lang w:eastAsia="pl-PL"/>
              </w:rPr>
              <w:t>5</w:t>
            </w:r>
            <w:r>
              <w:rPr>
                <w:rFonts w:eastAsiaTheme="minorEastAsia"/>
                <w:lang w:eastAsia="pl-PL"/>
              </w:rPr>
              <w:t>,</w:t>
            </w:r>
            <w:r w:rsidR="009D3AD3">
              <w:rPr>
                <w:rFonts w:eastAsiaTheme="minorEastAsia"/>
                <w:lang w:eastAsia="pl-PL"/>
              </w:rPr>
              <w:t>8</w:t>
            </w:r>
            <w:r>
              <w:rPr>
                <w:rFonts w:eastAsiaTheme="minorEastAsia"/>
                <w:lang w:eastAsia="pl-PL"/>
              </w:rPr>
              <w:t xml:space="preserve"> %</w:t>
            </w:r>
          </w:p>
        </w:tc>
      </w:tr>
    </w:tbl>
    <w:p w:rsidR="004B14BB" w:rsidRDefault="004B14BB" w:rsidP="004B14BB">
      <w:pPr>
        <w:spacing w:after="0" w:line="240" w:lineRule="auto"/>
        <w:jc w:val="both"/>
        <w:rPr>
          <w:rFonts w:eastAsia="Times New Roman" w:cs="Times New Roman"/>
          <w:lang w:eastAsia="pl-PL"/>
        </w:rPr>
      </w:pPr>
    </w:p>
    <w:p w:rsidR="004B14BB" w:rsidRPr="001705D4" w:rsidRDefault="004B14BB" w:rsidP="004B14BB">
      <w:pPr>
        <w:spacing w:after="0" w:line="240" w:lineRule="auto"/>
        <w:jc w:val="both"/>
        <w:rPr>
          <w:rFonts w:eastAsia="Times New Roman" w:cs="Times New Roman"/>
          <w:sz w:val="32"/>
          <w:szCs w:val="32"/>
          <w:lang w:eastAsia="pl-PL"/>
        </w:rPr>
      </w:pPr>
      <w:r w:rsidRPr="001705D4">
        <w:rPr>
          <w:rFonts w:eastAsia="Times New Roman" w:cs="Times New Roman"/>
          <w:sz w:val="32"/>
          <w:szCs w:val="32"/>
          <w:lang w:eastAsia="pl-PL"/>
        </w:rPr>
        <w:lastRenderedPageBreak/>
        <w:t xml:space="preserve">Tabela: Procentowa zmiana ceny akcji spółki, której akcje zostały umieszczone 3 września 2015 roku </w:t>
      </w:r>
      <w:proofErr w:type="gramStart"/>
      <w:r w:rsidRPr="001705D4">
        <w:rPr>
          <w:rFonts w:eastAsia="Times New Roman" w:cs="Times New Roman"/>
          <w:sz w:val="32"/>
          <w:szCs w:val="32"/>
          <w:lang w:eastAsia="pl-PL"/>
        </w:rPr>
        <w:t>na  stronie</w:t>
      </w:r>
      <w:proofErr w:type="gramEnd"/>
      <w:r w:rsidRPr="001705D4">
        <w:rPr>
          <w:rFonts w:eastAsia="Times New Roman" w:cs="Times New Roman"/>
          <w:sz w:val="32"/>
          <w:szCs w:val="32"/>
          <w:lang w:eastAsia="pl-PL"/>
        </w:rPr>
        <w:t xml:space="preserve"> internetowej </w:t>
      </w:r>
      <w:hyperlink r:id="rId29" w:history="1">
        <w:r w:rsidRPr="001705D4">
          <w:rPr>
            <w:rStyle w:val="Hipercze"/>
            <w:rFonts w:eastAsia="Times New Roman" w:cs="Times New Roman"/>
            <w:sz w:val="32"/>
            <w:szCs w:val="32"/>
            <w:lang w:eastAsia="pl-PL"/>
          </w:rPr>
          <w:t>www.analizy-rynkowe.pl</w:t>
        </w:r>
      </w:hyperlink>
      <w:r w:rsidRPr="001705D4">
        <w:rPr>
          <w:rFonts w:eastAsia="Times New Roman" w:cs="Times New Roman"/>
          <w:sz w:val="32"/>
          <w:szCs w:val="32"/>
          <w:lang w:eastAsia="pl-PL"/>
        </w:rPr>
        <w:t xml:space="preserve"> w </w:t>
      </w:r>
      <w:proofErr w:type="gramStart"/>
      <w:r w:rsidRPr="001705D4">
        <w:rPr>
          <w:rFonts w:eastAsia="Times New Roman" w:cs="Times New Roman"/>
          <w:sz w:val="32"/>
          <w:szCs w:val="32"/>
          <w:lang w:eastAsia="pl-PL"/>
        </w:rPr>
        <w:t>rubryce  ,,Wykres</w:t>
      </w:r>
      <w:proofErr w:type="gramEnd"/>
      <w:r w:rsidRPr="001705D4">
        <w:rPr>
          <w:rFonts w:eastAsia="Times New Roman" w:cs="Times New Roman"/>
          <w:sz w:val="32"/>
          <w:szCs w:val="32"/>
          <w:lang w:eastAsia="pl-PL"/>
        </w:rPr>
        <w:t xml:space="preserve"> do przemyślenia” w okresie od 2 września 2015 roku do 1</w:t>
      </w:r>
      <w:r w:rsidR="00CE58E2" w:rsidRPr="001705D4">
        <w:rPr>
          <w:rFonts w:eastAsia="Times New Roman" w:cs="Times New Roman"/>
          <w:sz w:val="32"/>
          <w:szCs w:val="32"/>
          <w:lang w:eastAsia="pl-PL"/>
        </w:rPr>
        <w:t>9</w:t>
      </w:r>
      <w:r w:rsidRPr="001705D4">
        <w:rPr>
          <w:rFonts w:eastAsia="Times New Roman" w:cs="Times New Roman"/>
          <w:sz w:val="32"/>
          <w:szCs w:val="32"/>
          <w:lang w:eastAsia="pl-PL"/>
        </w:rPr>
        <w:t xml:space="preserve"> lutego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02.09.2015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Agora</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11,20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11,</w:t>
            </w:r>
            <w:r w:rsidR="009D3AD3">
              <w:rPr>
                <w:rFonts w:eastAsiaTheme="minorEastAsia"/>
                <w:lang w:eastAsia="pl-PL"/>
              </w:rPr>
              <w:t>6</w:t>
            </w:r>
            <w:r>
              <w:rPr>
                <w:rFonts w:eastAsiaTheme="minorEastAsia"/>
                <w:lang w:eastAsia="pl-PL"/>
              </w:rPr>
              <w:t>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+3,6</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 xml:space="preserve">  </w:t>
            </w:r>
            <w:r w:rsidR="009D3AD3">
              <w:rPr>
                <w:rFonts w:eastAsiaTheme="minorEastAsia"/>
                <w:b/>
                <w:color w:val="FF0000"/>
                <w:lang w:eastAsia="pl-PL"/>
              </w:rPr>
              <w:t>+3,6</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2 107,58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-1</w:t>
            </w:r>
            <w:r w:rsidR="009D3AD3">
              <w:rPr>
                <w:rFonts w:eastAsiaTheme="minorEastAsia"/>
                <w:lang w:eastAsia="pl-PL"/>
              </w:rPr>
              <w:t>2</w:t>
            </w:r>
            <w:r>
              <w:rPr>
                <w:rFonts w:eastAsiaTheme="minorEastAsia"/>
                <w:lang w:eastAsia="pl-PL"/>
              </w:rPr>
              <w:t>,</w:t>
            </w:r>
            <w:r w:rsidR="009D3AD3">
              <w:rPr>
                <w:rFonts w:eastAsiaTheme="minorEastAsia"/>
                <w:lang w:eastAsia="pl-PL"/>
              </w:rPr>
              <w:t>6</w:t>
            </w:r>
            <w:r>
              <w:rPr>
                <w:rFonts w:eastAsiaTheme="minorEastAsia"/>
                <w:lang w:eastAsia="pl-PL"/>
              </w:rPr>
              <w:t>%</w:t>
            </w:r>
          </w:p>
        </w:tc>
      </w:tr>
    </w:tbl>
    <w:p w:rsidR="004B14BB" w:rsidRPr="001705D4" w:rsidRDefault="004B14BB" w:rsidP="004B14BB">
      <w:pPr>
        <w:spacing w:after="0" w:line="240" w:lineRule="auto"/>
        <w:jc w:val="both"/>
        <w:rPr>
          <w:rFonts w:eastAsia="Times New Roman" w:cs="Times New Roman"/>
          <w:sz w:val="32"/>
          <w:szCs w:val="32"/>
          <w:lang w:eastAsia="pl-PL"/>
        </w:rPr>
      </w:pPr>
      <w:r w:rsidRPr="001705D4">
        <w:rPr>
          <w:rFonts w:eastAsia="Times New Roman" w:cs="Times New Roman"/>
          <w:sz w:val="32"/>
          <w:szCs w:val="32"/>
          <w:lang w:eastAsia="pl-PL"/>
        </w:rPr>
        <w:t xml:space="preserve">Tabela: Procentowa zmiana ceny akcji spółki, której akcje zostały umieszczone 4 września 2015 roku </w:t>
      </w:r>
      <w:proofErr w:type="gramStart"/>
      <w:r w:rsidRPr="001705D4">
        <w:rPr>
          <w:rFonts w:eastAsia="Times New Roman" w:cs="Times New Roman"/>
          <w:sz w:val="32"/>
          <w:szCs w:val="32"/>
          <w:lang w:eastAsia="pl-PL"/>
        </w:rPr>
        <w:t>na  stronie</w:t>
      </w:r>
      <w:proofErr w:type="gramEnd"/>
      <w:r w:rsidRPr="001705D4">
        <w:rPr>
          <w:rFonts w:eastAsia="Times New Roman" w:cs="Times New Roman"/>
          <w:sz w:val="32"/>
          <w:szCs w:val="32"/>
          <w:lang w:eastAsia="pl-PL"/>
        </w:rPr>
        <w:t xml:space="preserve"> internetowej </w:t>
      </w:r>
      <w:hyperlink r:id="rId30" w:history="1">
        <w:r w:rsidRPr="001705D4">
          <w:rPr>
            <w:rStyle w:val="Hipercze"/>
            <w:rFonts w:eastAsia="Times New Roman" w:cs="Times New Roman"/>
            <w:sz w:val="32"/>
            <w:szCs w:val="32"/>
            <w:lang w:eastAsia="pl-PL"/>
          </w:rPr>
          <w:t>www.analizy-rynkowe.pl</w:t>
        </w:r>
      </w:hyperlink>
      <w:r w:rsidRPr="001705D4">
        <w:rPr>
          <w:rFonts w:eastAsia="Times New Roman" w:cs="Times New Roman"/>
          <w:sz w:val="32"/>
          <w:szCs w:val="32"/>
          <w:lang w:eastAsia="pl-PL"/>
        </w:rPr>
        <w:t xml:space="preserve"> w </w:t>
      </w:r>
      <w:proofErr w:type="gramStart"/>
      <w:r w:rsidRPr="001705D4">
        <w:rPr>
          <w:rFonts w:eastAsia="Times New Roman" w:cs="Times New Roman"/>
          <w:sz w:val="32"/>
          <w:szCs w:val="32"/>
          <w:lang w:eastAsia="pl-PL"/>
        </w:rPr>
        <w:t>rubryce  ,,Wykres</w:t>
      </w:r>
      <w:proofErr w:type="gramEnd"/>
      <w:r w:rsidRPr="001705D4">
        <w:rPr>
          <w:rFonts w:eastAsia="Times New Roman" w:cs="Times New Roman"/>
          <w:sz w:val="32"/>
          <w:szCs w:val="32"/>
          <w:lang w:eastAsia="pl-PL"/>
        </w:rPr>
        <w:t xml:space="preserve"> do przemyślenia” w okresie od 3 września 2015 roku do 1</w:t>
      </w:r>
      <w:r w:rsidR="00CE58E2" w:rsidRPr="001705D4">
        <w:rPr>
          <w:rFonts w:eastAsia="Times New Roman" w:cs="Times New Roman"/>
          <w:sz w:val="32"/>
          <w:szCs w:val="32"/>
          <w:lang w:eastAsia="pl-PL"/>
        </w:rPr>
        <w:t>9</w:t>
      </w:r>
      <w:r w:rsidRPr="001705D4">
        <w:rPr>
          <w:rFonts w:eastAsia="Times New Roman" w:cs="Times New Roman"/>
          <w:sz w:val="32"/>
          <w:szCs w:val="32"/>
          <w:lang w:eastAsia="pl-PL"/>
        </w:rPr>
        <w:t xml:space="preserve"> lutego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03.09.2015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BZWBK</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309,00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2</w:t>
            </w:r>
            <w:r w:rsidR="009D3AD3">
              <w:rPr>
                <w:rFonts w:eastAsiaTheme="minorEastAsia"/>
                <w:lang w:eastAsia="pl-PL"/>
              </w:rPr>
              <w:t>83</w:t>
            </w:r>
            <w:r>
              <w:rPr>
                <w:rFonts w:eastAsiaTheme="minorEastAsia"/>
                <w:lang w:eastAsia="pl-PL"/>
              </w:rPr>
              <w:t>,</w:t>
            </w:r>
            <w:r w:rsidR="009D3AD3">
              <w:rPr>
                <w:rFonts w:eastAsiaTheme="minorEastAsia"/>
                <w:lang w:eastAsia="pl-PL"/>
              </w:rPr>
              <w:t>0</w:t>
            </w:r>
            <w:r>
              <w:rPr>
                <w:rFonts w:eastAsiaTheme="minorEastAsia"/>
                <w:lang w:eastAsia="pl-PL"/>
              </w:rPr>
              <w:t>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8</w:t>
            </w:r>
            <w:r>
              <w:rPr>
                <w:rFonts w:eastAsiaTheme="minorEastAsia"/>
                <w:lang w:eastAsia="pl-PL"/>
              </w:rPr>
              <w:t>,</w:t>
            </w:r>
            <w:r w:rsidR="009D3AD3">
              <w:rPr>
                <w:rFonts w:eastAsiaTheme="minorEastAsia"/>
                <w:lang w:eastAsia="pl-PL"/>
              </w:rPr>
              <w:t>4</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 xml:space="preserve"> -</w:t>
            </w:r>
            <w:r w:rsidR="009D3AD3">
              <w:rPr>
                <w:rFonts w:eastAsiaTheme="minorEastAsia"/>
                <w:b/>
                <w:color w:val="FF0000"/>
                <w:lang w:eastAsia="pl-PL"/>
              </w:rPr>
              <w:t>8</w:t>
            </w:r>
            <w:r>
              <w:rPr>
                <w:rFonts w:eastAsiaTheme="minorEastAsia"/>
                <w:b/>
                <w:color w:val="FF0000"/>
                <w:lang w:eastAsia="pl-PL"/>
              </w:rPr>
              <w:t>,</w:t>
            </w:r>
            <w:r w:rsidR="009D3AD3">
              <w:rPr>
                <w:rFonts w:eastAsiaTheme="minorEastAsia"/>
                <w:b/>
                <w:color w:val="FF0000"/>
                <w:lang w:eastAsia="pl-PL"/>
              </w:rPr>
              <w:t>4</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2 155,07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-1</w:t>
            </w:r>
            <w:r w:rsidR="009D3AD3">
              <w:rPr>
                <w:rFonts w:eastAsiaTheme="minorEastAsia"/>
                <w:lang w:eastAsia="pl-PL"/>
              </w:rPr>
              <w:t>4</w:t>
            </w:r>
            <w:r>
              <w:rPr>
                <w:rFonts w:eastAsiaTheme="minorEastAsia"/>
                <w:lang w:eastAsia="pl-PL"/>
              </w:rPr>
              <w:t>,</w:t>
            </w:r>
            <w:r w:rsidR="009D3AD3">
              <w:rPr>
                <w:rFonts w:eastAsiaTheme="minorEastAsia"/>
                <w:lang w:eastAsia="pl-PL"/>
              </w:rPr>
              <w:t>6</w:t>
            </w:r>
            <w:r>
              <w:rPr>
                <w:rFonts w:eastAsiaTheme="minorEastAsia"/>
                <w:lang w:eastAsia="pl-PL"/>
              </w:rPr>
              <w:t xml:space="preserve"> %</w:t>
            </w:r>
          </w:p>
        </w:tc>
      </w:tr>
    </w:tbl>
    <w:p w:rsidR="004B14BB" w:rsidRDefault="004B14BB" w:rsidP="004B14BB">
      <w:pPr>
        <w:spacing w:after="0" w:line="240" w:lineRule="auto"/>
        <w:jc w:val="both"/>
        <w:rPr>
          <w:rFonts w:eastAsia="Times New Roman" w:cs="Times New Roman"/>
          <w:sz w:val="26"/>
          <w:szCs w:val="26"/>
          <w:lang w:eastAsia="pl-PL"/>
        </w:rPr>
      </w:pPr>
    </w:p>
    <w:p w:rsidR="004B14BB" w:rsidRPr="001705D4" w:rsidRDefault="004B14BB" w:rsidP="004B14BB">
      <w:pPr>
        <w:spacing w:after="0" w:line="240" w:lineRule="auto"/>
        <w:jc w:val="both"/>
        <w:rPr>
          <w:rFonts w:eastAsia="Times New Roman" w:cs="Times New Roman"/>
          <w:sz w:val="30"/>
          <w:szCs w:val="30"/>
          <w:lang w:eastAsia="pl-PL"/>
        </w:rPr>
      </w:pPr>
      <w:r w:rsidRPr="001705D4">
        <w:rPr>
          <w:rFonts w:eastAsia="Times New Roman" w:cs="Times New Roman"/>
          <w:sz w:val="30"/>
          <w:szCs w:val="30"/>
          <w:lang w:eastAsia="pl-PL"/>
        </w:rPr>
        <w:t xml:space="preserve">Tabela: Procentowa zmiana ceny akcji spółki, której akcje zostały umieszczone 9 października na stronie internetowej </w:t>
      </w:r>
      <w:hyperlink r:id="rId31" w:history="1">
        <w:r w:rsidRPr="001705D4">
          <w:rPr>
            <w:rStyle w:val="Hipercze"/>
            <w:rFonts w:eastAsia="Times New Roman" w:cs="Times New Roman"/>
            <w:sz w:val="30"/>
            <w:szCs w:val="30"/>
            <w:lang w:eastAsia="pl-PL"/>
          </w:rPr>
          <w:t>www.analizy-rynkowe.pl</w:t>
        </w:r>
      </w:hyperlink>
      <w:r w:rsidRPr="001705D4">
        <w:rPr>
          <w:rFonts w:eastAsia="Times New Roman" w:cs="Times New Roman"/>
          <w:sz w:val="30"/>
          <w:szCs w:val="30"/>
          <w:lang w:eastAsia="pl-PL"/>
        </w:rPr>
        <w:t xml:space="preserve"> w </w:t>
      </w:r>
      <w:proofErr w:type="gramStart"/>
      <w:r w:rsidRPr="001705D4">
        <w:rPr>
          <w:rFonts w:eastAsia="Times New Roman" w:cs="Times New Roman"/>
          <w:sz w:val="30"/>
          <w:szCs w:val="30"/>
          <w:lang w:eastAsia="pl-PL"/>
        </w:rPr>
        <w:t>rubryce  ,,Wykres</w:t>
      </w:r>
      <w:proofErr w:type="gramEnd"/>
      <w:r w:rsidRPr="001705D4">
        <w:rPr>
          <w:rFonts w:eastAsia="Times New Roman" w:cs="Times New Roman"/>
          <w:sz w:val="30"/>
          <w:szCs w:val="30"/>
          <w:lang w:eastAsia="pl-PL"/>
        </w:rPr>
        <w:t xml:space="preserve"> do przemyślenia” w okresie od 8 października 2015 roku do 1</w:t>
      </w:r>
      <w:r w:rsidR="00CE58E2" w:rsidRPr="001705D4">
        <w:rPr>
          <w:rFonts w:eastAsia="Times New Roman" w:cs="Times New Roman"/>
          <w:sz w:val="30"/>
          <w:szCs w:val="30"/>
          <w:lang w:eastAsia="pl-PL"/>
        </w:rPr>
        <w:t>9</w:t>
      </w:r>
      <w:r w:rsidRPr="001705D4">
        <w:rPr>
          <w:rFonts w:eastAsia="Times New Roman" w:cs="Times New Roman"/>
          <w:sz w:val="30"/>
          <w:szCs w:val="30"/>
          <w:lang w:eastAsia="pl-PL"/>
        </w:rPr>
        <w:t xml:space="preserve"> lutego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08.10.2015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Netmedia</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5,69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5,0</w:t>
            </w:r>
            <w:r w:rsidR="009D3AD3">
              <w:rPr>
                <w:rFonts w:eastAsiaTheme="minorEastAsia"/>
                <w:lang w:eastAsia="pl-PL"/>
              </w:rPr>
              <w:t>3</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-11,</w:t>
            </w:r>
            <w:r w:rsidR="009D3AD3">
              <w:rPr>
                <w:rFonts w:eastAsiaTheme="minorEastAsia"/>
                <w:lang w:eastAsia="pl-PL"/>
              </w:rPr>
              <w:t>6</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color w:val="000000" w:themeColor="text1"/>
                <w:lang w:eastAsia="pl-PL"/>
              </w:rPr>
            </w:pPr>
            <w:r>
              <w:rPr>
                <w:rFonts w:eastAsiaTheme="minorEastAsia"/>
                <w:color w:val="000000" w:themeColor="text1"/>
                <w:lang w:eastAsia="pl-PL"/>
              </w:rPr>
              <w:t xml:space="preserve">312,70 zł.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color w:val="000000" w:themeColor="text1"/>
                <w:lang w:eastAsia="pl-PL"/>
              </w:rPr>
            </w:pPr>
            <w:r>
              <w:rPr>
                <w:rFonts w:eastAsiaTheme="minorEastAsia"/>
                <w:color w:val="000000" w:themeColor="text1"/>
                <w:lang w:eastAsia="pl-PL"/>
              </w:rPr>
              <w:t>237,</w:t>
            </w:r>
            <w:r w:rsidR="009D3AD3">
              <w:rPr>
                <w:rFonts w:eastAsiaTheme="minorEastAsia"/>
                <w:color w:val="000000" w:themeColor="text1"/>
                <w:lang w:eastAsia="pl-PL"/>
              </w:rPr>
              <w:t>1</w:t>
            </w:r>
            <w:r>
              <w:rPr>
                <w:rFonts w:eastAsiaTheme="minorEastAsia"/>
                <w:color w:val="000000" w:themeColor="text1"/>
                <w:lang w:eastAsia="pl-PL"/>
              </w:rPr>
              <w:t xml:space="preserve">0 zł. </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color w:val="000000" w:themeColor="text1"/>
                <w:lang w:eastAsia="pl-PL"/>
              </w:rPr>
            </w:pPr>
            <w:r>
              <w:rPr>
                <w:rFonts w:eastAsiaTheme="minorEastAsia"/>
                <w:color w:val="000000" w:themeColor="text1"/>
                <w:lang w:eastAsia="pl-PL"/>
              </w:rPr>
              <w:t xml:space="preserve"> -24,2 %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4B14BB" w:rsidRDefault="004B14BB">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4B14BB" w:rsidRDefault="004B14BB">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-1</w:t>
            </w:r>
            <w:r w:rsidR="009D3AD3">
              <w:rPr>
                <w:rFonts w:eastAsiaTheme="minorEastAsia"/>
                <w:b/>
                <w:color w:val="FF0000"/>
                <w:lang w:eastAsia="pl-PL"/>
              </w:rPr>
              <w:t>7</w:t>
            </w:r>
            <w:r>
              <w:rPr>
                <w:rFonts w:eastAsiaTheme="minorEastAsia"/>
                <w:b/>
                <w:color w:val="FF0000"/>
                <w:lang w:eastAsia="pl-PL"/>
              </w:rPr>
              <w:t>,</w:t>
            </w:r>
            <w:r w:rsidR="009D3AD3">
              <w:rPr>
                <w:rFonts w:eastAsiaTheme="minorEastAsia"/>
                <w:b/>
                <w:color w:val="FF0000"/>
                <w:lang w:eastAsia="pl-PL"/>
              </w:rPr>
              <w:t>9</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2 126,48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w:t>
            </w:r>
            <w:r w:rsidR="009D3AD3">
              <w:rPr>
                <w:rFonts w:eastAsiaTheme="minorEastAsia"/>
                <w:lang w:eastAsia="pl-PL"/>
              </w:rPr>
              <w:t>3</w:t>
            </w:r>
            <w:r>
              <w:rPr>
                <w:rFonts w:eastAsiaTheme="minorEastAsia"/>
                <w:lang w:eastAsia="pl-PL"/>
              </w:rPr>
              <w:t>,</w:t>
            </w:r>
            <w:r w:rsidR="009D3AD3">
              <w:rPr>
                <w:rFonts w:eastAsiaTheme="minorEastAsia"/>
                <w:lang w:eastAsia="pl-PL"/>
              </w:rPr>
              <w:t>4</w:t>
            </w:r>
            <w:r>
              <w:rPr>
                <w:rFonts w:eastAsiaTheme="minorEastAsia"/>
                <w:lang w:eastAsia="pl-PL"/>
              </w:rPr>
              <w:t xml:space="preserve"> %</w:t>
            </w:r>
          </w:p>
        </w:tc>
      </w:tr>
    </w:tbl>
    <w:p w:rsidR="004B14BB" w:rsidRPr="001705D4" w:rsidRDefault="004B14BB" w:rsidP="004B14BB">
      <w:pPr>
        <w:spacing w:after="0" w:line="240" w:lineRule="auto"/>
        <w:jc w:val="both"/>
        <w:rPr>
          <w:rFonts w:eastAsia="Times New Roman" w:cs="Times New Roman"/>
          <w:sz w:val="32"/>
          <w:szCs w:val="32"/>
          <w:lang w:eastAsia="pl-PL"/>
        </w:rPr>
      </w:pPr>
      <w:r w:rsidRPr="001705D4">
        <w:rPr>
          <w:rFonts w:eastAsia="Times New Roman" w:cs="Times New Roman"/>
          <w:sz w:val="32"/>
          <w:szCs w:val="32"/>
          <w:lang w:eastAsia="pl-PL"/>
        </w:rPr>
        <w:lastRenderedPageBreak/>
        <w:t xml:space="preserve">Tabela: Procentowa zmiana ceny akcji spółki, której akcje zostały umieszczone 14 października 2015 roku </w:t>
      </w:r>
      <w:proofErr w:type="gramStart"/>
      <w:r w:rsidRPr="001705D4">
        <w:rPr>
          <w:rFonts w:eastAsia="Times New Roman" w:cs="Times New Roman"/>
          <w:sz w:val="32"/>
          <w:szCs w:val="32"/>
          <w:lang w:eastAsia="pl-PL"/>
        </w:rPr>
        <w:t>na  stronie</w:t>
      </w:r>
      <w:proofErr w:type="gramEnd"/>
      <w:r w:rsidRPr="001705D4">
        <w:rPr>
          <w:rFonts w:eastAsia="Times New Roman" w:cs="Times New Roman"/>
          <w:sz w:val="32"/>
          <w:szCs w:val="32"/>
          <w:lang w:eastAsia="pl-PL"/>
        </w:rPr>
        <w:t xml:space="preserve"> internetowej </w:t>
      </w:r>
      <w:hyperlink r:id="rId32" w:history="1">
        <w:r w:rsidRPr="001705D4">
          <w:rPr>
            <w:rStyle w:val="Hipercze"/>
            <w:rFonts w:eastAsia="Times New Roman" w:cs="Times New Roman"/>
            <w:sz w:val="32"/>
            <w:szCs w:val="32"/>
            <w:lang w:eastAsia="pl-PL"/>
          </w:rPr>
          <w:t>www.analizy-rynkowe.pl</w:t>
        </w:r>
      </w:hyperlink>
      <w:r w:rsidRPr="001705D4">
        <w:rPr>
          <w:rFonts w:eastAsia="Times New Roman" w:cs="Times New Roman"/>
          <w:sz w:val="32"/>
          <w:szCs w:val="32"/>
          <w:lang w:eastAsia="pl-PL"/>
        </w:rPr>
        <w:t xml:space="preserve"> w </w:t>
      </w:r>
      <w:proofErr w:type="gramStart"/>
      <w:r w:rsidRPr="001705D4">
        <w:rPr>
          <w:rFonts w:eastAsia="Times New Roman" w:cs="Times New Roman"/>
          <w:sz w:val="32"/>
          <w:szCs w:val="32"/>
          <w:lang w:eastAsia="pl-PL"/>
        </w:rPr>
        <w:t>rubryce  ,,Wykres</w:t>
      </w:r>
      <w:proofErr w:type="gramEnd"/>
      <w:r w:rsidRPr="001705D4">
        <w:rPr>
          <w:rFonts w:eastAsia="Times New Roman" w:cs="Times New Roman"/>
          <w:sz w:val="32"/>
          <w:szCs w:val="32"/>
          <w:lang w:eastAsia="pl-PL"/>
        </w:rPr>
        <w:t xml:space="preserve"> do przemyślenia” w okresie od 13 października 2015 roku do 1</w:t>
      </w:r>
      <w:r w:rsidR="00CE58E2" w:rsidRPr="001705D4">
        <w:rPr>
          <w:rFonts w:eastAsia="Times New Roman" w:cs="Times New Roman"/>
          <w:sz w:val="32"/>
          <w:szCs w:val="32"/>
          <w:lang w:eastAsia="pl-PL"/>
        </w:rPr>
        <w:t>9</w:t>
      </w:r>
      <w:r w:rsidRPr="001705D4">
        <w:rPr>
          <w:rFonts w:eastAsia="Times New Roman" w:cs="Times New Roman"/>
          <w:sz w:val="32"/>
          <w:szCs w:val="32"/>
          <w:lang w:eastAsia="pl-PL"/>
        </w:rPr>
        <w:t xml:space="preserve"> lutego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13.10.2015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Cyfrowy Polsat</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24,93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22,</w:t>
            </w:r>
            <w:r w:rsidR="009D3AD3">
              <w:rPr>
                <w:rFonts w:eastAsiaTheme="minorEastAsia"/>
                <w:lang w:eastAsia="pl-PL"/>
              </w:rPr>
              <w:t>69</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9</w:t>
            </w:r>
            <w:r>
              <w:rPr>
                <w:rFonts w:eastAsiaTheme="minorEastAsia"/>
                <w:lang w:eastAsia="pl-PL"/>
              </w:rPr>
              <w:t>,</w:t>
            </w:r>
            <w:r w:rsidR="009D3AD3">
              <w:rPr>
                <w:rFonts w:eastAsiaTheme="minorEastAsia"/>
                <w:lang w:eastAsia="pl-PL"/>
              </w:rPr>
              <w:t>0</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 xml:space="preserve">  -</w:t>
            </w:r>
            <w:r w:rsidR="009D3AD3">
              <w:rPr>
                <w:rFonts w:eastAsiaTheme="minorEastAsia"/>
                <w:b/>
                <w:color w:val="FF0000"/>
                <w:lang w:eastAsia="pl-PL"/>
              </w:rPr>
              <w:t>9</w:t>
            </w:r>
            <w:r>
              <w:rPr>
                <w:rFonts w:eastAsiaTheme="minorEastAsia"/>
                <w:b/>
                <w:color w:val="FF0000"/>
                <w:lang w:eastAsia="pl-PL"/>
              </w:rPr>
              <w:t>,</w:t>
            </w:r>
            <w:r w:rsidR="009D3AD3">
              <w:rPr>
                <w:rFonts w:eastAsiaTheme="minorEastAsia"/>
                <w:b/>
                <w:color w:val="FF0000"/>
                <w:lang w:eastAsia="pl-PL"/>
              </w:rPr>
              <w:t>0</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2 123,43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-1</w:t>
            </w:r>
            <w:r w:rsidR="009D3AD3">
              <w:rPr>
                <w:rFonts w:eastAsiaTheme="minorEastAsia"/>
                <w:lang w:eastAsia="pl-PL"/>
              </w:rPr>
              <w:t>3</w:t>
            </w:r>
            <w:r>
              <w:rPr>
                <w:rFonts w:eastAsiaTheme="minorEastAsia"/>
                <w:lang w:eastAsia="pl-PL"/>
              </w:rPr>
              <w:t>,</w:t>
            </w:r>
            <w:r w:rsidR="009D3AD3">
              <w:rPr>
                <w:rFonts w:eastAsiaTheme="minorEastAsia"/>
                <w:lang w:eastAsia="pl-PL"/>
              </w:rPr>
              <w:t>3</w:t>
            </w:r>
            <w:r>
              <w:rPr>
                <w:rFonts w:eastAsiaTheme="minorEastAsia"/>
                <w:lang w:eastAsia="pl-PL"/>
              </w:rPr>
              <w:t xml:space="preserve"> %</w:t>
            </w:r>
          </w:p>
        </w:tc>
      </w:tr>
    </w:tbl>
    <w:p w:rsidR="004B14BB" w:rsidRPr="001705D4" w:rsidRDefault="004B14BB" w:rsidP="004B14BB">
      <w:pPr>
        <w:spacing w:after="0" w:line="240" w:lineRule="auto"/>
        <w:jc w:val="both"/>
        <w:rPr>
          <w:rFonts w:eastAsia="Times New Roman" w:cs="Times New Roman"/>
          <w:sz w:val="32"/>
          <w:szCs w:val="32"/>
          <w:lang w:eastAsia="pl-PL"/>
        </w:rPr>
      </w:pPr>
      <w:r w:rsidRPr="001705D4">
        <w:rPr>
          <w:rFonts w:eastAsia="Times New Roman" w:cs="Times New Roman"/>
          <w:sz w:val="32"/>
          <w:szCs w:val="32"/>
          <w:lang w:eastAsia="pl-PL"/>
        </w:rPr>
        <w:t xml:space="preserve">Tabela: Procentowa zmiana ceny akcji spółki, której akcje zostały umieszczone 17 października 2015 roku </w:t>
      </w:r>
      <w:proofErr w:type="gramStart"/>
      <w:r w:rsidRPr="001705D4">
        <w:rPr>
          <w:rFonts w:eastAsia="Times New Roman" w:cs="Times New Roman"/>
          <w:sz w:val="32"/>
          <w:szCs w:val="32"/>
          <w:lang w:eastAsia="pl-PL"/>
        </w:rPr>
        <w:t>na  stronie</w:t>
      </w:r>
      <w:proofErr w:type="gramEnd"/>
      <w:r w:rsidRPr="001705D4">
        <w:rPr>
          <w:rFonts w:eastAsia="Times New Roman" w:cs="Times New Roman"/>
          <w:sz w:val="32"/>
          <w:szCs w:val="32"/>
          <w:lang w:eastAsia="pl-PL"/>
        </w:rPr>
        <w:t xml:space="preserve"> internetowej </w:t>
      </w:r>
      <w:hyperlink r:id="rId33" w:history="1">
        <w:r w:rsidRPr="001705D4">
          <w:rPr>
            <w:rStyle w:val="Hipercze"/>
            <w:rFonts w:eastAsia="Times New Roman" w:cs="Times New Roman"/>
            <w:sz w:val="32"/>
            <w:szCs w:val="32"/>
            <w:lang w:eastAsia="pl-PL"/>
          </w:rPr>
          <w:t>www.analizy-rynkowe.pl</w:t>
        </w:r>
      </w:hyperlink>
      <w:r w:rsidRPr="001705D4">
        <w:rPr>
          <w:rFonts w:eastAsia="Times New Roman" w:cs="Times New Roman"/>
          <w:sz w:val="32"/>
          <w:szCs w:val="32"/>
          <w:lang w:eastAsia="pl-PL"/>
        </w:rPr>
        <w:t xml:space="preserve"> w </w:t>
      </w:r>
      <w:proofErr w:type="gramStart"/>
      <w:r w:rsidRPr="001705D4">
        <w:rPr>
          <w:rFonts w:eastAsia="Times New Roman" w:cs="Times New Roman"/>
          <w:sz w:val="32"/>
          <w:szCs w:val="32"/>
          <w:lang w:eastAsia="pl-PL"/>
        </w:rPr>
        <w:t>rubryce  ,,Wykres</w:t>
      </w:r>
      <w:proofErr w:type="gramEnd"/>
      <w:r w:rsidRPr="001705D4">
        <w:rPr>
          <w:rFonts w:eastAsia="Times New Roman" w:cs="Times New Roman"/>
          <w:sz w:val="32"/>
          <w:szCs w:val="32"/>
          <w:lang w:eastAsia="pl-PL"/>
        </w:rPr>
        <w:t xml:space="preserve"> do przemyślenia” w okresie od 13 października 2015 roku do 1</w:t>
      </w:r>
      <w:r w:rsidR="00CE58E2" w:rsidRPr="001705D4">
        <w:rPr>
          <w:rFonts w:eastAsia="Times New Roman" w:cs="Times New Roman"/>
          <w:sz w:val="32"/>
          <w:szCs w:val="32"/>
          <w:lang w:eastAsia="pl-PL"/>
        </w:rPr>
        <w:t>9</w:t>
      </w:r>
      <w:r w:rsidRPr="001705D4">
        <w:rPr>
          <w:rFonts w:eastAsia="Times New Roman" w:cs="Times New Roman"/>
          <w:sz w:val="32"/>
          <w:szCs w:val="32"/>
          <w:lang w:eastAsia="pl-PL"/>
        </w:rPr>
        <w:t xml:space="preserve"> lutego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16.10.2015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Dębica</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85,40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88,</w:t>
            </w:r>
            <w:r w:rsidR="009D3AD3">
              <w:rPr>
                <w:rFonts w:eastAsiaTheme="minorEastAsia"/>
                <w:lang w:eastAsia="pl-PL"/>
              </w:rPr>
              <w:t>28</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+3,</w:t>
            </w:r>
            <w:r w:rsidR="009D3AD3">
              <w:rPr>
                <w:rFonts w:eastAsiaTheme="minorEastAsia"/>
                <w:lang w:eastAsia="pl-PL"/>
              </w:rPr>
              <w:t>4</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 xml:space="preserve">  +3,</w:t>
            </w:r>
            <w:r w:rsidR="009D3AD3">
              <w:rPr>
                <w:rFonts w:eastAsiaTheme="minorEastAsia"/>
                <w:b/>
                <w:color w:val="FF0000"/>
                <w:lang w:eastAsia="pl-PL"/>
              </w:rPr>
              <w:t>4</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2 121,94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w:t>
            </w:r>
            <w:r w:rsidR="009D3AD3">
              <w:rPr>
                <w:rFonts w:eastAsiaTheme="minorEastAsia"/>
                <w:lang w:eastAsia="pl-PL"/>
              </w:rPr>
              <w:t>3</w:t>
            </w:r>
            <w:r>
              <w:rPr>
                <w:rFonts w:eastAsiaTheme="minorEastAsia"/>
                <w:lang w:eastAsia="pl-PL"/>
              </w:rPr>
              <w:t>,</w:t>
            </w:r>
            <w:r w:rsidR="009D3AD3">
              <w:rPr>
                <w:rFonts w:eastAsiaTheme="minorEastAsia"/>
                <w:lang w:eastAsia="pl-PL"/>
              </w:rPr>
              <w:t>2</w:t>
            </w:r>
            <w:r>
              <w:rPr>
                <w:rFonts w:eastAsiaTheme="minorEastAsia"/>
                <w:lang w:eastAsia="pl-PL"/>
              </w:rPr>
              <w:t xml:space="preserve"> %</w:t>
            </w:r>
          </w:p>
        </w:tc>
      </w:tr>
    </w:tbl>
    <w:p w:rsidR="004B14BB" w:rsidRDefault="004B14BB" w:rsidP="004B14BB">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4 listopada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34"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 listopada </w:t>
      </w:r>
      <w:r>
        <w:rPr>
          <w:rFonts w:eastAsia="Times New Roman" w:cs="Times New Roman"/>
          <w:sz w:val="26"/>
          <w:szCs w:val="26"/>
          <w:lang w:eastAsia="pl-PL"/>
        </w:rPr>
        <w:t xml:space="preserve">2015 roku </w:t>
      </w:r>
      <w:r>
        <w:rPr>
          <w:rFonts w:eastAsia="Times New Roman" w:cs="Times New Roman"/>
          <w:lang w:eastAsia="pl-PL"/>
        </w:rPr>
        <w:t>do 1</w:t>
      </w:r>
      <w:r w:rsidR="00CE58E2">
        <w:rPr>
          <w:rFonts w:eastAsia="Times New Roman" w:cs="Times New Roman"/>
          <w:lang w:eastAsia="pl-PL"/>
        </w:rPr>
        <w:t>9</w:t>
      </w:r>
      <w:r>
        <w:rPr>
          <w:rFonts w:eastAsia="Times New Roman" w:cs="Times New Roman"/>
          <w:lang w:eastAsia="pl-PL"/>
        </w:rPr>
        <w:t xml:space="preserve"> lutego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03.11.2015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Alta </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2,19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9D3AD3" w:rsidP="009D3AD3">
            <w:pPr>
              <w:jc w:val="center"/>
              <w:rPr>
                <w:rFonts w:eastAsiaTheme="minorEastAsia"/>
                <w:lang w:eastAsia="pl-PL"/>
              </w:rPr>
            </w:pPr>
            <w:r>
              <w:rPr>
                <w:rFonts w:eastAsiaTheme="minorEastAsia"/>
                <w:lang w:eastAsia="pl-PL"/>
              </w:rPr>
              <w:t>3</w:t>
            </w:r>
            <w:r w:rsidR="004B14BB">
              <w:rPr>
                <w:rFonts w:eastAsiaTheme="minorEastAsia"/>
                <w:lang w:eastAsia="pl-PL"/>
              </w:rPr>
              <w:t>,</w:t>
            </w:r>
            <w:r>
              <w:rPr>
                <w:rFonts w:eastAsiaTheme="minorEastAsia"/>
                <w:lang w:eastAsia="pl-PL"/>
              </w:rPr>
              <w:t>03</w:t>
            </w:r>
            <w:r w:rsidR="004B14BB">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+38,4</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 xml:space="preserve">  </w:t>
            </w:r>
            <w:r w:rsidR="009D3AD3">
              <w:rPr>
                <w:rFonts w:eastAsiaTheme="minorEastAsia"/>
                <w:b/>
                <w:color w:val="FF0000"/>
                <w:lang w:eastAsia="pl-PL"/>
              </w:rPr>
              <w:t>+38,4</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2 061,38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-1</w:t>
            </w:r>
            <w:r w:rsidR="009D3AD3">
              <w:rPr>
                <w:rFonts w:eastAsiaTheme="minorEastAsia"/>
                <w:lang w:eastAsia="pl-PL"/>
              </w:rPr>
              <w:t>0</w:t>
            </w:r>
            <w:r>
              <w:rPr>
                <w:rFonts w:eastAsiaTheme="minorEastAsia"/>
                <w:lang w:eastAsia="pl-PL"/>
              </w:rPr>
              <w:t>,</w:t>
            </w:r>
            <w:r w:rsidR="009D3AD3">
              <w:rPr>
                <w:rFonts w:eastAsiaTheme="minorEastAsia"/>
                <w:lang w:eastAsia="pl-PL"/>
              </w:rPr>
              <w:t>7</w:t>
            </w:r>
            <w:r>
              <w:rPr>
                <w:rFonts w:eastAsiaTheme="minorEastAsia"/>
                <w:lang w:eastAsia="pl-PL"/>
              </w:rPr>
              <w:t xml:space="preserve"> %</w:t>
            </w:r>
          </w:p>
        </w:tc>
      </w:tr>
    </w:tbl>
    <w:p w:rsidR="001705D4" w:rsidRDefault="001705D4" w:rsidP="004B14BB">
      <w:pPr>
        <w:spacing w:after="0" w:line="240" w:lineRule="auto"/>
        <w:jc w:val="both"/>
        <w:rPr>
          <w:rFonts w:eastAsia="Times New Roman" w:cs="Times New Roman"/>
          <w:sz w:val="24"/>
          <w:szCs w:val="24"/>
          <w:lang w:eastAsia="pl-PL"/>
        </w:rPr>
      </w:pPr>
    </w:p>
    <w:p w:rsidR="001705D4" w:rsidRDefault="001705D4" w:rsidP="004B14BB">
      <w:pPr>
        <w:spacing w:after="0" w:line="240" w:lineRule="auto"/>
        <w:jc w:val="both"/>
        <w:rPr>
          <w:rFonts w:eastAsia="Times New Roman" w:cs="Times New Roman"/>
          <w:sz w:val="24"/>
          <w:szCs w:val="24"/>
          <w:lang w:eastAsia="pl-PL"/>
        </w:rPr>
      </w:pPr>
    </w:p>
    <w:p w:rsidR="001705D4" w:rsidRDefault="001705D4" w:rsidP="004B14BB">
      <w:pPr>
        <w:spacing w:after="0" w:line="240" w:lineRule="auto"/>
        <w:jc w:val="both"/>
        <w:rPr>
          <w:rFonts w:eastAsia="Times New Roman" w:cs="Times New Roman"/>
          <w:sz w:val="24"/>
          <w:szCs w:val="24"/>
          <w:lang w:eastAsia="pl-PL"/>
        </w:rPr>
      </w:pPr>
    </w:p>
    <w:p w:rsidR="001705D4" w:rsidRDefault="001705D4" w:rsidP="004B14BB">
      <w:pPr>
        <w:spacing w:after="0" w:line="240" w:lineRule="auto"/>
        <w:jc w:val="both"/>
        <w:rPr>
          <w:rFonts w:eastAsia="Times New Roman" w:cs="Times New Roman"/>
          <w:sz w:val="24"/>
          <w:szCs w:val="24"/>
          <w:lang w:eastAsia="pl-PL"/>
        </w:rPr>
      </w:pPr>
    </w:p>
    <w:p w:rsidR="001705D4" w:rsidRDefault="001705D4" w:rsidP="004B14BB">
      <w:pPr>
        <w:spacing w:after="0" w:line="240" w:lineRule="auto"/>
        <w:jc w:val="both"/>
        <w:rPr>
          <w:rFonts w:eastAsia="Times New Roman" w:cs="Times New Roman"/>
          <w:sz w:val="24"/>
          <w:szCs w:val="24"/>
          <w:lang w:eastAsia="pl-PL"/>
        </w:rPr>
      </w:pPr>
    </w:p>
    <w:p w:rsidR="004B14BB" w:rsidRPr="001705D4" w:rsidRDefault="004B14BB" w:rsidP="004B14BB">
      <w:pPr>
        <w:spacing w:after="0" w:line="240" w:lineRule="auto"/>
        <w:jc w:val="both"/>
        <w:rPr>
          <w:rFonts w:eastAsia="Times New Roman" w:cs="Times New Roman"/>
          <w:sz w:val="32"/>
          <w:szCs w:val="32"/>
          <w:lang w:eastAsia="pl-PL"/>
        </w:rPr>
      </w:pPr>
      <w:r w:rsidRPr="001705D4">
        <w:rPr>
          <w:rFonts w:eastAsia="Times New Roman" w:cs="Times New Roman"/>
          <w:sz w:val="32"/>
          <w:szCs w:val="32"/>
          <w:lang w:eastAsia="pl-PL"/>
        </w:rPr>
        <w:lastRenderedPageBreak/>
        <w:t xml:space="preserve">Tabela: Procentowa zmiana ceny akcji spółki, której akcje zostały umieszczone 30 listopada 2015 roku </w:t>
      </w:r>
      <w:proofErr w:type="gramStart"/>
      <w:r w:rsidRPr="001705D4">
        <w:rPr>
          <w:rFonts w:eastAsia="Times New Roman" w:cs="Times New Roman"/>
          <w:sz w:val="32"/>
          <w:szCs w:val="32"/>
          <w:lang w:eastAsia="pl-PL"/>
        </w:rPr>
        <w:t>na  stronie</w:t>
      </w:r>
      <w:proofErr w:type="gramEnd"/>
      <w:r w:rsidRPr="001705D4">
        <w:rPr>
          <w:rFonts w:eastAsia="Times New Roman" w:cs="Times New Roman"/>
          <w:sz w:val="32"/>
          <w:szCs w:val="32"/>
          <w:lang w:eastAsia="pl-PL"/>
        </w:rPr>
        <w:t xml:space="preserve"> internetowej </w:t>
      </w:r>
      <w:hyperlink r:id="rId35" w:history="1">
        <w:r w:rsidRPr="001705D4">
          <w:rPr>
            <w:rStyle w:val="Hipercze"/>
            <w:rFonts w:eastAsia="Times New Roman" w:cs="Times New Roman"/>
            <w:sz w:val="32"/>
            <w:szCs w:val="32"/>
            <w:lang w:eastAsia="pl-PL"/>
          </w:rPr>
          <w:t>www.analizy-rynkowe.pl</w:t>
        </w:r>
      </w:hyperlink>
      <w:r w:rsidRPr="001705D4">
        <w:rPr>
          <w:rFonts w:eastAsia="Times New Roman" w:cs="Times New Roman"/>
          <w:sz w:val="32"/>
          <w:szCs w:val="32"/>
          <w:lang w:eastAsia="pl-PL"/>
        </w:rPr>
        <w:t xml:space="preserve"> w </w:t>
      </w:r>
      <w:proofErr w:type="gramStart"/>
      <w:r w:rsidRPr="001705D4">
        <w:rPr>
          <w:rFonts w:eastAsia="Times New Roman" w:cs="Times New Roman"/>
          <w:sz w:val="32"/>
          <w:szCs w:val="32"/>
          <w:lang w:eastAsia="pl-PL"/>
        </w:rPr>
        <w:t>rubryce  ,,Wykres</w:t>
      </w:r>
      <w:proofErr w:type="gramEnd"/>
      <w:r w:rsidRPr="001705D4">
        <w:rPr>
          <w:rFonts w:eastAsia="Times New Roman" w:cs="Times New Roman"/>
          <w:sz w:val="32"/>
          <w:szCs w:val="32"/>
          <w:lang w:eastAsia="pl-PL"/>
        </w:rPr>
        <w:t xml:space="preserve"> do przemyślenia” w okresie od 27 listopada 2015 roku do 12 lutego 2016 roku  oraz procentowa zmiana indeksu WIG 20 w tym okresie. </w:t>
      </w:r>
    </w:p>
    <w:p w:rsidR="004B14BB" w:rsidRPr="001705D4" w:rsidRDefault="004B14BB" w:rsidP="004B14BB">
      <w:pPr>
        <w:spacing w:after="0" w:line="240" w:lineRule="auto"/>
        <w:jc w:val="both"/>
        <w:rPr>
          <w:rFonts w:eastAsia="Times New Roman" w:cs="Times New Roman"/>
          <w:sz w:val="36"/>
          <w:szCs w:val="36"/>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27.11.2015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58,06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5</w:t>
            </w:r>
            <w:r w:rsidR="009D3AD3">
              <w:rPr>
                <w:rFonts w:eastAsiaTheme="minorEastAsia"/>
                <w:lang w:eastAsia="pl-PL"/>
              </w:rPr>
              <w:t>6</w:t>
            </w:r>
            <w:r>
              <w:rPr>
                <w:rFonts w:eastAsiaTheme="minorEastAsia"/>
                <w:lang w:eastAsia="pl-PL"/>
              </w:rPr>
              <w:t>,</w:t>
            </w:r>
            <w:r w:rsidR="009D3AD3">
              <w:rPr>
                <w:rFonts w:eastAsiaTheme="minorEastAsia"/>
                <w:lang w:eastAsia="pl-PL"/>
              </w:rPr>
              <w:t>91</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2</w:t>
            </w:r>
            <w:r>
              <w:rPr>
                <w:rFonts w:eastAsiaTheme="minorEastAsia"/>
                <w:lang w:eastAsia="pl-PL"/>
              </w:rPr>
              <w:t>,</w:t>
            </w:r>
            <w:r w:rsidR="009D3AD3">
              <w:rPr>
                <w:rFonts w:eastAsiaTheme="minorEastAsia"/>
                <w:lang w:eastAsia="pl-PL"/>
              </w:rPr>
              <w:t>0</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 xml:space="preserve">  -</w:t>
            </w:r>
            <w:r w:rsidR="009D3AD3">
              <w:rPr>
                <w:rFonts w:eastAsiaTheme="minorEastAsia"/>
                <w:b/>
                <w:color w:val="FF0000"/>
                <w:lang w:eastAsia="pl-PL"/>
              </w:rPr>
              <w:t>2</w:t>
            </w:r>
            <w:r>
              <w:rPr>
                <w:rFonts w:eastAsiaTheme="minorEastAsia"/>
                <w:b/>
                <w:color w:val="FF0000"/>
                <w:lang w:eastAsia="pl-PL"/>
              </w:rPr>
              <w:t>,</w:t>
            </w:r>
            <w:r w:rsidR="009D3AD3">
              <w:rPr>
                <w:rFonts w:eastAsiaTheme="minorEastAsia"/>
                <w:b/>
                <w:color w:val="FF0000"/>
                <w:lang w:eastAsia="pl-PL"/>
              </w:rPr>
              <w:t>0</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1 936,05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4</w:t>
            </w:r>
            <w:r>
              <w:rPr>
                <w:rFonts w:eastAsiaTheme="minorEastAsia"/>
                <w:lang w:eastAsia="pl-PL"/>
              </w:rPr>
              <w:t>,</w:t>
            </w:r>
            <w:r w:rsidR="009D3AD3">
              <w:rPr>
                <w:rFonts w:eastAsiaTheme="minorEastAsia"/>
                <w:lang w:eastAsia="pl-PL"/>
              </w:rPr>
              <w:t>9</w:t>
            </w:r>
            <w:r>
              <w:rPr>
                <w:rFonts w:eastAsiaTheme="minorEastAsia"/>
                <w:lang w:eastAsia="pl-PL"/>
              </w:rPr>
              <w:t xml:space="preserve"> %</w:t>
            </w:r>
          </w:p>
        </w:tc>
      </w:tr>
    </w:tbl>
    <w:p w:rsidR="004B14BB" w:rsidRPr="001705D4" w:rsidRDefault="004B14BB" w:rsidP="004B14BB">
      <w:pPr>
        <w:spacing w:after="0" w:line="240" w:lineRule="auto"/>
        <w:jc w:val="both"/>
        <w:rPr>
          <w:rFonts w:eastAsia="Times New Roman" w:cs="Times New Roman"/>
          <w:sz w:val="36"/>
          <w:szCs w:val="36"/>
          <w:lang w:eastAsia="pl-PL"/>
        </w:rPr>
      </w:pPr>
      <w:r w:rsidRPr="001705D4">
        <w:rPr>
          <w:rFonts w:eastAsia="Times New Roman" w:cs="Times New Roman"/>
          <w:sz w:val="36"/>
          <w:szCs w:val="36"/>
          <w:lang w:eastAsia="pl-PL"/>
        </w:rPr>
        <w:t xml:space="preserve">Tabela: Procentowa zmiana ceny akcji spółki, której akcje zostały umieszczone 7 grudnia 2015 roku </w:t>
      </w:r>
      <w:proofErr w:type="gramStart"/>
      <w:r w:rsidRPr="001705D4">
        <w:rPr>
          <w:rFonts w:eastAsia="Times New Roman" w:cs="Times New Roman"/>
          <w:sz w:val="36"/>
          <w:szCs w:val="36"/>
          <w:lang w:eastAsia="pl-PL"/>
        </w:rPr>
        <w:t>na  stronie</w:t>
      </w:r>
      <w:proofErr w:type="gramEnd"/>
      <w:r w:rsidRPr="001705D4">
        <w:rPr>
          <w:rFonts w:eastAsia="Times New Roman" w:cs="Times New Roman"/>
          <w:sz w:val="36"/>
          <w:szCs w:val="36"/>
          <w:lang w:eastAsia="pl-PL"/>
        </w:rPr>
        <w:t xml:space="preserve"> internetowej </w:t>
      </w:r>
      <w:hyperlink r:id="rId36" w:history="1">
        <w:r w:rsidRPr="001705D4">
          <w:rPr>
            <w:rStyle w:val="Hipercze"/>
            <w:rFonts w:eastAsia="Times New Roman" w:cs="Times New Roman"/>
            <w:sz w:val="36"/>
            <w:szCs w:val="36"/>
            <w:lang w:eastAsia="pl-PL"/>
          </w:rPr>
          <w:t>www.analizy-rynkowe.pl</w:t>
        </w:r>
      </w:hyperlink>
      <w:r w:rsidRPr="001705D4">
        <w:rPr>
          <w:rFonts w:eastAsia="Times New Roman" w:cs="Times New Roman"/>
          <w:sz w:val="36"/>
          <w:szCs w:val="36"/>
          <w:lang w:eastAsia="pl-PL"/>
        </w:rPr>
        <w:t xml:space="preserve"> w </w:t>
      </w:r>
      <w:proofErr w:type="gramStart"/>
      <w:r w:rsidRPr="001705D4">
        <w:rPr>
          <w:rFonts w:eastAsia="Times New Roman" w:cs="Times New Roman"/>
          <w:sz w:val="36"/>
          <w:szCs w:val="36"/>
          <w:lang w:eastAsia="pl-PL"/>
        </w:rPr>
        <w:t>rubryce  ,,Wykres</w:t>
      </w:r>
      <w:proofErr w:type="gramEnd"/>
      <w:r w:rsidRPr="001705D4">
        <w:rPr>
          <w:rFonts w:eastAsia="Times New Roman" w:cs="Times New Roman"/>
          <w:sz w:val="36"/>
          <w:szCs w:val="36"/>
          <w:lang w:eastAsia="pl-PL"/>
        </w:rPr>
        <w:t xml:space="preserve"> do przemyślenia” w okresie od 4 grudnia 2015 roku do 12 lutego 2016 roku  oraz procentowa zmiana indeksu WIG 20 w tym okresie. </w:t>
      </w:r>
    </w:p>
    <w:p w:rsidR="004B14BB" w:rsidRDefault="004B14BB" w:rsidP="004B14BB">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04.12.2015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PeKaO</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139,80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w:t>
            </w:r>
            <w:r w:rsidR="009D3AD3">
              <w:rPr>
                <w:rFonts w:eastAsiaTheme="minorEastAsia"/>
                <w:lang w:eastAsia="pl-PL"/>
              </w:rPr>
              <w:t>51,0</w:t>
            </w:r>
            <w:r>
              <w:rPr>
                <w:rFonts w:eastAsiaTheme="minorEastAsia"/>
                <w:lang w:eastAsia="pl-PL"/>
              </w:rPr>
              <w:t>0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8</w:t>
            </w:r>
            <w:r>
              <w:rPr>
                <w:rFonts w:eastAsiaTheme="minorEastAsia"/>
                <w:lang w:eastAsia="pl-PL"/>
              </w:rPr>
              <w:t>,</w:t>
            </w:r>
            <w:r w:rsidR="009D3AD3">
              <w:rPr>
                <w:rFonts w:eastAsiaTheme="minorEastAsia"/>
                <w:lang w:eastAsia="pl-PL"/>
              </w:rPr>
              <w:t>0</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 xml:space="preserve"> + </w:t>
            </w:r>
            <w:r w:rsidR="009D3AD3">
              <w:rPr>
                <w:rFonts w:eastAsiaTheme="minorEastAsia"/>
                <w:b/>
                <w:color w:val="FF0000"/>
                <w:lang w:eastAsia="pl-PL"/>
              </w:rPr>
              <w:t>8</w:t>
            </w:r>
            <w:r>
              <w:rPr>
                <w:rFonts w:eastAsiaTheme="minorEastAsia"/>
                <w:b/>
                <w:color w:val="FF0000"/>
                <w:lang w:eastAsia="pl-PL"/>
              </w:rPr>
              <w:t>,</w:t>
            </w:r>
            <w:r w:rsidR="009D3AD3">
              <w:rPr>
                <w:rFonts w:eastAsiaTheme="minorEastAsia"/>
                <w:b/>
                <w:color w:val="FF0000"/>
                <w:lang w:eastAsia="pl-PL"/>
              </w:rPr>
              <w:t>0</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1 868,24 pkt. </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1</w:t>
            </w:r>
            <w:r>
              <w:rPr>
                <w:rFonts w:eastAsiaTheme="minorEastAsia"/>
                <w:lang w:eastAsia="pl-PL"/>
              </w:rPr>
              <w:t>,5 %</w:t>
            </w:r>
          </w:p>
        </w:tc>
      </w:tr>
    </w:tbl>
    <w:p w:rsidR="004B14BB" w:rsidRDefault="004B14BB" w:rsidP="004B14BB">
      <w:pPr>
        <w:spacing w:after="0" w:line="240" w:lineRule="auto"/>
        <w:jc w:val="both"/>
        <w:rPr>
          <w:rFonts w:eastAsia="Times New Roman" w:cs="Times New Roman"/>
          <w:lang w:eastAsia="pl-PL"/>
        </w:rPr>
      </w:pPr>
      <w:r>
        <w:rPr>
          <w:rFonts w:eastAsia="Times New Roman" w:cs="Times New Roman"/>
          <w:sz w:val="26"/>
          <w:szCs w:val="26"/>
          <w:lang w:eastAsia="pl-PL"/>
        </w:rPr>
        <w:t xml:space="preserve">Tabela: Procentowa zmiana ceny akcji spółki, której akcje zostały umieszczone 7 grudnia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7"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4 grudnia 2015 roku </w:t>
      </w:r>
      <w:r>
        <w:rPr>
          <w:rFonts w:eastAsia="Times New Roman" w:cs="Times New Roman"/>
          <w:lang w:eastAsia="pl-PL"/>
        </w:rPr>
        <w:t xml:space="preserve">do 12 lutego 2016 roku  </w:t>
      </w:r>
      <w:r>
        <w:rPr>
          <w:rFonts w:eastAsia="Times New Roman" w:cs="Times New Roman"/>
          <w:sz w:val="26"/>
          <w:szCs w:val="26"/>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04.12.2015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 xml:space="preserve">Akcja spółki LC </w:t>
            </w:r>
            <w:proofErr w:type="spellStart"/>
            <w:r>
              <w:rPr>
                <w:rFonts w:eastAsiaTheme="minorEastAsia"/>
                <w:lang w:eastAsia="pl-PL"/>
              </w:rPr>
              <w:t>Corp</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1,62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1,7</w:t>
            </w:r>
            <w:r w:rsidR="009D3AD3">
              <w:rPr>
                <w:rFonts w:eastAsiaTheme="minorEastAsia"/>
                <w:lang w:eastAsia="pl-PL"/>
              </w:rPr>
              <w:t>8</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9</w:t>
            </w:r>
            <w:r>
              <w:rPr>
                <w:rFonts w:eastAsiaTheme="minorEastAsia"/>
                <w:lang w:eastAsia="pl-PL"/>
              </w:rPr>
              <w:t>,</w:t>
            </w:r>
            <w:r w:rsidR="009D3AD3">
              <w:rPr>
                <w:rFonts w:eastAsiaTheme="minorEastAsia"/>
                <w:lang w:eastAsia="pl-PL"/>
              </w:rPr>
              <w:t>9</w:t>
            </w:r>
            <w:r>
              <w:rPr>
                <w:rFonts w:eastAsiaTheme="minorEastAsia"/>
                <w:lang w:eastAsia="pl-PL"/>
              </w:rPr>
              <w:t>%</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 xml:space="preserve">  +</w:t>
            </w:r>
            <w:r w:rsidR="009D3AD3">
              <w:rPr>
                <w:rFonts w:eastAsiaTheme="minorEastAsia"/>
                <w:b/>
                <w:color w:val="FF0000"/>
                <w:lang w:eastAsia="pl-PL"/>
              </w:rPr>
              <w:t>9</w:t>
            </w:r>
            <w:r>
              <w:rPr>
                <w:rFonts w:eastAsiaTheme="minorEastAsia"/>
                <w:b/>
                <w:color w:val="FF0000"/>
                <w:lang w:eastAsia="pl-PL"/>
              </w:rPr>
              <w:t>,</w:t>
            </w:r>
            <w:r w:rsidR="009D3AD3">
              <w:rPr>
                <w:rFonts w:eastAsiaTheme="minorEastAsia"/>
                <w:b/>
                <w:color w:val="FF0000"/>
                <w:lang w:eastAsia="pl-PL"/>
              </w:rPr>
              <w:t>9</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1 868,24 pkt.</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1</w:t>
            </w:r>
            <w:r>
              <w:rPr>
                <w:rFonts w:eastAsiaTheme="minorEastAsia"/>
                <w:lang w:eastAsia="pl-PL"/>
              </w:rPr>
              <w:t>,5 %</w:t>
            </w:r>
          </w:p>
        </w:tc>
      </w:tr>
    </w:tbl>
    <w:p w:rsidR="004B14BB" w:rsidRDefault="004B14BB" w:rsidP="004B14BB">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28 grudnia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8"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23 grudnia 2015 roku </w:t>
      </w:r>
      <w:r>
        <w:rPr>
          <w:rFonts w:eastAsia="Times New Roman" w:cs="Times New Roman"/>
          <w:lang w:eastAsia="pl-PL"/>
        </w:rPr>
        <w:t xml:space="preserve">do 12 lutego 2016 roku  </w:t>
      </w:r>
      <w:r>
        <w:rPr>
          <w:rFonts w:eastAsia="Times New Roman" w:cs="Times New Roman"/>
          <w:sz w:val="26"/>
          <w:szCs w:val="26"/>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Poziom – 23.12.2015</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Poziom – 12.02.2016</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Zmiana (w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Akcja spółki P.A. Nova</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21,50 zł.</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1</w:t>
            </w:r>
            <w:r w:rsidR="009D3AD3">
              <w:rPr>
                <w:rFonts w:eastAsiaTheme="minorEastAsia"/>
                <w:lang w:eastAsia="pl-PL"/>
              </w:rPr>
              <w:t>8</w:t>
            </w:r>
            <w:r>
              <w:rPr>
                <w:rFonts w:eastAsiaTheme="minorEastAsia"/>
                <w:lang w:eastAsia="pl-PL"/>
              </w:rPr>
              <w:t>,</w:t>
            </w:r>
            <w:r w:rsidR="009D3AD3">
              <w:rPr>
                <w:rFonts w:eastAsiaTheme="minorEastAsia"/>
                <w:lang w:eastAsia="pl-PL"/>
              </w:rPr>
              <w:t>50</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14</w:t>
            </w:r>
            <w:r>
              <w:rPr>
                <w:rFonts w:eastAsiaTheme="minorEastAsia"/>
                <w:lang w:eastAsia="pl-PL"/>
              </w:rPr>
              <w:t>,</w:t>
            </w:r>
            <w:r w:rsidR="009D3AD3">
              <w:rPr>
                <w:rFonts w:eastAsiaTheme="minorEastAsia"/>
                <w:lang w:eastAsia="pl-PL"/>
              </w:rPr>
              <w:t>0</w:t>
            </w:r>
            <w:r>
              <w:rPr>
                <w:rFonts w:eastAsiaTheme="minorEastAsia"/>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4B14BB" w:rsidRDefault="004B14BB">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4B14BB" w:rsidRDefault="004B14BB">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b/>
                <w:color w:val="FF0000"/>
                <w:lang w:eastAsia="pl-PL"/>
              </w:rPr>
            </w:pPr>
            <w:r>
              <w:rPr>
                <w:rFonts w:eastAsiaTheme="minorEastAsia"/>
                <w:b/>
                <w:color w:val="FF0000"/>
                <w:lang w:eastAsia="pl-PL"/>
              </w:rPr>
              <w:t xml:space="preserve">   -</w:t>
            </w:r>
            <w:r w:rsidR="009D3AD3">
              <w:rPr>
                <w:rFonts w:eastAsiaTheme="minorEastAsia"/>
                <w:b/>
                <w:color w:val="FF0000"/>
                <w:lang w:eastAsia="pl-PL"/>
              </w:rPr>
              <w:t>14</w:t>
            </w:r>
            <w:r>
              <w:rPr>
                <w:rFonts w:eastAsiaTheme="minorEastAsia"/>
                <w:b/>
                <w:color w:val="FF0000"/>
                <w:lang w:eastAsia="pl-PL"/>
              </w:rPr>
              <w:t>,</w:t>
            </w:r>
            <w:r w:rsidR="009D3AD3">
              <w:rPr>
                <w:rFonts w:eastAsiaTheme="minorEastAsia"/>
                <w:b/>
                <w:color w:val="FF0000"/>
                <w:lang w:eastAsia="pl-PL"/>
              </w:rPr>
              <w:t>0</w:t>
            </w:r>
            <w:r>
              <w:rPr>
                <w:rFonts w:eastAsiaTheme="minorEastAsia"/>
                <w:b/>
                <w:color w:val="FF0000"/>
                <w:lang w:eastAsia="pl-PL"/>
              </w:rPr>
              <w:t xml:space="preserve"> %</w:t>
            </w:r>
          </w:p>
        </w:tc>
      </w:tr>
      <w:tr w:rsidR="004B14BB" w:rsidTr="004B14BB">
        <w:tc>
          <w:tcPr>
            <w:tcW w:w="34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lang w:eastAsia="pl-PL"/>
              </w:rPr>
            </w:pPr>
            <w:r>
              <w:rPr>
                <w:rFonts w:eastAsiaTheme="minorEastAsia"/>
                <w:lang w:eastAsia="pl-PL"/>
              </w:rPr>
              <w:t>1 879,75 pkt.</w:t>
            </w:r>
          </w:p>
        </w:tc>
        <w:tc>
          <w:tcPr>
            <w:tcW w:w="2303" w:type="dxa"/>
            <w:tcBorders>
              <w:top w:val="single" w:sz="4" w:space="0" w:color="auto"/>
              <w:left w:val="single" w:sz="4" w:space="0" w:color="auto"/>
              <w:bottom w:val="single" w:sz="4" w:space="0" w:color="auto"/>
              <w:right w:val="single" w:sz="4" w:space="0" w:color="auto"/>
            </w:tcBorders>
            <w:hideMark/>
          </w:tcPr>
          <w:p w:rsidR="004B14BB" w:rsidRDefault="004B14BB">
            <w:pPr>
              <w:jc w:val="center"/>
              <w:rPr>
                <w:rFonts w:eastAsiaTheme="minorEastAsia"/>
                <w:b/>
                <w:lang w:eastAsia="pl-PL"/>
              </w:rPr>
            </w:pPr>
            <w:r>
              <w:rPr>
                <w:rFonts w:eastAsiaTheme="minorEastAsia"/>
                <w:lang w:eastAsia="pl-PL"/>
              </w:rPr>
              <w:t>1 767,45 pkt.</w:t>
            </w:r>
          </w:p>
        </w:tc>
        <w:tc>
          <w:tcPr>
            <w:tcW w:w="1134" w:type="dxa"/>
            <w:tcBorders>
              <w:top w:val="single" w:sz="4" w:space="0" w:color="auto"/>
              <w:left w:val="single" w:sz="4" w:space="0" w:color="auto"/>
              <w:bottom w:val="single" w:sz="4" w:space="0" w:color="auto"/>
              <w:right w:val="single" w:sz="4" w:space="0" w:color="auto"/>
            </w:tcBorders>
            <w:hideMark/>
          </w:tcPr>
          <w:p w:rsidR="004B14BB" w:rsidRDefault="004B14BB" w:rsidP="009D3AD3">
            <w:pPr>
              <w:jc w:val="center"/>
              <w:rPr>
                <w:rFonts w:eastAsiaTheme="minorEastAsia"/>
                <w:lang w:eastAsia="pl-PL"/>
              </w:rPr>
            </w:pPr>
            <w:r>
              <w:rPr>
                <w:rFonts w:eastAsiaTheme="minorEastAsia"/>
                <w:lang w:eastAsia="pl-PL"/>
              </w:rPr>
              <w:t xml:space="preserve"> -</w:t>
            </w:r>
            <w:r w:rsidR="009D3AD3">
              <w:rPr>
                <w:rFonts w:eastAsiaTheme="minorEastAsia"/>
                <w:lang w:eastAsia="pl-PL"/>
              </w:rPr>
              <w:t>2</w:t>
            </w:r>
            <w:r>
              <w:rPr>
                <w:rFonts w:eastAsiaTheme="minorEastAsia"/>
                <w:lang w:eastAsia="pl-PL"/>
              </w:rPr>
              <w:t>,1 %</w:t>
            </w:r>
          </w:p>
        </w:tc>
      </w:tr>
    </w:tbl>
    <w:p w:rsidR="004B14BB" w:rsidRDefault="004B14BB" w:rsidP="004B14BB">
      <w:pPr>
        <w:spacing w:after="0" w:line="240" w:lineRule="auto"/>
        <w:jc w:val="both"/>
        <w:rPr>
          <w:rFonts w:eastAsia="Times New Roman" w:cs="Times New Roman"/>
          <w:sz w:val="36"/>
          <w:szCs w:val="36"/>
          <w:lang w:eastAsia="pl-PL"/>
        </w:rPr>
      </w:pPr>
    </w:p>
    <w:p w:rsidR="00805EE1" w:rsidRDefault="00805EE1" w:rsidP="00805EE1">
      <w:pPr>
        <w:spacing w:after="0" w:line="240" w:lineRule="auto"/>
        <w:jc w:val="both"/>
        <w:rPr>
          <w:rFonts w:eastAsia="Times New Roman" w:cs="Times New Roman"/>
          <w:lang w:eastAsia="pl-PL"/>
        </w:rPr>
      </w:pPr>
      <w:r>
        <w:rPr>
          <w:rFonts w:eastAsia="Times New Roman" w:cs="Times New Roman"/>
          <w:lang w:eastAsia="pl-PL"/>
        </w:rPr>
        <w:t xml:space="preserve">Tabela: Procentowa zmiana cen akcji trzech spółek, których akcje zostały umieszczone w dniu 15 lutego 2016 roku na stronie internetowej </w:t>
      </w:r>
      <w:hyperlink r:id="rId39" w:history="1">
        <w:r>
          <w:rPr>
            <w:rStyle w:val="Hipercze"/>
            <w:rFonts w:eastAsia="Times New Roman" w:cs="Times New Roman"/>
            <w:lang w:eastAsia="pl-PL"/>
          </w:rPr>
          <w:t>http://analizy-rynkowe.pl/</w:t>
        </w:r>
      </w:hyperlink>
      <w:r>
        <w:rPr>
          <w:rFonts w:eastAsia="Times New Roman" w:cs="Times New Roman"/>
          <w:lang w:eastAsia="pl-PL"/>
        </w:rPr>
        <w:t xml:space="preserve"> w rubryce ,,Wykres do przemyślenia” w okresie od 12 do 19 lutego 2016 roku </w:t>
      </w:r>
      <w:proofErr w:type="spellStart"/>
      <w:proofErr w:type="gramStart"/>
      <w:r>
        <w:rPr>
          <w:rFonts w:eastAsia="Times New Roman" w:cs="Times New Roman"/>
          <w:lang w:eastAsia="pl-PL"/>
        </w:rPr>
        <w:t>roku</w:t>
      </w:r>
      <w:proofErr w:type="spellEnd"/>
      <w:r>
        <w:rPr>
          <w:rFonts w:eastAsia="Times New Roman" w:cs="Times New Roman"/>
          <w:lang w:eastAsia="pl-PL"/>
        </w:rPr>
        <w:t xml:space="preserve">  oraz</w:t>
      </w:r>
      <w:proofErr w:type="gramEnd"/>
      <w:r>
        <w:rPr>
          <w:rFonts w:eastAsia="Times New Roman" w:cs="Times New Roman"/>
          <w:lang w:eastAsia="pl-PL"/>
        </w:rPr>
        <w:t xml:space="preserve"> procentowa zmiana indeksu WIG 20 w tym okresie. </w:t>
      </w:r>
    </w:p>
    <w:tbl>
      <w:tblPr>
        <w:tblW w:w="0" w:type="auto"/>
        <w:tblLook w:val="04A0" w:firstRow="1" w:lastRow="0" w:firstColumn="1" w:lastColumn="0" w:noHBand="0" w:noVBand="1"/>
      </w:tblPr>
      <w:tblGrid>
        <w:gridCol w:w="3402"/>
        <w:gridCol w:w="2302"/>
        <w:gridCol w:w="2303"/>
        <w:gridCol w:w="1134"/>
      </w:tblGrid>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805EE1" w:rsidRDefault="00805EE1" w:rsidP="00805EE1">
            <w:pPr>
              <w:jc w:val="center"/>
              <w:rPr>
                <w:rFonts w:eastAsiaTheme="minorEastAsia"/>
                <w:lang w:eastAsia="pl-PL"/>
              </w:rPr>
            </w:pPr>
            <w:r>
              <w:rPr>
                <w:rFonts w:eastAsiaTheme="minorEastAsia"/>
                <w:lang w:eastAsia="pl-PL"/>
              </w:rPr>
              <w:t>Poziom – 12.02.2016</w:t>
            </w:r>
          </w:p>
        </w:tc>
        <w:tc>
          <w:tcPr>
            <w:tcW w:w="2303" w:type="dxa"/>
            <w:tcBorders>
              <w:top w:val="single" w:sz="4" w:space="0" w:color="auto"/>
              <w:left w:val="single" w:sz="4" w:space="0" w:color="auto"/>
              <w:bottom w:val="single" w:sz="4" w:space="0" w:color="auto"/>
              <w:right w:val="single" w:sz="4" w:space="0" w:color="auto"/>
            </w:tcBorders>
            <w:hideMark/>
          </w:tcPr>
          <w:p w:rsidR="00805EE1" w:rsidRDefault="00805EE1" w:rsidP="00805EE1">
            <w:pPr>
              <w:jc w:val="center"/>
              <w:rPr>
                <w:rFonts w:eastAsiaTheme="minorEastAsia"/>
                <w:lang w:eastAsia="pl-PL"/>
              </w:rPr>
            </w:pPr>
            <w:r>
              <w:rPr>
                <w:rFonts w:eastAsiaTheme="minorEastAsia"/>
                <w:lang w:eastAsia="pl-PL"/>
              </w:rPr>
              <w:t>Poziom – 19.02.2016</w:t>
            </w:r>
          </w:p>
        </w:tc>
        <w:tc>
          <w:tcPr>
            <w:tcW w:w="1134"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Zmiana (w %)</w:t>
            </w:r>
          </w:p>
        </w:tc>
      </w:tr>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Akcja spółki Efekt</w:t>
            </w:r>
          </w:p>
        </w:tc>
        <w:tc>
          <w:tcPr>
            <w:tcW w:w="2302"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lang w:eastAsia="pl-PL"/>
              </w:rPr>
            </w:pPr>
            <w:r>
              <w:rPr>
                <w:rFonts w:eastAsiaTheme="minorEastAsia"/>
                <w:lang w:eastAsia="pl-PL"/>
              </w:rPr>
              <w:t xml:space="preserve">  17</w:t>
            </w:r>
            <w:r w:rsidR="00805EE1">
              <w:rPr>
                <w:rFonts w:eastAsiaTheme="minorEastAsia"/>
                <w:lang w:eastAsia="pl-PL"/>
              </w:rPr>
              <w:t>,</w:t>
            </w:r>
            <w:r>
              <w:rPr>
                <w:rFonts w:eastAsiaTheme="minorEastAsia"/>
                <w:lang w:eastAsia="pl-PL"/>
              </w:rPr>
              <w:t>63</w:t>
            </w:r>
            <w:r w:rsidR="00805EE1">
              <w:rPr>
                <w:rFonts w:eastAsiaTheme="minorEastAsia"/>
                <w:lang w:eastAsia="pl-PL"/>
              </w:rPr>
              <w:t xml:space="preserve"> zł.</w:t>
            </w:r>
          </w:p>
        </w:tc>
        <w:tc>
          <w:tcPr>
            <w:tcW w:w="2303"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lang w:eastAsia="pl-PL"/>
              </w:rPr>
            </w:pPr>
            <w:r>
              <w:rPr>
                <w:rFonts w:eastAsiaTheme="minorEastAsia"/>
                <w:lang w:eastAsia="pl-PL"/>
              </w:rPr>
              <w:t xml:space="preserve">  20</w:t>
            </w:r>
            <w:r w:rsidR="00805EE1">
              <w:rPr>
                <w:rFonts w:eastAsiaTheme="minorEastAsia"/>
                <w:lang w:eastAsia="pl-PL"/>
              </w:rPr>
              <w:t>,</w:t>
            </w:r>
            <w:r>
              <w:rPr>
                <w:rFonts w:eastAsiaTheme="minorEastAsia"/>
                <w:lang w:eastAsia="pl-PL"/>
              </w:rPr>
              <w:t>37</w:t>
            </w:r>
            <w:r w:rsidR="00805EE1">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805EE1" w:rsidRDefault="009F675F" w:rsidP="009F675F">
            <w:pPr>
              <w:jc w:val="center"/>
              <w:rPr>
                <w:rFonts w:eastAsiaTheme="minorEastAsia"/>
                <w:lang w:eastAsia="pl-PL"/>
              </w:rPr>
            </w:pPr>
            <w:r>
              <w:rPr>
                <w:rFonts w:eastAsiaTheme="minorEastAsia"/>
                <w:lang w:eastAsia="pl-PL"/>
              </w:rPr>
              <w:t>+1</w:t>
            </w:r>
            <w:r w:rsidR="00805EE1">
              <w:rPr>
                <w:rFonts w:eastAsiaTheme="minorEastAsia"/>
                <w:lang w:eastAsia="pl-PL"/>
              </w:rPr>
              <w:t>5,</w:t>
            </w:r>
            <w:r>
              <w:rPr>
                <w:rFonts w:eastAsiaTheme="minorEastAsia"/>
                <w:lang w:eastAsia="pl-PL"/>
              </w:rPr>
              <w:t>5</w:t>
            </w:r>
            <w:r w:rsidR="00805EE1">
              <w:rPr>
                <w:rFonts w:eastAsiaTheme="minorEastAsia"/>
                <w:lang w:eastAsia="pl-PL"/>
              </w:rPr>
              <w:t xml:space="preserve"> %</w:t>
            </w:r>
          </w:p>
        </w:tc>
      </w:tr>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mBank</w:t>
            </w:r>
            <w:proofErr w:type="gramEnd"/>
          </w:p>
        </w:tc>
        <w:tc>
          <w:tcPr>
            <w:tcW w:w="2302"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lang w:eastAsia="pl-PL"/>
              </w:rPr>
            </w:pPr>
            <w:r>
              <w:rPr>
                <w:rFonts w:eastAsiaTheme="minorEastAsia"/>
                <w:lang w:eastAsia="pl-PL"/>
              </w:rPr>
              <w:t>323,00</w:t>
            </w:r>
            <w:r w:rsidR="00805EE1">
              <w:rPr>
                <w:rFonts w:eastAsiaTheme="minorEastAsia"/>
                <w:lang w:eastAsia="pl-PL"/>
              </w:rPr>
              <w:t xml:space="preserve"> zł.</w:t>
            </w:r>
          </w:p>
        </w:tc>
        <w:tc>
          <w:tcPr>
            <w:tcW w:w="2303"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lang w:eastAsia="pl-PL"/>
              </w:rPr>
            </w:pPr>
            <w:r>
              <w:rPr>
                <w:rFonts w:eastAsiaTheme="minorEastAsia"/>
                <w:lang w:eastAsia="pl-PL"/>
              </w:rPr>
              <w:t>340</w:t>
            </w:r>
            <w:r w:rsidR="00805EE1">
              <w:rPr>
                <w:rFonts w:eastAsiaTheme="minorEastAsia"/>
                <w:lang w:eastAsia="pl-PL"/>
              </w:rPr>
              <w:t>,</w:t>
            </w:r>
            <w:r>
              <w:rPr>
                <w:rFonts w:eastAsiaTheme="minorEastAsia"/>
                <w:lang w:eastAsia="pl-PL"/>
              </w:rPr>
              <w:t>00</w:t>
            </w:r>
            <w:r w:rsidR="00805EE1">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805EE1" w:rsidRDefault="009F675F" w:rsidP="009F675F">
            <w:pPr>
              <w:jc w:val="center"/>
              <w:rPr>
                <w:rFonts w:eastAsiaTheme="minorEastAsia"/>
                <w:lang w:eastAsia="pl-PL"/>
              </w:rPr>
            </w:pPr>
            <w:r>
              <w:rPr>
                <w:rFonts w:eastAsiaTheme="minorEastAsia"/>
                <w:lang w:eastAsia="pl-PL"/>
              </w:rPr>
              <w:t xml:space="preserve">  +5</w:t>
            </w:r>
            <w:r w:rsidR="00805EE1">
              <w:rPr>
                <w:rFonts w:eastAsiaTheme="minorEastAsia"/>
                <w:lang w:eastAsia="pl-PL"/>
              </w:rPr>
              <w:t>,</w:t>
            </w:r>
            <w:r>
              <w:rPr>
                <w:rFonts w:eastAsiaTheme="minorEastAsia"/>
                <w:lang w:eastAsia="pl-PL"/>
              </w:rPr>
              <w:t>0</w:t>
            </w:r>
            <w:r w:rsidR="00805EE1">
              <w:rPr>
                <w:rFonts w:eastAsiaTheme="minorEastAsia"/>
                <w:lang w:eastAsia="pl-PL"/>
              </w:rPr>
              <w:t xml:space="preserve"> %</w:t>
            </w:r>
          </w:p>
        </w:tc>
      </w:tr>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lang w:eastAsia="pl-PL"/>
              </w:rPr>
            </w:pPr>
            <w:r>
              <w:rPr>
                <w:rFonts w:eastAsiaTheme="minorEastAsia"/>
                <w:lang w:eastAsia="pl-PL"/>
              </w:rPr>
              <w:t xml:space="preserve">    3</w:t>
            </w:r>
            <w:r w:rsidR="00805EE1">
              <w:rPr>
                <w:rFonts w:eastAsiaTheme="minorEastAsia"/>
                <w:lang w:eastAsia="pl-PL"/>
              </w:rPr>
              <w:t>,</w:t>
            </w:r>
            <w:r>
              <w:rPr>
                <w:rFonts w:eastAsiaTheme="minorEastAsia"/>
                <w:lang w:eastAsia="pl-PL"/>
              </w:rPr>
              <w:t>23</w:t>
            </w:r>
            <w:r w:rsidR="00805EE1">
              <w:rPr>
                <w:rFonts w:eastAsiaTheme="minorEastAsia"/>
                <w:lang w:eastAsia="pl-PL"/>
              </w:rPr>
              <w:t xml:space="preserve"> zł.</w:t>
            </w:r>
          </w:p>
        </w:tc>
        <w:tc>
          <w:tcPr>
            <w:tcW w:w="2303"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lang w:eastAsia="pl-PL"/>
              </w:rPr>
            </w:pPr>
            <w:r>
              <w:rPr>
                <w:rFonts w:eastAsiaTheme="minorEastAsia"/>
                <w:lang w:eastAsia="pl-PL"/>
              </w:rPr>
              <w:t xml:space="preserve">    3</w:t>
            </w:r>
            <w:r w:rsidR="00805EE1">
              <w:rPr>
                <w:rFonts w:eastAsiaTheme="minorEastAsia"/>
                <w:lang w:eastAsia="pl-PL"/>
              </w:rPr>
              <w:t>,</w:t>
            </w:r>
            <w:r>
              <w:rPr>
                <w:rFonts w:eastAsiaTheme="minorEastAsia"/>
                <w:lang w:eastAsia="pl-PL"/>
              </w:rPr>
              <w:t>19</w:t>
            </w:r>
            <w:r w:rsidR="00805EE1">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805EE1" w:rsidRDefault="009F675F" w:rsidP="009F675F">
            <w:pPr>
              <w:jc w:val="center"/>
              <w:rPr>
                <w:rFonts w:eastAsiaTheme="minorEastAsia"/>
                <w:lang w:eastAsia="pl-PL"/>
              </w:rPr>
            </w:pPr>
            <w:r>
              <w:rPr>
                <w:rFonts w:eastAsiaTheme="minorEastAsia"/>
                <w:lang w:eastAsia="pl-PL"/>
              </w:rPr>
              <w:t xml:space="preserve">  </w:t>
            </w:r>
            <w:r w:rsidR="00805EE1">
              <w:rPr>
                <w:rFonts w:eastAsiaTheme="minorEastAsia"/>
                <w:lang w:eastAsia="pl-PL"/>
              </w:rPr>
              <w:t>-</w:t>
            </w:r>
            <w:r>
              <w:rPr>
                <w:rFonts w:eastAsiaTheme="minorEastAsia"/>
                <w:lang w:eastAsia="pl-PL"/>
              </w:rPr>
              <w:t>1</w:t>
            </w:r>
            <w:r w:rsidR="00805EE1">
              <w:rPr>
                <w:rFonts w:eastAsiaTheme="minorEastAsia"/>
                <w:lang w:eastAsia="pl-PL"/>
              </w:rPr>
              <w:t>,</w:t>
            </w:r>
            <w:r>
              <w:rPr>
                <w:rFonts w:eastAsiaTheme="minorEastAsia"/>
                <w:lang w:eastAsia="pl-PL"/>
              </w:rPr>
              <w:t>2</w:t>
            </w:r>
            <w:r w:rsidR="00805EE1">
              <w:rPr>
                <w:rFonts w:eastAsiaTheme="minorEastAsia"/>
                <w:lang w:eastAsia="pl-PL"/>
              </w:rPr>
              <w:t xml:space="preserve">  %</w:t>
            </w:r>
          </w:p>
        </w:tc>
      </w:tr>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805EE1" w:rsidRDefault="00805EE1" w:rsidP="00091492">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805EE1" w:rsidRDefault="00805EE1" w:rsidP="00091492">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805EE1" w:rsidRDefault="009F675F" w:rsidP="009F675F">
            <w:pPr>
              <w:jc w:val="center"/>
              <w:rPr>
                <w:rFonts w:eastAsiaTheme="minorEastAsia"/>
                <w:b/>
                <w:color w:val="FF0000"/>
                <w:lang w:eastAsia="pl-PL"/>
              </w:rPr>
            </w:pPr>
            <w:r>
              <w:rPr>
                <w:rFonts w:eastAsiaTheme="minorEastAsia"/>
                <w:b/>
                <w:color w:val="FF0000"/>
                <w:lang w:eastAsia="pl-PL"/>
              </w:rPr>
              <w:t xml:space="preserve">  + 6</w:t>
            </w:r>
            <w:r w:rsidR="00805EE1">
              <w:rPr>
                <w:rFonts w:eastAsiaTheme="minorEastAsia"/>
                <w:b/>
                <w:color w:val="FF0000"/>
                <w:lang w:eastAsia="pl-PL"/>
              </w:rPr>
              <w:t>,</w:t>
            </w:r>
            <w:r>
              <w:rPr>
                <w:rFonts w:eastAsiaTheme="minorEastAsia"/>
                <w:b/>
                <w:color w:val="FF0000"/>
                <w:lang w:eastAsia="pl-PL"/>
              </w:rPr>
              <w:t>4</w:t>
            </w:r>
            <w:r w:rsidR="00805EE1">
              <w:rPr>
                <w:rFonts w:eastAsiaTheme="minorEastAsia"/>
                <w:b/>
                <w:color w:val="FF0000"/>
                <w:lang w:eastAsia="pl-PL"/>
              </w:rPr>
              <w:t xml:space="preserve">  %</w:t>
            </w:r>
          </w:p>
        </w:tc>
      </w:tr>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lang w:eastAsia="pl-PL"/>
              </w:rPr>
            </w:pPr>
            <w:r>
              <w:rPr>
                <w:rFonts w:eastAsiaTheme="minorEastAsia"/>
                <w:lang w:eastAsia="pl-PL"/>
              </w:rPr>
              <w:t>1 765,53</w:t>
            </w:r>
            <w:r w:rsidR="00805EE1">
              <w:rPr>
                <w:rFonts w:eastAsiaTheme="minorEastAsia"/>
                <w:lang w:eastAsia="pl-PL"/>
              </w:rPr>
              <w:t xml:space="preserve"> pkt. </w:t>
            </w:r>
          </w:p>
        </w:tc>
        <w:tc>
          <w:tcPr>
            <w:tcW w:w="2303" w:type="dxa"/>
            <w:tcBorders>
              <w:top w:val="single" w:sz="4" w:space="0" w:color="auto"/>
              <w:left w:val="single" w:sz="4" w:space="0" w:color="auto"/>
              <w:bottom w:val="single" w:sz="4" w:space="0" w:color="auto"/>
              <w:right w:val="single" w:sz="4" w:space="0" w:color="auto"/>
            </w:tcBorders>
            <w:hideMark/>
          </w:tcPr>
          <w:p w:rsidR="00805EE1" w:rsidRDefault="00805EE1" w:rsidP="007430F6">
            <w:pPr>
              <w:jc w:val="center"/>
              <w:rPr>
                <w:rFonts w:eastAsiaTheme="minorEastAsia"/>
                <w:lang w:eastAsia="pl-PL"/>
              </w:rPr>
            </w:pPr>
            <w:r>
              <w:rPr>
                <w:rFonts w:eastAsiaTheme="minorEastAsia"/>
                <w:lang w:eastAsia="pl-PL"/>
              </w:rPr>
              <w:t xml:space="preserve">1 </w:t>
            </w:r>
            <w:r w:rsidR="007430F6">
              <w:rPr>
                <w:rFonts w:eastAsiaTheme="minorEastAsia"/>
                <w:lang w:eastAsia="pl-PL"/>
              </w:rPr>
              <w:t>841</w:t>
            </w:r>
            <w:r>
              <w:rPr>
                <w:rFonts w:eastAsiaTheme="minorEastAsia"/>
                <w:lang w:eastAsia="pl-PL"/>
              </w:rPr>
              <w:t>,</w:t>
            </w:r>
            <w:r w:rsidR="007430F6">
              <w:rPr>
                <w:rFonts w:eastAsiaTheme="minorEastAsia"/>
                <w:lang w:eastAsia="pl-PL"/>
              </w:rPr>
              <w:t>06</w:t>
            </w:r>
            <w:r>
              <w:rPr>
                <w:rFonts w:eastAsiaTheme="minorEastAsia"/>
                <w:lang w:eastAsia="pl-PL"/>
              </w:rPr>
              <w:t xml:space="preserve"> pkt.</w:t>
            </w:r>
          </w:p>
        </w:tc>
        <w:tc>
          <w:tcPr>
            <w:tcW w:w="1134" w:type="dxa"/>
            <w:tcBorders>
              <w:top w:val="single" w:sz="4" w:space="0" w:color="auto"/>
              <w:left w:val="single" w:sz="4" w:space="0" w:color="auto"/>
              <w:bottom w:val="single" w:sz="4" w:space="0" w:color="auto"/>
              <w:right w:val="single" w:sz="4" w:space="0" w:color="auto"/>
            </w:tcBorders>
            <w:hideMark/>
          </w:tcPr>
          <w:p w:rsidR="00805EE1" w:rsidRDefault="009F675F" w:rsidP="009F675F">
            <w:pPr>
              <w:jc w:val="center"/>
              <w:rPr>
                <w:rFonts w:eastAsiaTheme="minorEastAsia"/>
                <w:lang w:eastAsia="pl-PL"/>
              </w:rPr>
            </w:pPr>
            <w:r>
              <w:rPr>
                <w:rFonts w:eastAsiaTheme="minorEastAsia"/>
                <w:lang w:eastAsia="pl-PL"/>
              </w:rPr>
              <w:t xml:space="preserve">  +4</w:t>
            </w:r>
            <w:r w:rsidR="00805EE1">
              <w:rPr>
                <w:rFonts w:eastAsiaTheme="minorEastAsia"/>
                <w:lang w:eastAsia="pl-PL"/>
              </w:rPr>
              <w:t>,</w:t>
            </w:r>
            <w:r>
              <w:rPr>
                <w:rFonts w:eastAsiaTheme="minorEastAsia"/>
                <w:lang w:eastAsia="pl-PL"/>
              </w:rPr>
              <w:t>3</w:t>
            </w:r>
            <w:r w:rsidR="00805EE1">
              <w:rPr>
                <w:rFonts w:eastAsiaTheme="minorEastAsia"/>
                <w:lang w:eastAsia="pl-PL"/>
              </w:rPr>
              <w:t xml:space="preserve"> %</w:t>
            </w:r>
          </w:p>
        </w:tc>
      </w:tr>
    </w:tbl>
    <w:p w:rsidR="00805EE1" w:rsidRDefault="00805EE1" w:rsidP="004B14BB">
      <w:pPr>
        <w:spacing w:after="0" w:line="240" w:lineRule="auto"/>
        <w:jc w:val="both"/>
        <w:rPr>
          <w:rFonts w:eastAsia="Times New Roman" w:cs="Times New Roman"/>
          <w:sz w:val="36"/>
          <w:szCs w:val="36"/>
          <w:lang w:eastAsia="pl-PL"/>
        </w:rPr>
      </w:pPr>
    </w:p>
    <w:p w:rsidR="00805EE1" w:rsidRDefault="00805EE1" w:rsidP="00805EE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18 lutego 2016 roku na stronie internetowej </w:t>
      </w:r>
      <w:hyperlink r:id="rId40"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17 do 19 lutego 2016 oraz procentowa zmiana indeksu WIG 20 w tym okresie. </w:t>
      </w:r>
    </w:p>
    <w:p w:rsidR="00805EE1" w:rsidRDefault="00805EE1" w:rsidP="00805EE1">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805EE1" w:rsidRDefault="00805EE1" w:rsidP="00805EE1">
            <w:pPr>
              <w:jc w:val="center"/>
              <w:rPr>
                <w:rFonts w:eastAsiaTheme="minorEastAsia"/>
                <w:lang w:eastAsia="pl-PL"/>
              </w:rPr>
            </w:pPr>
            <w:r>
              <w:rPr>
                <w:rFonts w:eastAsiaTheme="minorEastAsia"/>
                <w:lang w:eastAsia="pl-PL"/>
              </w:rPr>
              <w:t>Poziom – 17.02.2016</w:t>
            </w:r>
          </w:p>
        </w:tc>
        <w:tc>
          <w:tcPr>
            <w:tcW w:w="2303"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Poziom – 19.02.2016</w:t>
            </w:r>
          </w:p>
        </w:tc>
        <w:tc>
          <w:tcPr>
            <w:tcW w:w="1134"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Zmiana (w %)</w:t>
            </w:r>
          </w:p>
        </w:tc>
      </w:tr>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lang w:eastAsia="pl-PL"/>
              </w:rPr>
            </w:pPr>
            <w:r>
              <w:rPr>
                <w:rFonts w:eastAsiaTheme="minorEastAsia"/>
                <w:lang w:eastAsia="pl-PL"/>
              </w:rPr>
              <w:t>116,00</w:t>
            </w:r>
            <w:r w:rsidR="00805EE1">
              <w:rPr>
                <w:rFonts w:eastAsiaTheme="minorEastAsia"/>
                <w:lang w:eastAsia="pl-PL"/>
              </w:rPr>
              <w:t xml:space="preserve"> zł.</w:t>
            </w:r>
          </w:p>
        </w:tc>
        <w:tc>
          <w:tcPr>
            <w:tcW w:w="2303"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lang w:eastAsia="pl-PL"/>
              </w:rPr>
            </w:pPr>
            <w:r>
              <w:rPr>
                <w:rFonts w:eastAsiaTheme="minorEastAsia"/>
                <w:lang w:eastAsia="pl-PL"/>
              </w:rPr>
              <w:t>114,95</w:t>
            </w:r>
            <w:r w:rsidR="00805EE1">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805EE1" w:rsidRDefault="00805EE1" w:rsidP="009F675F">
            <w:pPr>
              <w:jc w:val="center"/>
              <w:rPr>
                <w:rFonts w:eastAsiaTheme="minorEastAsia"/>
                <w:lang w:eastAsia="pl-PL"/>
              </w:rPr>
            </w:pPr>
            <w:r>
              <w:rPr>
                <w:rFonts w:eastAsiaTheme="minorEastAsia"/>
                <w:lang w:eastAsia="pl-PL"/>
              </w:rPr>
              <w:t>-</w:t>
            </w:r>
            <w:r w:rsidR="009F675F">
              <w:rPr>
                <w:rFonts w:eastAsiaTheme="minorEastAsia"/>
                <w:lang w:eastAsia="pl-PL"/>
              </w:rPr>
              <w:t>0</w:t>
            </w:r>
            <w:r>
              <w:rPr>
                <w:rFonts w:eastAsiaTheme="minorEastAsia"/>
                <w:lang w:eastAsia="pl-PL"/>
              </w:rPr>
              <w:t>,</w:t>
            </w:r>
            <w:r w:rsidR="009F675F">
              <w:rPr>
                <w:rFonts w:eastAsiaTheme="minorEastAsia"/>
                <w:lang w:eastAsia="pl-PL"/>
              </w:rPr>
              <w:t>9</w:t>
            </w:r>
            <w:r>
              <w:rPr>
                <w:rFonts w:eastAsiaTheme="minorEastAsia"/>
                <w:lang w:eastAsia="pl-PL"/>
              </w:rPr>
              <w:t xml:space="preserve"> %</w:t>
            </w:r>
          </w:p>
        </w:tc>
      </w:tr>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color w:val="000000" w:themeColor="text1"/>
                <w:lang w:eastAsia="pl-PL"/>
              </w:rPr>
            </w:pPr>
            <w:r>
              <w:rPr>
                <w:rFonts w:eastAsiaTheme="minorEastAsia"/>
                <w:color w:val="000000" w:themeColor="text1"/>
                <w:lang w:eastAsia="pl-PL"/>
              </w:rPr>
              <w:t xml:space="preserve">    7</w:t>
            </w:r>
            <w:r w:rsidR="00805EE1">
              <w:rPr>
                <w:rFonts w:eastAsiaTheme="minorEastAsia"/>
                <w:color w:val="000000" w:themeColor="text1"/>
                <w:lang w:eastAsia="pl-PL"/>
              </w:rPr>
              <w:t>,</w:t>
            </w:r>
            <w:r>
              <w:rPr>
                <w:rFonts w:eastAsiaTheme="minorEastAsia"/>
                <w:color w:val="000000" w:themeColor="text1"/>
                <w:lang w:eastAsia="pl-PL"/>
              </w:rPr>
              <w:t>25</w:t>
            </w:r>
            <w:r w:rsidR="00805EE1">
              <w:rPr>
                <w:rFonts w:eastAsiaTheme="minorEastAsia"/>
                <w:color w:val="000000" w:themeColor="text1"/>
                <w:lang w:eastAsia="pl-PL"/>
              </w:rPr>
              <w:t xml:space="preserve"> zł. </w:t>
            </w:r>
          </w:p>
        </w:tc>
        <w:tc>
          <w:tcPr>
            <w:tcW w:w="2303"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color w:val="000000" w:themeColor="text1"/>
                <w:lang w:eastAsia="pl-PL"/>
              </w:rPr>
            </w:pPr>
            <w:r>
              <w:rPr>
                <w:rFonts w:eastAsiaTheme="minorEastAsia"/>
                <w:color w:val="000000" w:themeColor="text1"/>
                <w:lang w:eastAsia="pl-PL"/>
              </w:rPr>
              <w:t xml:space="preserve">    7</w:t>
            </w:r>
            <w:r w:rsidR="00805EE1">
              <w:rPr>
                <w:rFonts w:eastAsiaTheme="minorEastAsia"/>
                <w:color w:val="000000" w:themeColor="text1"/>
                <w:lang w:eastAsia="pl-PL"/>
              </w:rPr>
              <w:t>,</w:t>
            </w:r>
            <w:r>
              <w:rPr>
                <w:rFonts w:eastAsiaTheme="minorEastAsia"/>
                <w:color w:val="000000" w:themeColor="text1"/>
                <w:lang w:eastAsia="pl-PL"/>
              </w:rPr>
              <w:t>54</w:t>
            </w:r>
            <w:r w:rsidR="00805EE1">
              <w:rPr>
                <w:rFonts w:eastAsiaTheme="minorEastAsia"/>
                <w:color w:val="000000" w:themeColor="text1"/>
                <w:lang w:eastAsia="pl-PL"/>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rsidR="00805EE1" w:rsidRDefault="00805EE1" w:rsidP="009F675F">
            <w:pPr>
              <w:jc w:val="center"/>
              <w:rPr>
                <w:rFonts w:eastAsiaTheme="minorEastAsia"/>
                <w:color w:val="000000" w:themeColor="text1"/>
                <w:lang w:eastAsia="pl-PL"/>
              </w:rPr>
            </w:pPr>
            <w:r>
              <w:rPr>
                <w:rFonts w:eastAsiaTheme="minorEastAsia"/>
                <w:color w:val="000000" w:themeColor="text1"/>
                <w:lang w:eastAsia="pl-PL"/>
              </w:rPr>
              <w:t>-4,</w:t>
            </w:r>
            <w:r w:rsidR="009F675F">
              <w:rPr>
                <w:rFonts w:eastAsiaTheme="minorEastAsia"/>
                <w:color w:val="000000" w:themeColor="text1"/>
                <w:lang w:eastAsia="pl-PL"/>
              </w:rPr>
              <w:t>0</w:t>
            </w:r>
            <w:r>
              <w:rPr>
                <w:rFonts w:eastAsiaTheme="minorEastAsia"/>
                <w:color w:val="000000" w:themeColor="text1"/>
                <w:lang w:eastAsia="pl-PL"/>
              </w:rPr>
              <w:t xml:space="preserve"> %</w:t>
            </w:r>
          </w:p>
        </w:tc>
      </w:tr>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805EE1" w:rsidRDefault="00805EE1" w:rsidP="00091492">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805EE1" w:rsidRDefault="00805EE1" w:rsidP="00091492">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805EE1" w:rsidRDefault="009F675F" w:rsidP="009F675F">
            <w:pPr>
              <w:jc w:val="center"/>
              <w:rPr>
                <w:rFonts w:eastAsiaTheme="minorEastAsia"/>
                <w:b/>
                <w:color w:val="FF0000"/>
                <w:lang w:eastAsia="pl-PL"/>
              </w:rPr>
            </w:pPr>
            <w:r>
              <w:rPr>
                <w:rFonts w:eastAsiaTheme="minorEastAsia"/>
                <w:b/>
                <w:color w:val="FF0000"/>
                <w:lang w:eastAsia="pl-PL"/>
              </w:rPr>
              <w:t>+</w:t>
            </w:r>
            <w:r w:rsidR="00805EE1">
              <w:rPr>
                <w:rFonts w:eastAsiaTheme="minorEastAsia"/>
                <w:b/>
                <w:color w:val="FF0000"/>
                <w:lang w:eastAsia="pl-PL"/>
              </w:rPr>
              <w:t>1,</w:t>
            </w:r>
            <w:r>
              <w:rPr>
                <w:rFonts w:eastAsiaTheme="minorEastAsia"/>
                <w:b/>
                <w:color w:val="FF0000"/>
                <w:lang w:eastAsia="pl-PL"/>
              </w:rPr>
              <w:t>5</w:t>
            </w:r>
            <w:r w:rsidR="00805EE1">
              <w:rPr>
                <w:rFonts w:eastAsiaTheme="minorEastAsia"/>
                <w:b/>
                <w:color w:val="FF0000"/>
                <w:lang w:eastAsia="pl-PL"/>
              </w:rPr>
              <w:t xml:space="preserve"> %</w:t>
            </w:r>
          </w:p>
        </w:tc>
      </w:tr>
      <w:tr w:rsidR="00805EE1" w:rsidTr="00091492">
        <w:tc>
          <w:tcPr>
            <w:tcW w:w="3402" w:type="dxa"/>
            <w:tcBorders>
              <w:top w:val="single" w:sz="4" w:space="0" w:color="auto"/>
              <w:left w:val="single" w:sz="4" w:space="0" w:color="auto"/>
              <w:bottom w:val="single" w:sz="4" w:space="0" w:color="auto"/>
              <w:right w:val="single" w:sz="4" w:space="0" w:color="auto"/>
            </w:tcBorders>
            <w:hideMark/>
          </w:tcPr>
          <w:p w:rsidR="00805EE1" w:rsidRDefault="00805EE1" w:rsidP="00091492">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805EE1" w:rsidRDefault="007430F6" w:rsidP="007430F6">
            <w:pPr>
              <w:jc w:val="center"/>
              <w:rPr>
                <w:rFonts w:eastAsiaTheme="minorEastAsia"/>
                <w:lang w:eastAsia="pl-PL"/>
              </w:rPr>
            </w:pPr>
            <w:r>
              <w:rPr>
                <w:rFonts w:eastAsiaTheme="minorEastAsia"/>
                <w:lang w:eastAsia="pl-PL"/>
              </w:rPr>
              <w:t>1 847,06</w:t>
            </w:r>
            <w:r w:rsidR="00805EE1">
              <w:rPr>
                <w:rFonts w:eastAsiaTheme="minorEastAsia"/>
                <w:lang w:eastAsia="pl-PL"/>
              </w:rPr>
              <w:t xml:space="preserve"> pkt. </w:t>
            </w:r>
          </w:p>
        </w:tc>
        <w:tc>
          <w:tcPr>
            <w:tcW w:w="2303" w:type="dxa"/>
            <w:tcBorders>
              <w:top w:val="single" w:sz="4" w:space="0" w:color="auto"/>
              <w:left w:val="single" w:sz="4" w:space="0" w:color="auto"/>
              <w:bottom w:val="single" w:sz="4" w:space="0" w:color="auto"/>
              <w:right w:val="single" w:sz="4" w:space="0" w:color="auto"/>
            </w:tcBorders>
            <w:hideMark/>
          </w:tcPr>
          <w:p w:rsidR="00805EE1" w:rsidRDefault="00805EE1" w:rsidP="007430F6">
            <w:pPr>
              <w:jc w:val="center"/>
              <w:rPr>
                <w:rFonts w:eastAsiaTheme="minorEastAsia"/>
                <w:lang w:eastAsia="pl-PL"/>
              </w:rPr>
            </w:pPr>
            <w:r>
              <w:rPr>
                <w:rFonts w:eastAsiaTheme="minorEastAsia"/>
                <w:lang w:eastAsia="pl-PL"/>
              </w:rPr>
              <w:t xml:space="preserve">1 </w:t>
            </w:r>
            <w:r w:rsidR="007430F6">
              <w:rPr>
                <w:rFonts w:eastAsiaTheme="minorEastAsia"/>
                <w:lang w:eastAsia="pl-PL"/>
              </w:rPr>
              <w:t>841</w:t>
            </w:r>
            <w:r>
              <w:rPr>
                <w:rFonts w:eastAsiaTheme="minorEastAsia"/>
                <w:lang w:eastAsia="pl-PL"/>
              </w:rPr>
              <w:t>,</w:t>
            </w:r>
            <w:r w:rsidR="007430F6">
              <w:rPr>
                <w:rFonts w:eastAsiaTheme="minorEastAsia"/>
                <w:lang w:eastAsia="pl-PL"/>
              </w:rPr>
              <w:t>06</w:t>
            </w:r>
            <w:r>
              <w:rPr>
                <w:rFonts w:eastAsiaTheme="minorEastAsia"/>
                <w:lang w:eastAsia="pl-PL"/>
              </w:rPr>
              <w:t xml:space="preserve"> pkt.</w:t>
            </w:r>
          </w:p>
        </w:tc>
        <w:tc>
          <w:tcPr>
            <w:tcW w:w="1134" w:type="dxa"/>
            <w:tcBorders>
              <w:top w:val="single" w:sz="4" w:space="0" w:color="auto"/>
              <w:left w:val="single" w:sz="4" w:space="0" w:color="auto"/>
              <w:bottom w:val="single" w:sz="4" w:space="0" w:color="auto"/>
              <w:right w:val="single" w:sz="4" w:space="0" w:color="auto"/>
            </w:tcBorders>
            <w:hideMark/>
          </w:tcPr>
          <w:p w:rsidR="00805EE1" w:rsidRDefault="00805EE1" w:rsidP="009F675F">
            <w:pPr>
              <w:jc w:val="center"/>
              <w:rPr>
                <w:rFonts w:eastAsiaTheme="minorEastAsia"/>
                <w:lang w:eastAsia="pl-PL"/>
              </w:rPr>
            </w:pPr>
            <w:r>
              <w:rPr>
                <w:rFonts w:eastAsiaTheme="minorEastAsia"/>
                <w:lang w:eastAsia="pl-PL"/>
              </w:rPr>
              <w:t>-</w:t>
            </w:r>
            <w:r w:rsidR="009F675F">
              <w:rPr>
                <w:rFonts w:eastAsiaTheme="minorEastAsia"/>
                <w:lang w:eastAsia="pl-PL"/>
              </w:rPr>
              <w:t>0</w:t>
            </w:r>
            <w:r>
              <w:rPr>
                <w:rFonts w:eastAsiaTheme="minorEastAsia"/>
                <w:lang w:eastAsia="pl-PL"/>
              </w:rPr>
              <w:t>,</w:t>
            </w:r>
            <w:r w:rsidR="009F675F">
              <w:rPr>
                <w:rFonts w:eastAsiaTheme="minorEastAsia"/>
                <w:lang w:eastAsia="pl-PL"/>
              </w:rPr>
              <w:t>4</w:t>
            </w:r>
            <w:r>
              <w:rPr>
                <w:rFonts w:eastAsiaTheme="minorEastAsia"/>
                <w:lang w:eastAsia="pl-PL"/>
              </w:rPr>
              <w:t xml:space="preserve"> %</w:t>
            </w:r>
          </w:p>
        </w:tc>
      </w:tr>
    </w:tbl>
    <w:p w:rsidR="00805EE1" w:rsidRDefault="00805EE1" w:rsidP="004B14BB">
      <w:pPr>
        <w:spacing w:after="0" w:line="240" w:lineRule="auto"/>
        <w:jc w:val="both"/>
        <w:rPr>
          <w:rFonts w:eastAsia="Times New Roman" w:cs="Times New Roman"/>
          <w:sz w:val="36"/>
          <w:szCs w:val="36"/>
          <w:lang w:eastAsia="pl-PL"/>
        </w:rPr>
      </w:pPr>
    </w:p>
    <w:p w:rsidR="004B14BB" w:rsidRPr="005859FC" w:rsidRDefault="004B14BB" w:rsidP="004B14BB">
      <w:pPr>
        <w:spacing w:after="0" w:line="240" w:lineRule="auto"/>
        <w:jc w:val="both"/>
        <w:rPr>
          <w:rFonts w:eastAsia="Times New Roman" w:cs="Times New Roman"/>
          <w:sz w:val="50"/>
          <w:szCs w:val="50"/>
          <w:u w:val="single"/>
          <w:lang w:eastAsia="pl-PL"/>
        </w:rPr>
      </w:pPr>
      <w:r w:rsidRPr="005859FC">
        <w:rPr>
          <w:rFonts w:eastAsia="Times New Roman" w:cs="Times New Roman"/>
          <w:sz w:val="50"/>
          <w:szCs w:val="50"/>
          <w:lang w:eastAsia="pl-PL"/>
        </w:rPr>
        <w:lastRenderedPageBreak/>
        <w:t xml:space="preserve">Spółek, </w:t>
      </w:r>
      <w:r w:rsidRPr="005859FC">
        <w:rPr>
          <w:rFonts w:eastAsia="Times New Roman" w:cs="Times New Roman"/>
          <w:sz w:val="50"/>
          <w:szCs w:val="50"/>
          <w:u w:val="single"/>
          <w:lang w:eastAsia="pl-PL"/>
        </w:rPr>
        <w:t>dla których nie można jeszcze obliczyć</w:t>
      </w:r>
      <w:r w:rsidRPr="005859FC">
        <w:rPr>
          <w:rFonts w:eastAsia="Times New Roman" w:cs="Times New Roman"/>
          <w:sz w:val="50"/>
          <w:szCs w:val="50"/>
          <w:lang w:eastAsia="pl-PL"/>
        </w:rPr>
        <w:t xml:space="preserve"> procentowej zmiany kursu akcji po wprowadzeniu jej do rubryki </w:t>
      </w:r>
      <w:proofErr w:type="gramStart"/>
      <w:r w:rsidRPr="005859FC">
        <w:rPr>
          <w:rFonts w:eastAsia="Times New Roman" w:cs="Times New Roman"/>
          <w:sz w:val="50"/>
          <w:szCs w:val="50"/>
          <w:lang w:eastAsia="pl-PL"/>
        </w:rPr>
        <w:t>,,</w:t>
      </w:r>
      <w:proofErr w:type="gramEnd"/>
      <w:r w:rsidRPr="005859FC">
        <w:rPr>
          <w:rFonts w:eastAsia="Times New Roman" w:cs="Times New Roman"/>
          <w:sz w:val="50"/>
          <w:szCs w:val="50"/>
          <w:lang w:eastAsia="pl-PL"/>
        </w:rPr>
        <w:t xml:space="preserve">Wykres do przemyślenia” w okresie 12 pierwszych miesięcy po jej wprowadzeniu do tej rubryki </w:t>
      </w:r>
      <w:r w:rsidRPr="005859FC">
        <w:rPr>
          <w:rFonts w:eastAsia="Times New Roman" w:cs="Times New Roman"/>
          <w:sz w:val="50"/>
          <w:szCs w:val="50"/>
          <w:u w:val="single"/>
          <w:lang w:eastAsia="pl-PL"/>
        </w:rPr>
        <w:t xml:space="preserve">jest </w:t>
      </w:r>
      <w:r w:rsidRPr="005859FC">
        <w:rPr>
          <w:rFonts w:eastAsia="Times New Roman" w:cs="Times New Roman"/>
          <w:b/>
          <w:sz w:val="50"/>
          <w:szCs w:val="50"/>
          <w:u w:val="single"/>
          <w:lang w:eastAsia="pl-PL"/>
        </w:rPr>
        <w:t>2</w:t>
      </w:r>
      <w:r w:rsidR="003F1D99">
        <w:rPr>
          <w:rFonts w:eastAsia="Times New Roman" w:cs="Times New Roman"/>
          <w:b/>
          <w:sz w:val="50"/>
          <w:szCs w:val="50"/>
          <w:u w:val="single"/>
          <w:lang w:eastAsia="pl-PL"/>
        </w:rPr>
        <w:t>4</w:t>
      </w:r>
      <w:bookmarkStart w:id="0" w:name="_GoBack"/>
      <w:bookmarkEnd w:id="0"/>
    </w:p>
    <w:p w:rsidR="004B14BB" w:rsidRPr="005859FC" w:rsidRDefault="004B14BB" w:rsidP="004B14BB">
      <w:pPr>
        <w:spacing w:after="0" w:line="240" w:lineRule="auto"/>
        <w:jc w:val="both"/>
        <w:rPr>
          <w:rFonts w:eastAsia="Times New Roman" w:cs="Times New Roman"/>
          <w:sz w:val="50"/>
          <w:szCs w:val="50"/>
          <w:u w:val="single"/>
          <w:lang w:eastAsia="pl-PL"/>
        </w:rPr>
      </w:pPr>
    </w:p>
    <w:p w:rsidR="004B14BB" w:rsidRPr="005859FC" w:rsidRDefault="004B14BB" w:rsidP="004B14BB">
      <w:pPr>
        <w:spacing w:after="0" w:line="240" w:lineRule="auto"/>
        <w:jc w:val="both"/>
        <w:rPr>
          <w:rFonts w:eastAsia="Times New Roman" w:cs="Times New Roman"/>
          <w:sz w:val="50"/>
          <w:szCs w:val="50"/>
          <w:lang w:eastAsia="pl-PL"/>
        </w:rPr>
      </w:pPr>
      <w:r w:rsidRPr="005859FC">
        <w:rPr>
          <w:rFonts w:eastAsia="Times New Roman" w:cs="Times New Roman"/>
          <w:sz w:val="50"/>
          <w:szCs w:val="50"/>
          <w:lang w:eastAsia="pl-PL"/>
        </w:rPr>
        <w:t xml:space="preserve">W odniesieniu do tej grupy </w:t>
      </w:r>
      <w:r w:rsidRPr="005859FC">
        <w:rPr>
          <w:rFonts w:eastAsia="Times New Roman" w:cs="Times New Roman"/>
          <w:b/>
          <w:sz w:val="50"/>
          <w:szCs w:val="50"/>
          <w:u w:val="single"/>
          <w:lang w:eastAsia="pl-PL"/>
        </w:rPr>
        <w:t>2</w:t>
      </w:r>
      <w:r w:rsidR="003F1D99">
        <w:rPr>
          <w:rFonts w:eastAsia="Times New Roman" w:cs="Times New Roman"/>
          <w:b/>
          <w:sz w:val="50"/>
          <w:szCs w:val="50"/>
          <w:u w:val="single"/>
          <w:lang w:eastAsia="pl-PL"/>
        </w:rPr>
        <w:t>4</w:t>
      </w:r>
      <w:r w:rsidRPr="005859FC">
        <w:rPr>
          <w:rFonts w:eastAsia="Times New Roman" w:cs="Times New Roman"/>
          <w:b/>
          <w:sz w:val="50"/>
          <w:szCs w:val="50"/>
          <w:u w:val="single"/>
          <w:lang w:eastAsia="pl-PL"/>
        </w:rPr>
        <w:t xml:space="preserve"> spółk</w:t>
      </w:r>
      <w:r w:rsidR="003F1D99">
        <w:rPr>
          <w:rFonts w:eastAsia="Times New Roman" w:cs="Times New Roman"/>
          <w:b/>
          <w:sz w:val="50"/>
          <w:szCs w:val="50"/>
          <w:u w:val="single"/>
          <w:lang w:eastAsia="pl-PL"/>
        </w:rPr>
        <w:t>i</w:t>
      </w:r>
      <w:r w:rsidRPr="005859FC">
        <w:rPr>
          <w:rFonts w:eastAsia="Times New Roman" w:cs="Times New Roman"/>
          <w:sz w:val="50"/>
          <w:szCs w:val="50"/>
          <w:lang w:eastAsia="pl-PL"/>
        </w:rPr>
        <w:t xml:space="preserve"> można sformułować następujący wniosek: </w:t>
      </w:r>
    </w:p>
    <w:p w:rsidR="004B14BB" w:rsidRPr="005859FC" w:rsidRDefault="004B14BB" w:rsidP="004B14BB">
      <w:pPr>
        <w:spacing w:after="0" w:line="240" w:lineRule="auto"/>
        <w:jc w:val="both"/>
        <w:rPr>
          <w:rFonts w:eastAsia="Times New Roman" w:cs="Times New Roman"/>
          <w:sz w:val="50"/>
          <w:szCs w:val="50"/>
          <w:lang w:eastAsia="pl-PL"/>
        </w:rPr>
      </w:pPr>
    </w:p>
    <w:p w:rsidR="004B14BB" w:rsidRPr="005859FC" w:rsidRDefault="004B14BB" w:rsidP="004B14BB">
      <w:pPr>
        <w:spacing w:after="0" w:line="240" w:lineRule="auto"/>
        <w:jc w:val="both"/>
        <w:rPr>
          <w:rFonts w:eastAsia="Times New Roman" w:cs="Times New Roman"/>
          <w:sz w:val="50"/>
          <w:szCs w:val="50"/>
          <w:u w:val="single"/>
          <w:lang w:eastAsia="pl-PL"/>
        </w:rPr>
      </w:pPr>
      <w:r w:rsidRPr="005859FC">
        <w:rPr>
          <w:rFonts w:eastAsia="Times New Roman" w:cs="Times New Roman"/>
          <w:sz w:val="50"/>
          <w:szCs w:val="50"/>
          <w:u w:val="single"/>
          <w:lang w:eastAsia="pl-PL"/>
        </w:rPr>
        <w:t xml:space="preserve">Wniosek </w:t>
      </w:r>
    </w:p>
    <w:p w:rsidR="004B14BB" w:rsidRPr="005859FC" w:rsidRDefault="004B14BB" w:rsidP="004B14BB">
      <w:pPr>
        <w:spacing w:after="0" w:line="240" w:lineRule="auto"/>
        <w:jc w:val="both"/>
        <w:rPr>
          <w:rFonts w:eastAsia="Times New Roman" w:cs="Times New Roman"/>
          <w:sz w:val="50"/>
          <w:szCs w:val="50"/>
          <w:lang w:eastAsia="pl-PL"/>
        </w:rPr>
      </w:pPr>
    </w:p>
    <w:p w:rsidR="004B14BB" w:rsidRPr="005859FC" w:rsidRDefault="004B14BB" w:rsidP="004B14BB">
      <w:pPr>
        <w:spacing w:after="0" w:line="240" w:lineRule="auto"/>
        <w:jc w:val="both"/>
        <w:rPr>
          <w:rFonts w:eastAsia="Times New Roman" w:cs="Times New Roman"/>
          <w:sz w:val="50"/>
          <w:szCs w:val="50"/>
          <w:lang w:eastAsia="pl-PL"/>
        </w:rPr>
      </w:pPr>
      <w:r w:rsidRPr="005859FC">
        <w:rPr>
          <w:rFonts w:eastAsia="Times New Roman" w:cs="Times New Roman"/>
          <w:sz w:val="50"/>
          <w:szCs w:val="50"/>
          <w:lang w:eastAsia="pl-PL"/>
        </w:rPr>
        <w:t xml:space="preserve">Warto zauważyć, że </w:t>
      </w:r>
    </w:p>
    <w:p w:rsidR="004B14BB" w:rsidRPr="005859FC" w:rsidRDefault="004B14BB" w:rsidP="004B14BB">
      <w:pPr>
        <w:spacing w:after="0" w:line="240" w:lineRule="auto"/>
        <w:jc w:val="both"/>
        <w:rPr>
          <w:rFonts w:eastAsia="Times New Roman" w:cs="Times New Roman"/>
          <w:b/>
          <w:sz w:val="50"/>
          <w:szCs w:val="50"/>
          <w:lang w:eastAsia="pl-PL"/>
        </w:rPr>
      </w:pPr>
      <w:r w:rsidRPr="005859FC">
        <w:rPr>
          <w:rFonts w:eastAsia="Times New Roman" w:cs="Times New Roman"/>
          <w:b/>
          <w:color w:val="000000" w:themeColor="text1"/>
          <w:sz w:val="50"/>
          <w:szCs w:val="50"/>
          <w:lang w:eastAsia="pl-PL"/>
        </w:rPr>
        <w:t xml:space="preserve">spośród </w:t>
      </w:r>
      <w:r w:rsidRPr="005859FC">
        <w:rPr>
          <w:rFonts w:eastAsia="Times New Roman" w:cs="Times New Roman"/>
          <w:b/>
          <w:color w:val="000000" w:themeColor="text1"/>
          <w:sz w:val="50"/>
          <w:szCs w:val="50"/>
          <w:u w:val="single"/>
          <w:lang w:eastAsia="pl-PL"/>
        </w:rPr>
        <w:t>2</w:t>
      </w:r>
      <w:r w:rsidR="003F1D99">
        <w:rPr>
          <w:rFonts w:eastAsia="Times New Roman" w:cs="Times New Roman"/>
          <w:b/>
          <w:color w:val="000000" w:themeColor="text1"/>
          <w:sz w:val="50"/>
          <w:szCs w:val="50"/>
          <w:u w:val="single"/>
          <w:lang w:eastAsia="pl-PL"/>
        </w:rPr>
        <w:t>4</w:t>
      </w:r>
      <w:r w:rsidRPr="005859FC">
        <w:rPr>
          <w:rFonts w:eastAsia="Times New Roman" w:cs="Times New Roman"/>
          <w:b/>
          <w:color w:val="000000" w:themeColor="text1"/>
          <w:sz w:val="50"/>
          <w:szCs w:val="50"/>
          <w:u w:val="single"/>
          <w:lang w:eastAsia="pl-PL"/>
        </w:rPr>
        <w:t xml:space="preserve"> </w:t>
      </w:r>
      <w:proofErr w:type="gramStart"/>
      <w:r w:rsidRPr="005859FC">
        <w:rPr>
          <w:rFonts w:eastAsia="Times New Roman" w:cs="Times New Roman"/>
          <w:b/>
          <w:color w:val="000000" w:themeColor="text1"/>
          <w:sz w:val="50"/>
          <w:szCs w:val="50"/>
          <w:u w:val="single"/>
          <w:lang w:eastAsia="pl-PL"/>
        </w:rPr>
        <w:t>spółek</w:t>
      </w:r>
      <w:r w:rsidRPr="005859FC">
        <w:rPr>
          <w:rFonts w:eastAsia="Times New Roman" w:cs="Times New Roman"/>
          <w:sz w:val="50"/>
          <w:szCs w:val="50"/>
          <w:lang w:eastAsia="pl-PL"/>
        </w:rPr>
        <w:t xml:space="preserve"> (których</w:t>
      </w:r>
      <w:proofErr w:type="gramEnd"/>
      <w:r w:rsidRPr="005859FC">
        <w:rPr>
          <w:rFonts w:eastAsia="Times New Roman" w:cs="Times New Roman"/>
          <w:sz w:val="50"/>
          <w:szCs w:val="50"/>
          <w:lang w:eastAsia="pl-PL"/>
        </w:rPr>
        <w:t xml:space="preserve"> lista </w:t>
      </w:r>
      <w:r w:rsidRPr="005859FC">
        <w:rPr>
          <w:rFonts w:eastAsia="Times New Roman" w:cs="Times New Roman"/>
          <w:b/>
          <w:sz w:val="50"/>
          <w:szCs w:val="50"/>
          <w:lang w:eastAsia="pl-PL"/>
        </w:rPr>
        <w:t>opublikowana jest na str. 1</w:t>
      </w:r>
      <w:r w:rsidR="003F1D99">
        <w:rPr>
          <w:rFonts w:eastAsia="Times New Roman" w:cs="Times New Roman"/>
          <w:b/>
          <w:sz w:val="50"/>
          <w:szCs w:val="50"/>
          <w:lang w:eastAsia="pl-PL"/>
        </w:rPr>
        <w:t>6</w:t>
      </w:r>
      <w:r w:rsidRPr="005859FC">
        <w:rPr>
          <w:rFonts w:eastAsia="Times New Roman" w:cs="Times New Roman"/>
          <w:b/>
          <w:sz w:val="50"/>
          <w:szCs w:val="50"/>
          <w:lang w:eastAsia="pl-PL"/>
        </w:rPr>
        <w:t>-</w:t>
      </w:r>
      <w:r w:rsidR="003F1D99">
        <w:rPr>
          <w:rFonts w:eastAsia="Times New Roman" w:cs="Times New Roman"/>
          <w:b/>
          <w:sz w:val="50"/>
          <w:szCs w:val="50"/>
          <w:lang w:eastAsia="pl-PL"/>
        </w:rPr>
        <w:t>21</w:t>
      </w:r>
      <w:r w:rsidRPr="005859FC">
        <w:rPr>
          <w:rFonts w:eastAsia="Times New Roman" w:cs="Times New Roman"/>
          <w:b/>
          <w:sz w:val="50"/>
          <w:szCs w:val="50"/>
          <w:lang w:eastAsia="pl-PL"/>
        </w:rPr>
        <w:t xml:space="preserve">) </w:t>
      </w:r>
    </w:p>
    <w:p w:rsidR="004B14BB" w:rsidRPr="005859FC" w:rsidRDefault="004B14BB" w:rsidP="004B14BB">
      <w:pPr>
        <w:spacing w:after="0" w:line="240" w:lineRule="auto"/>
        <w:jc w:val="both"/>
        <w:rPr>
          <w:rFonts w:eastAsia="Times New Roman" w:cs="Times New Roman"/>
          <w:sz w:val="50"/>
          <w:szCs w:val="50"/>
          <w:lang w:eastAsia="pl-PL"/>
        </w:rPr>
      </w:pPr>
    </w:p>
    <w:p w:rsidR="004B14BB" w:rsidRPr="005859FC" w:rsidRDefault="004B14BB" w:rsidP="004B14BB">
      <w:pPr>
        <w:spacing w:after="0" w:line="240" w:lineRule="auto"/>
        <w:jc w:val="both"/>
        <w:rPr>
          <w:rFonts w:eastAsia="Times New Roman" w:cs="Times New Roman"/>
          <w:b/>
          <w:sz w:val="50"/>
          <w:szCs w:val="50"/>
          <w:lang w:eastAsia="pl-PL"/>
        </w:rPr>
      </w:pPr>
      <w:proofErr w:type="gramStart"/>
      <w:r w:rsidRPr="005859FC">
        <w:rPr>
          <w:rFonts w:eastAsia="Times New Roman" w:cs="Times New Roman"/>
          <w:b/>
          <w:sz w:val="50"/>
          <w:szCs w:val="50"/>
          <w:lang w:eastAsia="pl-PL"/>
        </w:rPr>
        <w:t>kursy</w:t>
      </w:r>
      <w:proofErr w:type="gramEnd"/>
      <w:r w:rsidRPr="005859FC">
        <w:rPr>
          <w:rFonts w:eastAsia="Times New Roman" w:cs="Times New Roman"/>
          <w:b/>
          <w:sz w:val="50"/>
          <w:szCs w:val="50"/>
          <w:lang w:eastAsia="pl-PL"/>
        </w:rPr>
        <w:t xml:space="preserve"> akcji </w:t>
      </w:r>
      <w:r w:rsidR="005859FC" w:rsidRPr="005859FC">
        <w:rPr>
          <w:rFonts w:eastAsia="Times New Roman" w:cs="Times New Roman"/>
          <w:b/>
          <w:color w:val="FF0000"/>
          <w:sz w:val="50"/>
          <w:szCs w:val="50"/>
          <w:lang w:eastAsia="pl-PL"/>
        </w:rPr>
        <w:t>2</w:t>
      </w:r>
      <w:r w:rsidR="003F1D99">
        <w:rPr>
          <w:rFonts w:eastAsia="Times New Roman" w:cs="Times New Roman"/>
          <w:b/>
          <w:color w:val="FF0000"/>
          <w:sz w:val="50"/>
          <w:szCs w:val="50"/>
          <w:lang w:eastAsia="pl-PL"/>
        </w:rPr>
        <w:t>0</w:t>
      </w:r>
      <w:r w:rsidR="005859FC" w:rsidRPr="005859FC">
        <w:rPr>
          <w:rFonts w:eastAsia="Times New Roman" w:cs="Times New Roman"/>
          <w:b/>
          <w:color w:val="FF0000"/>
          <w:sz w:val="50"/>
          <w:szCs w:val="50"/>
          <w:lang w:eastAsia="pl-PL"/>
        </w:rPr>
        <w:t xml:space="preserve"> s</w:t>
      </w:r>
      <w:r w:rsidRPr="005859FC">
        <w:rPr>
          <w:rFonts w:eastAsia="Times New Roman" w:cs="Times New Roman"/>
          <w:b/>
          <w:color w:val="FF0000"/>
          <w:sz w:val="50"/>
          <w:szCs w:val="50"/>
          <w:lang w:eastAsia="pl-PL"/>
        </w:rPr>
        <w:t>półek</w:t>
      </w:r>
      <w:r w:rsidRPr="005859FC">
        <w:rPr>
          <w:rFonts w:eastAsia="Times New Roman" w:cs="Times New Roman"/>
          <w:sz w:val="50"/>
          <w:szCs w:val="50"/>
          <w:lang w:eastAsia="pl-PL"/>
        </w:rPr>
        <w:t xml:space="preserve"> od momentu owego zakwalifikowania do tej rubryki do dnia 1</w:t>
      </w:r>
      <w:r w:rsidR="005859FC" w:rsidRPr="005859FC">
        <w:rPr>
          <w:rFonts w:eastAsia="Times New Roman" w:cs="Times New Roman"/>
          <w:sz w:val="50"/>
          <w:szCs w:val="50"/>
          <w:lang w:eastAsia="pl-PL"/>
        </w:rPr>
        <w:t>9</w:t>
      </w:r>
      <w:r w:rsidRPr="005859FC">
        <w:rPr>
          <w:rFonts w:eastAsia="Times New Roman" w:cs="Times New Roman"/>
          <w:sz w:val="50"/>
          <w:szCs w:val="50"/>
          <w:lang w:eastAsia="pl-PL"/>
        </w:rPr>
        <w:t xml:space="preserve"> lutego 2016 roku zachowywały się </w:t>
      </w:r>
      <w:r w:rsidRPr="005859FC">
        <w:rPr>
          <w:rFonts w:eastAsia="Times New Roman" w:cs="Times New Roman"/>
          <w:b/>
          <w:color w:val="FF0000"/>
          <w:sz w:val="50"/>
          <w:szCs w:val="50"/>
          <w:u w:val="single"/>
          <w:lang w:eastAsia="pl-PL"/>
        </w:rPr>
        <w:t>lepiej</w:t>
      </w:r>
      <w:r w:rsidRPr="005859FC">
        <w:rPr>
          <w:rFonts w:eastAsia="Times New Roman" w:cs="Times New Roman"/>
          <w:b/>
          <w:color w:val="FF0000"/>
          <w:sz w:val="50"/>
          <w:szCs w:val="50"/>
          <w:lang w:eastAsia="pl-PL"/>
        </w:rPr>
        <w:t xml:space="preserve"> od indeksu WIG20</w:t>
      </w:r>
      <w:r w:rsidRPr="005859FC">
        <w:rPr>
          <w:rFonts w:eastAsia="Times New Roman" w:cs="Times New Roman"/>
          <w:b/>
          <w:sz w:val="50"/>
          <w:szCs w:val="50"/>
          <w:lang w:eastAsia="pl-PL"/>
        </w:rPr>
        <w:t xml:space="preserve"> a </w:t>
      </w:r>
      <w:r w:rsidR="005859FC" w:rsidRPr="005859FC">
        <w:rPr>
          <w:rFonts w:eastAsia="Times New Roman" w:cs="Times New Roman"/>
          <w:b/>
          <w:sz w:val="50"/>
          <w:szCs w:val="50"/>
          <w:lang w:eastAsia="pl-PL"/>
        </w:rPr>
        <w:t>4</w:t>
      </w:r>
      <w:r w:rsidRPr="005859FC">
        <w:rPr>
          <w:rFonts w:eastAsia="Times New Roman" w:cs="Times New Roman"/>
          <w:b/>
          <w:sz w:val="50"/>
          <w:szCs w:val="50"/>
          <w:lang w:eastAsia="pl-PL"/>
        </w:rPr>
        <w:t xml:space="preserve"> </w:t>
      </w:r>
      <w:r w:rsidRPr="005859FC">
        <w:rPr>
          <w:rFonts w:eastAsia="Times New Roman" w:cs="Times New Roman"/>
          <w:b/>
          <w:sz w:val="50"/>
          <w:szCs w:val="50"/>
          <w:u w:val="single"/>
          <w:lang w:eastAsia="pl-PL"/>
        </w:rPr>
        <w:t xml:space="preserve">gorzej </w:t>
      </w:r>
      <w:r w:rsidRPr="005859FC">
        <w:rPr>
          <w:rFonts w:eastAsia="Times New Roman" w:cs="Times New Roman"/>
          <w:b/>
          <w:sz w:val="50"/>
          <w:szCs w:val="50"/>
          <w:lang w:eastAsia="pl-PL"/>
        </w:rPr>
        <w:t xml:space="preserve">od indeksu WIG20 </w:t>
      </w:r>
    </w:p>
    <w:p w:rsidR="005859FC" w:rsidRPr="005859FC" w:rsidRDefault="005859FC" w:rsidP="004B14BB">
      <w:pPr>
        <w:spacing w:after="0" w:line="240" w:lineRule="auto"/>
        <w:jc w:val="both"/>
        <w:rPr>
          <w:rFonts w:eastAsia="Times New Roman" w:cs="Times New Roman"/>
          <w:b/>
          <w:sz w:val="50"/>
          <w:szCs w:val="50"/>
          <w:lang w:eastAsia="pl-PL"/>
        </w:rPr>
      </w:pPr>
    </w:p>
    <w:p w:rsidR="004B14BB" w:rsidRDefault="004B14BB" w:rsidP="004B14BB">
      <w:pPr>
        <w:spacing w:after="0" w:line="240" w:lineRule="auto"/>
        <w:jc w:val="both"/>
        <w:rPr>
          <w:rFonts w:eastAsia="Times New Roman" w:cs="Times New Roman"/>
          <w:color w:val="FF0000"/>
          <w:sz w:val="66"/>
          <w:szCs w:val="66"/>
          <w:lang w:eastAsia="pl-PL"/>
        </w:rPr>
      </w:pPr>
      <w:proofErr w:type="gramStart"/>
      <w:r>
        <w:rPr>
          <w:rFonts w:eastAsia="Times New Roman" w:cs="Times New Roman"/>
          <w:sz w:val="66"/>
          <w:szCs w:val="66"/>
          <w:lang w:eastAsia="pl-PL"/>
        </w:rPr>
        <w:lastRenderedPageBreak/>
        <w:t xml:space="preserve">Uwaga ! – </w:t>
      </w:r>
      <w:proofErr w:type="gramEnd"/>
      <w:r>
        <w:rPr>
          <w:rFonts w:eastAsia="Times New Roman" w:cs="Times New Roman"/>
          <w:sz w:val="66"/>
          <w:szCs w:val="66"/>
          <w:lang w:eastAsia="pl-PL"/>
        </w:rPr>
        <w:t xml:space="preserve">na poprzedniej stronie przedstawiłem wyniki badań dotyczących zachowania kursów akcji tych spółek, które znalazły się w rubryce </w:t>
      </w:r>
      <w:proofErr w:type="gramStart"/>
      <w:r>
        <w:rPr>
          <w:rFonts w:eastAsia="Times New Roman" w:cs="Times New Roman"/>
          <w:sz w:val="66"/>
          <w:szCs w:val="66"/>
          <w:lang w:eastAsia="pl-PL"/>
        </w:rPr>
        <w:t>,,</w:t>
      </w:r>
      <w:proofErr w:type="gramEnd"/>
      <w:r>
        <w:rPr>
          <w:rFonts w:eastAsia="Times New Roman" w:cs="Times New Roman"/>
          <w:sz w:val="66"/>
          <w:szCs w:val="66"/>
          <w:lang w:eastAsia="pl-PL"/>
        </w:rPr>
        <w:t xml:space="preserve">Wykres do przemyślenia” </w:t>
      </w:r>
      <w:r>
        <w:rPr>
          <w:rFonts w:eastAsia="Times New Roman" w:cs="Times New Roman"/>
          <w:b/>
          <w:color w:val="FF0000"/>
          <w:sz w:val="66"/>
          <w:szCs w:val="66"/>
          <w:u w:val="single"/>
          <w:lang w:eastAsia="pl-PL"/>
        </w:rPr>
        <w:t>na przestrzeni ostatnich 12 miesięcy.</w:t>
      </w:r>
    </w:p>
    <w:p w:rsidR="004B14BB" w:rsidRDefault="004B14BB" w:rsidP="004B14BB">
      <w:pPr>
        <w:spacing w:after="0" w:line="240" w:lineRule="auto"/>
        <w:jc w:val="both"/>
        <w:rPr>
          <w:rFonts w:eastAsia="Times New Roman" w:cs="Times New Roman"/>
          <w:sz w:val="66"/>
          <w:szCs w:val="66"/>
          <w:lang w:eastAsia="pl-PL"/>
        </w:rPr>
      </w:pPr>
    </w:p>
    <w:p w:rsidR="004B14BB" w:rsidRDefault="004B14BB" w:rsidP="004B14BB">
      <w:pPr>
        <w:spacing w:after="0" w:line="240" w:lineRule="auto"/>
        <w:jc w:val="both"/>
        <w:rPr>
          <w:rFonts w:eastAsia="Times New Roman" w:cs="Times New Roman"/>
          <w:sz w:val="66"/>
          <w:szCs w:val="66"/>
          <w:lang w:eastAsia="pl-PL"/>
        </w:rPr>
      </w:pPr>
      <w:r>
        <w:rPr>
          <w:rFonts w:eastAsia="Times New Roman" w:cs="Times New Roman"/>
          <w:sz w:val="66"/>
          <w:szCs w:val="66"/>
          <w:lang w:eastAsia="pl-PL"/>
        </w:rPr>
        <w:t xml:space="preserve">Spółki te będę starał się na prowadzonej przeze mnie stronie </w:t>
      </w:r>
      <w:proofErr w:type="gramStart"/>
      <w:r>
        <w:rPr>
          <w:rFonts w:eastAsia="Times New Roman" w:cs="Times New Roman"/>
          <w:sz w:val="66"/>
          <w:szCs w:val="66"/>
          <w:lang w:eastAsia="pl-PL"/>
        </w:rPr>
        <w:t xml:space="preserve">internetowej  </w:t>
      </w:r>
      <w:hyperlink r:id="rId41" w:history="1">
        <w:proofErr w:type="gramEnd"/>
        <w:r>
          <w:rPr>
            <w:rStyle w:val="Hipercze"/>
            <w:rFonts w:eastAsia="Times New Roman" w:cs="Times New Roman"/>
            <w:sz w:val="66"/>
            <w:szCs w:val="66"/>
            <w:lang w:eastAsia="pl-PL"/>
          </w:rPr>
          <w:t>http://analizy-rynkowe.pl/</w:t>
        </w:r>
      </w:hyperlink>
      <w:r>
        <w:rPr>
          <w:rFonts w:eastAsia="Times New Roman" w:cs="Times New Roman"/>
          <w:sz w:val="66"/>
          <w:szCs w:val="66"/>
          <w:lang w:eastAsia="pl-PL"/>
        </w:rPr>
        <w:t xml:space="preserve"> </w:t>
      </w:r>
      <w:r>
        <w:rPr>
          <w:rFonts w:eastAsia="Times New Roman" w:cs="Times New Roman"/>
          <w:b/>
          <w:color w:val="FF0000"/>
          <w:sz w:val="66"/>
          <w:szCs w:val="66"/>
          <w:u w:val="single"/>
          <w:lang w:eastAsia="pl-PL"/>
        </w:rPr>
        <w:t>otaczać szczególną opieką intelektualną</w:t>
      </w:r>
      <w:r>
        <w:rPr>
          <w:rFonts w:eastAsia="Times New Roman" w:cs="Times New Roman"/>
          <w:color w:val="FF0000"/>
          <w:sz w:val="66"/>
          <w:szCs w:val="66"/>
          <w:lang w:eastAsia="pl-PL"/>
        </w:rPr>
        <w:t xml:space="preserve"> </w:t>
      </w:r>
      <w:r>
        <w:rPr>
          <w:rFonts w:eastAsia="Times New Roman" w:cs="Times New Roman"/>
          <w:sz w:val="66"/>
          <w:szCs w:val="66"/>
          <w:lang w:eastAsia="pl-PL"/>
        </w:rPr>
        <w:t xml:space="preserve">to znaczy analizy publikowane na tej stronie będą w znacznej mierzy dotyczyć właśnie tych spółek. </w:t>
      </w:r>
    </w:p>
    <w:p w:rsidR="004B14BB" w:rsidRDefault="004B14BB" w:rsidP="004B14BB">
      <w:pPr>
        <w:spacing w:after="0" w:line="240" w:lineRule="auto"/>
        <w:jc w:val="both"/>
        <w:rPr>
          <w:rFonts w:eastAsia="Times New Roman" w:cs="Times New Roman"/>
          <w:sz w:val="66"/>
          <w:szCs w:val="66"/>
          <w:lang w:eastAsia="pl-PL"/>
        </w:rPr>
      </w:pPr>
    </w:p>
    <w:p w:rsidR="004B14BB" w:rsidRDefault="004B14BB" w:rsidP="004B14B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Pr>
          <w:rFonts w:eastAsia="Times New Roman" w:cs="Times New Roman"/>
          <w:b/>
          <w:color w:val="FFFFFF" w:themeColor="background1"/>
          <w:sz w:val="104"/>
          <w:szCs w:val="104"/>
          <w:lang w:eastAsia="pl-PL"/>
        </w:rPr>
        <w:lastRenderedPageBreak/>
        <w:t>Generalny wniosek:</w:t>
      </w:r>
    </w:p>
    <w:p w:rsidR="004B14BB" w:rsidRDefault="004B14BB" w:rsidP="004B14B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Pr>
          <w:rFonts w:eastAsia="Times New Roman" w:cs="Times New Roman"/>
          <w:b/>
          <w:color w:val="FFFFFF" w:themeColor="background1"/>
          <w:sz w:val="104"/>
          <w:szCs w:val="104"/>
          <w:lang w:eastAsia="pl-PL"/>
        </w:rPr>
        <w:t xml:space="preserve">kursy akcji spółki po wprowadzeniu jej do rubryki </w:t>
      </w:r>
      <w:proofErr w:type="gramStart"/>
      <w:r>
        <w:rPr>
          <w:rFonts w:eastAsia="Times New Roman" w:cs="Times New Roman"/>
          <w:b/>
          <w:color w:val="FFFFFF" w:themeColor="background1"/>
          <w:sz w:val="104"/>
          <w:szCs w:val="104"/>
          <w:lang w:eastAsia="pl-PL"/>
        </w:rPr>
        <w:t>,,</w:t>
      </w:r>
      <w:proofErr w:type="gramEnd"/>
      <w:r>
        <w:rPr>
          <w:rFonts w:eastAsia="Times New Roman" w:cs="Times New Roman"/>
          <w:b/>
          <w:color w:val="FFFFFF" w:themeColor="background1"/>
          <w:sz w:val="104"/>
          <w:szCs w:val="104"/>
          <w:lang w:eastAsia="pl-PL"/>
        </w:rPr>
        <w:t>Wykres do przemyślenia” zasadniczo rzecz biorąc wykazują relatywną przewagę nad indeksem WIG20</w:t>
      </w:r>
    </w:p>
    <w:p w:rsidR="004B14BB" w:rsidRDefault="004B14BB" w:rsidP="004B14BB">
      <w:pPr>
        <w:rPr>
          <w:rFonts w:eastAsia="Times New Roman" w:cs="Times New Roman"/>
          <w:lang w:eastAsia="pl-PL"/>
        </w:rPr>
      </w:pPr>
    </w:p>
    <w:p w:rsidR="004B14BB" w:rsidRDefault="004B14BB" w:rsidP="004B14BB">
      <w:pPr>
        <w:rPr>
          <w:rFonts w:eastAsia="Times New Roman" w:cs="Times New Roman"/>
          <w:lang w:eastAsia="pl-PL"/>
        </w:rPr>
      </w:pPr>
    </w:p>
    <w:p w:rsidR="004B14BB" w:rsidRDefault="004B14BB" w:rsidP="004B14BB">
      <w:pPr>
        <w:spacing w:after="0" w:line="240" w:lineRule="auto"/>
        <w:jc w:val="both"/>
        <w:rPr>
          <w:rFonts w:eastAsia="Times New Roman" w:cs="Times New Roman"/>
          <w:b/>
          <w:lang w:eastAsia="pl-PL"/>
        </w:rPr>
      </w:pPr>
      <w:r>
        <w:rPr>
          <w:rFonts w:eastAsia="Times New Roman" w:cs="Times New Roman"/>
          <w:b/>
          <w:lang w:eastAsia="pl-PL"/>
        </w:rPr>
        <w:lastRenderedPageBreak/>
        <w:t>Wnioski końcowe</w:t>
      </w:r>
    </w:p>
    <w:p w:rsidR="004B14BB" w:rsidRDefault="004B14BB" w:rsidP="004B14BB">
      <w:pPr>
        <w:spacing w:after="0" w:line="240" w:lineRule="auto"/>
        <w:jc w:val="both"/>
        <w:rPr>
          <w:rFonts w:eastAsia="Times New Roman" w:cs="Times New Roman"/>
          <w:lang w:eastAsia="pl-PL"/>
        </w:rPr>
      </w:pPr>
    </w:p>
    <w:p w:rsidR="004B14BB" w:rsidRDefault="004B14BB" w:rsidP="004B14BB">
      <w:pPr>
        <w:numPr>
          <w:ilvl w:val="0"/>
          <w:numId w:val="2"/>
        </w:numPr>
        <w:spacing w:after="0" w:line="240" w:lineRule="auto"/>
        <w:contextualSpacing/>
        <w:jc w:val="both"/>
        <w:rPr>
          <w:rFonts w:eastAsia="Times New Roman" w:cs="Times New Roman"/>
          <w:b/>
          <w:color w:val="FF0000"/>
          <w:lang w:eastAsia="pl-PL"/>
        </w:rPr>
      </w:pPr>
      <w:r>
        <w:rPr>
          <w:rFonts w:eastAsia="Times New Roman" w:cs="Times New Roman"/>
          <w:color w:val="000000" w:themeColor="text1"/>
          <w:lang w:eastAsia="pl-PL"/>
        </w:rPr>
        <w:t xml:space="preserve">Kurs </w:t>
      </w:r>
      <w:r>
        <w:rPr>
          <w:rFonts w:eastAsia="Times New Roman" w:cs="Times New Roman"/>
          <w:lang w:eastAsia="pl-PL"/>
        </w:rPr>
        <w:t xml:space="preserve">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imes New Roman" w:cs="Times New Roman"/>
          <w:b/>
          <w:color w:val="FF0000"/>
          <w:lang w:eastAsia="pl-PL"/>
        </w:rPr>
        <w:t xml:space="preserve">do 4,4252 zł. </w:t>
      </w:r>
    </w:p>
    <w:p w:rsidR="004B14BB" w:rsidRDefault="004B14BB" w:rsidP="004B14BB">
      <w:pPr>
        <w:spacing w:after="0" w:line="240" w:lineRule="auto"/>
        <w:contextualSpacing/>
        <w:jc w:val="both"/>
        <w:rPr>
          <w:rFonts w:eastAsia="Times New Roman" w:cs="Times New Roman"/>
          <w:b/>
          <w:color w:val="FF0000"/>
          <w:lang w:eastAsia="pl-PL"/>
        </w:rPr>
      </w:pPr>
    </w:p>
    <w:p w:rsidR="004B14BB" w:rsidRDefault="004B14BB" w:rsidP="004B14BB">
      <w:pPr>
        <w:numPr>
          <w:ilvl w:val="0"/>
          <w:numId w:val="2"/>
        </w:numPr>
        <w:spacing w:after="0" w:line="240" w:lineRule="auto"/>
        <w:contextualSpacing/>
        <w:jc w:val="both"/>
        <w:rPr>
          <w:rFonts w:eastAsia="Times New Roman" w:cs="Times New Roman"/>
          <w:color w:val="000000" w:themeColor="text1"/>
          <w:lang w:eastAsia="pl-PL"/>
        </w:rPr>
      </w:pPr>
      <w:r>
        <w:rPr>
          <w:rFonts w:eastAsia="Times New Roman" w:cs="Times New Roman"/>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4,3607 zł. Dojście do oporu (szczyt z 26 grudnia 2014 roku) może osłabiło kursu euro (w złotych). W piątek 15 stycznia popyt zaatakował. Przebite zostało roczne maksimum. Można oczekiwać wzrostu w kierunku </w:t>
      </w:r>
      <w:r>
        <w:rPr>
          <w:rFonts w:eastAsia="Times New Roman" w:cs="Times New Roman"/>
          <w:b/>
          <w:color w:val="FF0000"/>
          <w:lang w:eastAsia="pl-PL"/>
        </w:rPr>
        <w:t>4,5644</w:t>
      </w:r>
      <w:r>
        <w:rPr>
          <w:rFonts w:eastAsia="Times New Roman" w:cs="Times New Roman"/>
          <w:color w:val="FF0000"/>
          <w:lang w:eastAsia="pl-PL"/>
        </w:rPr>
        <w:t xml:space="preserve"> </w:t>
      </w:r>
      <w:r>
        <w:rPr>
          <w:rFonts w:eastAsia="Times New Roman" w:cs="Times New Roman"/>
          <w:lang w:eastAsia="pl-PL"/>
        </w:rPr>
        <w:t>(szczyt z 13 grudnia 2011 roku).</w:t>
      </w:r>
    </w:p>
    <w:p w:rsidR="004B14BB" w:rsidRDefault="004B14BB" w:rsidP="004B14BB">
      <w:pPr>
        <w:spacing w:after="0" w:line="240" w:lineRule="auto"/>
        <w:contextualSpacing/>
        <w:jc w:val="both"/>
        <w:rPr>
          <w:rFonts w:eastAsia="Times New Roman" w:cs="Times New Roman"/>
          <w:color w:val="000000" w:themeColor="text1"/>
          <w:lang w:eastAsia="pl-PL"/>
        </w:rPr>
      </w:pPr>
    </w:p>
    <w:p w:rsidR="007B6F0F" w:rsidRPr="007B6F0F" w:rsidRDefault="007B6F0F" w:rsidP="007B6F0F">
      <w:pPr>
        <w:numPr>
          <w:ilvl w:val="0"/>
          <w:numId w:val="2"/>
        </w:numPr>
        <w:spacing w:after="0" w:line="240" w:lineRule="auto"/>
        <w:contextualSpacing/>
        <w:jc w:val="both"/>
        <w:rPr>
          <w:rFonts w:eastAsia="Times New Roman" w:cs="Times New Roman"/>
          <w:b/>
          <w:color w:val="FF0000"/>
          <w:lang w:eastAsia="pl-PL"/>
        </w:rPr>
      </w:pPr>
      <w:r w:rsidRPr="007B6F0F">
        <w:rPr>
          <w:rFonts w:eastAsia="Times New Roman" w:cs="Times New Roman"/>
          <w:color w:val="000000" w:themeColor="text1"/>
          <w:lang w:eastAsia="pl-PL"/>
        </w:rPr>
        <w:t xml:space="preserve">16 grudnia 2015 roku amerykański bank centralny podwyższył stopy procentowe po raz pierwszy od 2006 roku. Tym samy rozpoczęła się faza zaostrzania polityki pieniężnej w USA. Skutkiem tej decyzji może być zmniejszanie skłonności do podejmowania ryzyka przez uczestników życia gospodarczego na całym świecie. Na wykresie </w:t>
      </w:r>
      <w:r>
        <w:rPr>
          <w:rFonts w:eastAsia="Times New Roman" w:cs="Times New Roman"/>
          <w:color w:val="000000" w:themeColor="text1"/>
          <w:lang w:eastAsia="pl-PL"/>
        </w:rPr>
        <w:t xml:space="preserve">indeksu ogólnoświatowego </w:t>
      </w:r>
      <w:r w:rsidRPr="007B6F0F">
        <w:rPr>
          <w:rFonts w:eastAsia="Times New Roman" w:cs="Times New Roman"/>
          <w:color w:val="000000" w:themeColor="text1"/>
          <w:lang w:eastAsia="pl-PL"/>
        </w:rPr>
        <w:t>doszło do wybicia z formacji nietypowego podwójnego szczytu, co stwarza ryzyko spadków. Gdyby formacja podwójnego szczytu miała się wypełnić powinno dojść do zniżek tego indeksu o 9,0 %.</w:t>
      </w:r>
      <w:r>
        <w:rPr>
          <w:rFonts w:eastAsia="Times New Roman" w:cs="Times New Roman"/>
          <w:color w:val="000000" w:themeColor="text1"/>
          <w:lang w:eastAsia="pl-PL"/>
        </w:rPr>
        <w:t xml:space="preserve"> Stwarza to ryzyko spadków indeksu WIG20. </w:t>
      </w:r>
    </w:p>
    <w:p w:rsidR="004B14BB" w:rsidRDefault="007B6F0F" w:rsidP="007B6F0F">
      <w:pPr>
        <w:spacing w:after="0" w:line="240" w:lineRule="auto"/>
        <w:ind w:left="720"/>
        <w:contextualSpacing/>
        <w:jc w:val="both"/>
        <w:rPr>
          <w:rFonts w:eastAsia="Times New Roman" w:cs="Times New Roman"/>
          <w:b/>
          <w:color w:val="FF0000"/>
          <w:lang w:eastAsia="pl-PL"/>
        </w:rPr>
      </w:pPr>
      <w:r>
        <w:rPr>
          <w:rFonts w:eastAsia="Times New Roman" w:cs="Times New Roman"/>
          <w:b/>
          <w:color w:val="FF0000"/>
          <w:lang w:eastAsia="pl-PL"/>
        </w:rPr>
        <w:t xml:space="preserve"> </w:t>
      </w:r>
    </w:p>
    <w:p w:rsidR="004B14BB" w:rsidRPr="007B6F0F" w:rsidRDefault="007B6F0F" w:rsidP="004B14BB">
      <w:pPr>
        <w:pStyle w:val="Akapitzlist"/>
        <w:numPr>
          <w:ilvl w:val="0"/>
          <w:numId w:val="2"/>
        </w:numPr>
        <w:spacing w:after="0" w:line="240" w:lineRule="auto"/>
        <w:jc w:val="both"/>
        <w:rPr>
          <w:lang w:eastAsia="pl-PL"/>
        </w:rPr>
      </w:pPr>
      <w:r w:rsidRPr="007B6F0F">
        <w:rPr>
          <w:color w:val="000000" w:themeColor="text1"/>
          <w:lang w:eastAsia="pl-PL"/>
        </w:rPr>
        <w:t xml:space="preserve">Warto zauważyć, że gdyby nawet doszło do dalszych spadków indeksu ogólnoświatowego to prawie na pewno </w:t>
      </w:r>
      <w:proofErr w:type="gramStart"/>
      <w:r w:rsidRPr="007B6F0F">
        <w:rPr>
          <w:color w:val="000000" w:themeColor="text1"/>
          <w:lang w:eastAsia="pl-PL"/>
        </w:rPr>
        <w:t>znalazła by</w:t>
      </w:r>
      <w:proofErr w:type="gramEnd"/>
      <w:r w:rsidRPr="007B6F0F">
        <w:rPr>
          <w:color w:val="000000" w:themeColor="text1"/>
          <w:lang w:eastAsia="pl-PL"/>
        </w:rPr>
        <w:t xml:space="preserve"> się grupa takich spółek lub mówiąc bardziej ogólnie takich polskich indeksów branżowych, które zachowały by się stosunkowo mocno. Teraz ważne </w:t>
      </w:r>
      <w:proofErr w:type="gramStart"/>
      <w:r w:rsidRPr="007B6F0F">
        <w:rPr>
          <w:color w:val="000000" w:themeColor="text1"/>
          <w:lang w:eastAsia="pl-PL"/>
        </w:rPr>
        <w:t>pytanie: które</w:t>
      </w:r>
      <w:proofErr w:type="gramEnd"/>
      <w:r w:rsidRPr="007B6F0F">
        <w:rPr>
          <w:color w:val="000000" w:themeColor="text1"/>
          <w:lang w:eastAsia="pl-PL"/>
        </w:rPr>
        <w:t xml:space="preserve"> indeksy branżowe obliczane przez portal </w:t>
      </w:r>
      <w:hyperlink r:id="rId42" w:history="1">
        <w:r w:rsidRPr="00851FFF">
          <w:rPr>
            <w:rStyle w:val="Hipercze"/>
            <w:lang w:eastAsia="pl-PL"/>
          </w:rPr>
          <w:t>http://stooq.</w:t>
        </w:r>
        <w:proofErr w:type="gramStart"/>
        <w:r w:rsidRPr="00851FFF">
          <w:rPr>
            <w:rStyle w:val="Hipercze"/>
            <w:lang w:eastAsia="pl-PL"/>
          </w:rPr>
          <w:t>pl/</w:t>
        </w:r>
      </w:hyperlink>
      <w:r w:rsidRPr="007B6F0F">
        <w:rPr>
          <w:color w:val="000000" w:themeColor="text1"/>
          <w:lang w:eastAsia="pl-PL"/>
        </w:rPr>
        <w:t xml:space="preserve">  były</w:t>
      </w:r>
      <w:proofErr w:type="gramEnd"/>
      <w:r w:rsidRPr="007B6F0F">
        <w:rPr>
          <w:color w:val="000000" w:themeColor="text1"/>
          <w:lang w:eastAsia="pl-PL"/>
        </w:rPr>
        <w:t xml:space="preserve"> na tyle mocne, że w okresie od początku grudnia 2015 roku do 19 lutego 2016 roku </w:t>
      </w:r>
      <w:r w:rsidRPr="00D04DB7">
        <w:rPr>
          <w:b/>
          <w:color w:val="000000" w:themeColor="text1"/>
          <w:lang w:eastAsia="pl-PL"/>
        </w:rPr>
        <w:t>były w stanie przebić swe 52-tygodniowe maksima ? Otóż były to 4 indeksy</w:t>
      </w:r>
      <w:r w:rsidRPr="007B6F0F">
        <w:rPr>
          <w:color w:val="000000" w:themeColor="text1"/>
          <w:lang w:eastAsia="pl-PL"/>
        </w:rPr>
        <w:t xml:space="preserve">: Indeks branży drzewnej, Indeks branży konglomeratów, Indeks branży medialnej, Indeks branży motoryzacyjnej. Warto przypomnieć sobie, które spółki wchodzące w skład tych 4 indeksów znalazły się dotychczas w rubryce </w:t>
      </w:r>
      <w:proofErr w:type="gramStart"/>
      <w:r w:rsidRPr="007B6F0F">
        <w:rPr>
          <w:color w:val="000000" w:themeColor="text1"/>
          <w:lang w:eastAsia="pl-PL"/>
        </w:rPr>
        <w:t>,,</w:t>
      </w:r>
      <w:proofErr w:type="gramEnd"/>
      <w:r w:rsidRPr="007B6F0F">
        <w:rPr>
          <w:color w:val="000000" w:themeColor="text1"/>
          <w:lang w:eastAsia="pl-PL"/>
        </w:rPr>
        <w:t xml:space="preserve">Wykres do przemyślenia” ? Otóż były to: </w:t>
      </w:r>
      <w:r w:rsidRPr="007B6F0F">
        <w:rPr>
          <w:b/>
          <w:color w:val="FF0000"/>
          <w:lang w:eastAsia="pl-PL"/>
        </w:rPr>
        <w:t xml:space="preserve">Dębica </w:t>
      </w:r>
      <w:r w:rsidRPr="007B6F0F">
        <w:rPr>
          <w:color w:val="000000" w:themeColor="text1"/>
          <w:lang w:eastAsia="pl-PL"/>
        </w:rPr>
        <w:t xml:space="preserve">(indeks branży motoryzacyjnej), </w:t>
      </w:r>
      <w:proofErr w:type="spellStart"/>
      <w:r w:rsidRPr="007B6F0F">
        <w:rPr>
          <w:b/>
          <w:color w:val="FF0000"/>
          <w:lang w:eastAsia="pl-PL"/>
        </w:rPr>
        <w:t>Immobile</w:t>
      </w:r>
      <w:proofErr w:type="spellEnd"/>
      <w:r w:rsidRPr="007B6F0F">
        <w:rPr>
          <w:b/>
          <w:color w:val="FF0000"/>
          <w:lang w:eastAsia="pl-PL"/>
        </w:rPr>
        <w:t xml:space="preserve"> </w:t>
      </w:r>
      <w:r w:rsidRPr="007B6F0F">
        <w:rPr>
          <w:color w:val="000000" w:themeColor="text1"/>
          <w:lang w:eastAsia="pl-PL"/>
        </w:rPr>
        <w:t xml:space="preserve">(konglomeraty, </w:t>
      </w:r>
      <w:r w:rsidRPr="007B6F0F">
        <w:rPr>
          <w:b/>
          <w:color w:val="FF0000"/>
          <w:lang w:eastAsia="pl-PL"/>
        </w:rPr>
        <w:t>Agora, Cyfrowy Polsat, Muza</w:t>
      </w:r>
      <w:r w:rsidRPr="007B6F0F">
        <w:rPr>
          <w:color w:val="FF0000"/>
          <w:lang w:eastAsia="pl-PL"/>
        </w:rPr>
        <w:t xml:space="preserve"> </w:t>
      </w:r>
      <w:r w:rsidRPr="007B6F0F">
        <w:rPr>
          <w:color w:val="000000" w:themeColor="text1"/>
          <w:lang w:eastAsia="pl-PL"/>
        </w:rPr>
        <w:t xml:space="preserve">(indeks branży medialnej). </w:t>
      </w:r>
    </w:p>
    <w:p w:rsidR="007B6F0F" w:rsidRPr="007B6F0F" w:rsidRDefault="007B6F0F" w:rsidP="007B6F0F">
      <w:pPr>
        <w:pStyle w:val="Akapitzlist"/>
        <w:spacing w:after="0" w:line="240" w:lineRule="auto"/>
        <w:jc w:val="both"/>
        <w:rPr>
          <w:lang w:eastAsia="pl-PL"/>
        </w:rPr>
      </w:pPr>
    </w:p>
    <w:p w:rsidR="004B14BB" w:rsidRDefault="004B14BB" w:rsidP="004B14BB">
      <w:pPr>
        <w:spacing w:after="0" w:line="240" w:lineRule="auto"/>
        <w:jc w:val="both"/>
        <w:rPr>
          <w:rFonts w:eastAsia="Times New Roman" w:cs="Times New Roman"/>
          <w:lang w:eastAsia="pl-PL"/>
        </w:rPr>
      </w:pPr>
      <w:r>
        <w:rPr>
          <w:rFonts w:eastAsia="Times New Roman" w:cs="Times New Roman"/>
          <w:lang w:eastAsia="pl-PL"/>
        </w:rPr>
        <w:t xml:space="preserve">Opracował: Sławomir Kłusek, </w:t>
      </w:r>
      <w:r w:rsidR="00D04DB7">
        <w:rPr>
          <w:rFonts w:eastAsia="Times New Roman" w:cs="Times New Roman"/>
          <w:lang w:eastAsia="pl-PL"/>
        </w:rPr>
        <w:t>22</w:t>
      </w:r>
      <w:r>
        <w:rPr>
          <w:rFonts w:eastAsia="Times New Roman" w:cs="Times New Roman"/>
          <w:lang w:eastAsia="pl-PL"/>
        </w:rPr>
        <w:t xml:space="preserve"> lutego 2016 roku</w:t>
      </w:r>
    </w:p>
    <w:p w:rsidR="004B14BB" w:rsidRDefault="004B14BB" w:rsidP="004B14BB">
      <w:pPr>
        <w:spacing w:after="0" w:line="240" w:lineRule="auto"/>
        <w:jc w:val="both"/>
        <w:rPr>
          <w:rFonts w:eastAsia="Times New Roman" w:cs="Times New Roman"/>
          <w:lang w:eastAsia="pl-PL"/>
        </w:rPr>
      </w:pPr>
    </w:p>
    <w:p w:rsidR="004B14BB" w:rsidRDefault="004B14BB" w:rsidP="004B14BB">
      <w:pPr>
        <w:spacing w:after="0" w:line="240" w:lineRule="auto"/>
        <w:jc w:val="both"/>
        <w:rPr>
          <w:rFonts w:eastAsia="Times New Roman" w:cs="Times New Roman"/>
          <w:lang w:eastAsia="pl-PL"/>
        </w:rPr>
      </w:pPr>
      <w:r>
        <w:rPr>
          <w:rFonts w:eastAsia="Times New Roman" w:cs="Times New Roman"/>
          <w:lang w:eastAsia="pl-PL"/>
        </w:rPr>
        <w:t xml:space="preserve">Powyższy raport stanowi wyłącznie wyraz osobistych opinii autora. </w:t>
      </w:r>
    </w:p>
    <w:p w:rsidR="004B14BB" w:rsidRDefault="004B14BB" w:rsidP="004B14BB">
      <w:pPr>
        <w:spacing w:after="0" w:line="240" w:lineRule="auto"/>
        <w:jc w:val="both"/>
        <w:rPr>
          <w:rFonts w:eastAsia="Times New Roman" w:cs="Times New Roman"/>
          <w:lang w:eastAsia="pl-PL"/>
        </w:rPr>
      </w:pPr>
    </w:p>
    <w:p w:rsidR="004B14BB" w:rsidRDefault="004B14BB" w:rsidP="004B14BB">
      <w:pPr>
        <w:spacing w:after="0" w:line="240" w:lineRule="auto"/>
        <w:jc w:val="both"/>
        <w:rPr>
          <w:rFonts w:eastAsia="Times New Roman" w:cs="Times New Roman"/>
          <w:lang w:eastAsia="pl-PL"/>
        </w:rPr>
      </w:pPr>
      <w:r>
        <w:rPr>
          <w:rFonts w:eastAsia="Times New Roman" w:cs="Times New Roman"/>
          <w:lang w:eastAsia="pl-PL"/>
        </w:rPr>
        <w:t xml:space="preserve">Treści zawarte na stronie internetowej </w:t>
      </w:r>
      <w:hyperlink r:id="rId43" w:history="1">
        <w:r>
          <w:rPr>
            <w:rStyle w:val="Hipercze"/>
            <w:rFonts w:eastAsia="Times New Roman" w:cs="Times New Roman"/>
            <w:lang w:eastAsia="pl-PL"/>
          </w:rPr>
          <w:t>www.analizy-rynkowe.pl</w:t>
        </w:r>
      </w:hyperlink>
      <w:r>
        <w:rPr>
          <w:rFonts w:eastAsia="Times New Roman" w:cs="Times New Roman"/>
          <w:lang w:eastAsia="pl-PL"/>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Pr>
          <w:rFonts w:eastAsia="Times New Roman" w:cs="Times New Roman"/>
          <w:lang w:eastAsia="pl-PL"/>
        </w:rPr>
        <w:t>Dz.U</w:t>
      </w:r>
      <w:proofErr w:type="spellEnd"/>
      <w:r>
        <w:rPr>
          <w:rFonts w:eastAsia="Times New Roman" w:cs="Times New Roman"/>
          <w:lang w:eastAsia="pl-PL"/>
        </w:rPr>
        <w:t xml:space="preserve">. </w:t>
      </w:r>
      <w:proofErr w:type="gramStart"/>
      <w:r>
        <w:rPr>
          <w:rFonts w:eastAsia="Times New Roman" w:cs="Times New Roman"/>
          <w:lang w:eastAsia="pl-PL"/>
        </w:rPr>
        <w:t>z</w:t>
      </w:r>
      <w:proofErr w:type="gramEnd"/>
      <w:r>
        <w:rPr>
          <w:rFonts w:eastAsia="Times New Roman" w:cs="Times New Roman"/>
          <w:lang w:eastAsia="pl-PL"/>
        </w:rPr>
        <w:t xml:space="preserve"> 2005 r. Nr 206, poz. 1715).</w:t>
      </w:r>
    </w:p>
    <w:p w:rsidR="004B14BB" w:rsidRDefault="004B14BB" w:rsidP="004B14BB">
      <w:pPr>
        <w:spacing w:after="0" w:line="240" w:lineRule="auto"/>
        <w:jc w:val="both"/>
        <w:rPr>
          <w:rFonts w:eastAsia="Times New Roman" w:cs="Times New Roman"/>
          <w:lang w:eastAsia="pl-PL"/>
        </w:rPr>
      </w:pPr>
    </w:p>
    <w:p w:rsidR="004B14BB" w:rsidRDefault="004B14BB" w:rsidP="004B14BB">
      <w:pPr>
        <w:spacing w:after="0" w:line="240" w:lineRule="auto"/>
        <w:jc w:val="both"/>
        <w:rPr>
          <w:color w:val="0000FF" w:themeColor="hyperlink"/>
          <w:u w:val="single"/>
        </w:rPr>
      </w:pPr>
      <w:r>
        <w:rPr>
          <w:rFonts w:eastAsia="Times New Roman" w:cs="Times New Roman"/>
          <w:lang w:eastAsia="pl-PL"/>
        </w:rPr>
        <w:t xml:space="preserve">Autor nie ponosi odpowiedzialności za jakiekolwiek decyzje inwestycyjne podjęte na podstawie treści zawartych na stronie internetowej </w:t>
      </w:r>
      <w:hyperlink r:id="rId44" w:history="1">
        <w:r>
          <w:rPr>
            <w:rStyle w:val="Hipercze"/>
            <w:rFonts w:eastAsia="Times New Roman" w:cs="Times New Roman"/>
            <w:lang w:eastAsia="pl-PL"/>
          </w:rPr>
          <w:t>www.analizy-rynkowe.pl</w:t>
        </w:r>
      </w:hyperlink>
    </w:p>
    <w:sectPr w:rsidR="004B1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BB"/>
    <w:rsid w:val="00091492"/>
    <w:rsid w:val="001705D4"/>
    <w:rsid w:val="003F1D99"/>
    <w:rsid w:val="004B14BB"/>
    <w:rsid w:val="005859FC"/>
    <w:rsid w:val="00621C96"/>
    <w:rsid w:val="007430F6"/>
    <w:rsid w:val="007B6F0F"/>
    <w:rsid w:val="008059CF"/>
    <w:rsid w:val="00805EE1"/>
    <w:rsid w:val="00926FAB"/>
    <w:rsid w:val="009D3AD3"/>
    <w:rsid w:val="009F675F"/>
    <w:rsid w:val="00CE58E2"/>
    <w:rsid w:val="00D04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4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14BB"/>
    <w:rPr>
      <w:color w:val="0000FF" w:themeColor="hyperlink"/>
      <w:u w:val="single"/>
    </w:rPr>
  </w:style>
  <w:style w:type="paragraph" w:styleId="Tekstprzypisukocowego">
    <w:name w:val="endnote text"/>
    <w:basedOn w:val="Normalny"/>
    <w:link w:val="TekstprzypisukocowegoZnak"/>
    <w:uiPriority w:val="99"/>
    <w:semiHidden/>
    <w:unhideWhenUsed/>
    <w:rsid w:val="004B14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14BB"/>
    <w:rPr>
      <w:sz w:val="20"/>
      <w:szCs w:val="20"/>
    </w:rPr>
  </w:style>
  <w:style w:type="paragraph" w:styleId="Tekstdymka">
    <w:name w:val="Balloon Text"/>
    <w:basedOn w:val="Normalny"/>
    <w:link w:val="TekstdymkaZnak"/>
    <w:uiPriority w:val="99"/>
    <w:semiHidden/>
    <w:unhideWhenUsed/>
    <w:rsid w:val="004B14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4BB"/>
    <w:rPr>
      <w:rFonts w:ascii="Tahoma" w:hAnsi="Tahoma" w:cs="Tahoma"/>
      <w:sz w:val="16"/>
      <w:szCs w:val="16"/>
    </w:rPr>
  </w:style>
  <w:style w:type="paragraph" w:styleId="Bezodstpw">
    <w:name w:val="No Spacing"/>
    <w:uiPriority w:val="1"/>
    <w:qFormat/>
    <w:rsid w:val="004B14BB"/>
    <w:pPr>
      <w:spacing w:after="0" w:line="240" w:lineRule="auto"/>
    </w:pPr>
  </w:style>
  <w:style w:type="paragraph" w:styleId="Akapitzlist">
    <w:name w:val="List Paragraph"/>
    <w:basedOn w:val="Normalny"/>
    <w:uiPriority w:val="34"/>
    <w:qFormat/>
    <w:rsid w:val="004B14BB"/>
    <w:pPr>
      <w:ind w:left="720"/>
      <w:contextualSpacing/>
    </w:pPr>
    <w:rPr>
      <w:rFonts w:eastAsia="Times New Roman" w:cs="Times New Roman"/>
    </w:rPr>
  </w:style>
  <w:style w:type="character" w:styleId="Odwoanieprzypisukocowego">
    <w:name w:val="endnote reference"/>
    <w:basedOn w:val="Domylnaczcionkaakapitu"/>
    <w:uiPriority w:val="99"/>
    <w:semiHidden/>
    <w:unhideWhenUsed/>
    <w:rsid w:val="004B14BB"/>
    <w:rPr>
      <w:vertAlign w:val="superscript"/>
    </w:rPr>
  </w:style>
  <w:style w:type="table" w:styleId="Tabela-Siatka">
    <w:name w:val="Table Grid"/>
    <w:basedOn w:val="Standardowy"/>
    <w:uiPriority w:val="59"/>
    <w:rsid w:val="004B1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4B14B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4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14BB"/>
    <w:rPr>
      <w:color w:val="0000FF" w:themeColor="hyperlink"/>
      <w:u w:val="single"/>
    </w:rPr>
  </w:style>
  <w:style w:type="paragraph" w:styleId="Tekstprzypisukocowego">
    <w:name w:val="endnote text"/>
    <w:basedOn w:val="Normalny"/>
    <w:link w:val="TekstprzypisukocowegoZnak"/>
    <w:uiPriority w:val="99"/>
    <w:semiHidden/>
    <w:unhideWhenUsed/>
    <w:rsid w:val="004B14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14BB"/>
    <w:rPr>
      <w:sz w:val="20"/>
      <w:szCs w:val="20"/>
    </w:rPr>
  </w:style>
  <w:style w:type="paragraph" w:styleId="Tekstdymka">
    <w:name w:val="Balloon Text"/>
    <w:basedOn w:val="Normalny"/>
    <w:link w:val="TekstdymkaZnak"/>
    <w:uiPriority w:val="99"/>
    <w:semiHidden/>
    <w:unhideWhenUsed/>
    <w:rsid w:val="004B14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4BB"/>
    <w:rPr>
      <w:rFonts w:ascii="Tahoma" w:hAnsi="Tahoma" w:cs="Tahoma"/>
      <w:sz w:val="16"/>
      <w:szCs w:val="16"/>
    </w:rPr>
  </w:style>
  <w:style w:type="paragraph" w:styleId="Bezodstpw">
    <w:name w:val="No Spacing"/>
    <w:uiPriority w:val="1"/>
    <w:qFormat/>
    <w:rsid w:val="004B14BB"/>
    <w:pPr>
      <w:spacing w:after="0" w:line="240" w:lineRule="auto"/>
    </w:pPr>
  </w:style>
  <w:style w:type="paragraph" w:styleId="Akapitzlist">
    <w:name w:val="List Paragraph"/>
    <w:basedOn w:val="Normalny"/>
    <w:uiPriority w:val="34"/>
    <w:qFormat/>
    <w:rsid w:val="004B14BB"/>
    <w:pPr>
      <w:ind w:left="720"/>
      <w:contextualSpacing/>
    </w:pPr>
    <w:rPr>
      <w:rFonts w:eastAsia="Times New Roman" w:cs="Times New Roman"/>
    </w:rPr>
  </w:style>
  <w:style w:type="character" w:styleId="Odwoanieprzypisukocowego">
    <w:name w:val="endnote reference"/>
    <w:basedOn w:val="Domylnaczcionkaakapitu"/>
    <w:uiPriority w:val="99"/>
    <w:semiHidden/>
    <w:unhideWhenUsed/>
    <w:rsid w:val="004B14BB"/>
    <w:rPr>
      <w:vertAlign w:val="superscript"/>
    </w:rPr>
  </w:style>
  <w:style w:type="table" w:styleId="Tabela-Siatka">
    <w:name w:val="Table Grid"/>
    <w:basedOn w:val="Standardowy"/>
    <w:uiPriority w:val="59"/>
    <w:rsid w:val="004B1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4B14B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analizy-rynkowe.pl/" TargetMode="External"/><Relationship Id="rId18" Type="http://schemas.openxmlformats.org/officeDocument/2006/relationships/hyperlink" Target="http://www.analizy-rynkowe.pl" TargetMode="External"/><Relationship Id="rId26" Type="http://schemas.openxmlformats.org/officeDocument/2006/relationships/hyperlink" Target="http://analizy-rynkowe.pl/" TargetMode="External"/><Relationship Id="rId39" Type="http://schemas.openxmlformats.org/officeDocument/2006/relationships/hyperlink" Target="http://analizy-rynkowe.pl/" TargetMode="External"/><Relationship Id="rId3" Type="http://schemas.microsoft.com/office/2007/relationships/stylesWithEffects" Target="stylesWithEffects.xml"/><Relationship Id="rId21" Type="http://schemas.openxmlformats.org/officeDocument/2006/relationships/hyperlink" Target="http://www.analizy-rynkowe.pl" TargetMode="External"/><Relationship Id="rId34" Type="http://schemas.openxmlformats.org/officeDocument/2006/relationships/hyperlink" Target="http://www.analizy-rynkowe.pl" TargetMode="External"/><Relationship Id="rId42" Type="http://schemas.openxmlformats.org/officeDocument/2006/relationships/hyperlink" Target="http://stooq.pl/" TargetMode="External"/><Relationship Id="rId7" Type="http://schemas.openxmlformats.org/officeDocument/2006/relationships/image" Target="media/image2.gif"/><Relationship Id="rId12" Type="http://schemas.openxmlformats.org/officeDocument/2006/relationships/hyperlink" Target="http://stooq.pl/" TargetMode="External"/><Relationship Id="rId17" Type="http://schemas.openxmlformats.org/officeDocument/2006/relationships/hyperlink" Target="http://www.analizy-rynkowe.pl" TargetMode="External"/><Relationship Id="rId25" Type="http://schemas.openxmlformats.org/officeDocument/2006/relationships/hyperlink" Target="http://www.analizy-rynkowe.pl" TargetMode="External"/><Relationship Id="rId33" Type="http://schemas.openxmlformats.org/officeDocument/2006/relationships/hyperlink" Target="http://www.analizy-rynkowe.pl" TargetMode="External"/><Relationship Id="rId38" Type="http://schemas.openxmlformats.org/officeDocument/2006/relationships/hyperlink" Target="http://www.analizy-rynkowe.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29" Type="http://schemas.openxmlformats.org/officeDocument/2006/relationships/hyperlink" Target="http://www.analizy-rynkowe.pl" TargetMode="External"/><Relationship Id="rId41" Type="http://schemas.openxmlformats.org/officeDocument/2006/relationships/hyperlink" Target="http://analizy-rynkowe.p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hyperlink" Target="http://www.analizy-rynkowe.pl" TargetMode="External"/><Relationship Id="rId32" Type="http://schemas.openxmlformats.org/officeDocument/2006/relationships/hyperlink" Target="http://www.analizy-rynkowe.pl" TargetMode="External"/><Relationship Id="rId37" Type="http://schemas.openxmlformats.org/officeDocument/2006/relationships/hyperlink" Target="http://www.analizy-rynkowe.pl" TargetMode="External"/><Relationship Id="rId40" Type="http://schemas.openxmlformats.org/officeDocument/2006/relationships/hyperlink" Target="http://www.analizy-rynkowe.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alizy-rynkowe.pl" TargetMode="External"/><Relationship Id="rId23" Type="http://schemas.openxmlformats.org/officeDocument/2006/relationships/hyperlink" Target="http://www.analizy-rynkowe.pl" TargetMode="External"/><Relationship Id="rId28" Type="http://schemas.openxmlformats.org/officeDocument/2006/relationships/hyperlink" Target="http://www.analizy-rynkowe.pl" TargetMode="External"/><Relationship Id="rId36" Type="http://schemas.openxmlformats.org/officeDocument/2006/relationships/hyperlink" Target="http://www.analizy-rynkowe.pl" TargetMode="External"/><Relationship Id="rId10" Type="http://schemas.openxmlformats.org/officeDocument/2006/relationships/image" Target="media/image5.gif"/><Relationship Id="rId19" Type="http://schemas.openxmlformats.org/officeDocument/2006/relationships/hyperlink" Target="http://www.analizy-rynkowe.pl" TargetMode="External"/><Relationship Id="rId31" Type="http://schemas.openxmlformats.org/officeDocument/2006/relationships/hyperlink" Target="http://www.analizy-rynkowe.pl" TargetMode="External"/><Relationship Id="rId44" Type="http://schemas.openxmlformats.org/officeDocument/2006/relationships/hyperlink" Target="http://www.analizy-rynkowe.pl"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analizy-rynkowe.pl" TargetMode="External"/><Relationship Id="rId22" Type="http://schemas.openxmlformats.org/officeDocument/2006/relationships/hyperlink" Target="http://www.analizy-rynkowe.pl" TargetMode="External"/><Relationship Id="rId27" Type="http://schemas.openxmlformats.org/officeDocument/2006/relationships/hyperlink" Target="http://www.analizy-rynkowe.pl" TargetMode="External"/><Relationship Id="rId30" Type="http://schemas.openxmlformats.org/officeDocument/2006/relationships/hyperlink" Target="http://www.analizy-rynkowe.pl" TargetMode="External"/><Relationship Id="rId35" Type="http://schemas.openxmlformats.org/officeDocument/2006/relationships/hyperlink" Target="http://www.analizy-rynkowe.pl" TargetMode="External"/><Relationship Id="rId43"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4448</Words>
  <Characters>26688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3</cp:revision>
  <cp:lastPrinted>2016-02-21T06:07:00Z</cp:lastPrinted>
  <dcterms:created xsi:type="dcterms:W3CDTF">2016-02-21T06:07:00Z</dcterms:created>
  <dcterms:modified xsi:type="dcterms:W3CDTF">2016-02-21T06:12:00Z</dcterms:modified>
</cp:coreProperties>
</file>