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82" w:rsidRDefault="004E0982" w:rsidP="004E0982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4E0982" w:rsidRDefault="004E0982" w:rsidP="004E0982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0982" w:rsidRDefault="004E0982" w:rsidP="004E0982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4E0982" w:rsidRDefault="004E0982" w:rsidP="004E09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0982" w:rsidRDefault="004E0982" w:rsidP="004E09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0982" w:rsidRDefault="004E0982" w:rsidP="004E098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25 stycznia 2016 roku</w:t>
      </w:r>
    </w:p>
    <w:p w:rsidR="004E0982" w:rsidRDefault="004E0982" w:rsidP="004E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22 stycznia 2016 roku = 4,1299</w:t>
      </w:r>
    </w:p>
    <w:p w:rsidR="004E0982" w:rsidRDefault="004E0982" w:rsidP="004E0982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4E0982" w:rsidRDefault="004E0982" w:rsidP="004E0982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05304E1B" wp14:editId="293105C7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982" w:rsidRDefault="004E0982" w:rsidP="004E0982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4E0982" w:rsidRDefault="004E0982" w:rsidP="004E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22 stycznia 2016 roku = 4,4593</w:t>
      </w:r>
    </w:p>
    <w:p w:rsidR="004E0982" w:rsidRDefault="004E0982" w:rsidP="004E0982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4E0982" w:rsidRDefault="004E0982" w:rsidP="004E0982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58B75DF6" wp14:editId="0D9C88D4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D68" w:rsidRDefault="004E0982" w:rsidP="004E0982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211499" w:rsidRPr="00837E88" w:rsidRDefault="00211499" w:rsidP="002114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6"/>
          <w:szCs w:val="26"/>
        </w:rPr>
      </w:pPr>
      <w:r w:rsidRPr="00837E88">
        <w:rPr>
          <w:b/>
          <w:sz w:val="26"/>
          <w:szCs w:val="26"/>
        </w:rPr>
        <w:lastRenderedPageBreak/>
        <w:t>Szansa na odwrócenie trendu spadkowego</w:t>
      </w:r>
    </w:p>
    <w:p w:rsidR="00211499" w:rsidRDefault="00211499" w:rsidP="00211499">
      <w:pPr>
        <w:pStyle w:val="Bezodstpw"/>
        <w:jc w:val="center"/>
      </w:pP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WIG20 spadł o 0,4 %. WIG zniżkował z kolei o 1,6 %. Mimo to pojawiły się pewne pozytywne czynniki, które zwiastują pojawienie się szansy na odwrócenie trwającego od kwietnia 2015 roku trendu spadkowego. </w:t>
      </w: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</w:p>
    <w:p w:rsidR="00211499" w:rsidRPr="00211499" w:rsidRDefault="00211499" w:rsidP="00211499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Przede wszystkim warto zauważyć, że w czwartek podczas konferencji prasowej po posiedzeniu Europejskiego Banku Centralnego prezes tego gremium Mario Dragi wyraził przekonanie, że członkowie kierownictwa tej instytucji rozważają </w:t>
      </w:r>
      <w:r w:rsidRPr="00211499">
        <w:rPr>
          <w:b/>
          <w:sz w:val="26"/>
          <w:szCs w:val="26"/>
        </w:rPr>
        <w:t xml:space="preserve">rozszerzenie programu tak zwanego ilościowego luzowania polityki pieniężnej od marca 2016 roku. </w:t>
      </w: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Wypowiedź na podziałała bardzo pozytywnie na uczestników rynków akcji w różnych krajach. W piątek 22 stycznia 2016 roku indeks amerykański S&amp;P 500 zyskał na wartości 2,0 %, francuski CAC40 wzrósł o 3,1 %, niemiecki DAX urósł o 2,0 % a japoński NIKKEI225 o 5,9 %. </w:t>
      </w: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Warto zauważyć, że zarówno amerykański S&amp;P 500, jak również japoński NIKKEI 225 powróciły powyżej ważnego poziomu.</w:t>
      </w: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</w:p>
    <w:p w:rsidR="00211499" w:rsidRDefault="00211499" w:rsidP="00211499">
      <w:pPr>
        <w:pStyle w:val="Bezodstpw"/>
        <w:jc w:val="both"/>
        <w:rPr>
          <w:b/>
          <w:sz w:val="26"/>
          <w:szCs w:val="26"/>
          <w:u w:val="single"/>
        </w:rPr>
      </w:pPr>
      <w:r w:rsidRPr="002F544B">
        <w:rPr>
          <w:b/>
          <w:sz w:val="26"/>
          <w:szCs w:val="26"/>
          <w:u w:val="single"/>
        </w:rPr>
        <w:t>S&amp;P500</w:t>
      </w:r>
    </w:p>
    <w:p w:rsidR="00211499" w:rsidRDefault="00211499" w:rsidP="00211499">
      <w:pPr>
        <w:pStyle w:val="Bezodstpw"/>
        <w:jc w:val="both"/>
        <w:rPr>
          <w:b/>
          <w:sz w:val="26"/>
          <w:szCs w:val="26"/>
          <w:u w:val="single"/>
        </w:rPr>
      </w:pPr>
    </w:p>
    <w:p w:rsidR="00211499" w:rsidRDefault="00211499" w:rsidP="00211499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538D03EA" wp14:editId="63DC1A6C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99" w:rsidRDefault="00211499" w:rsidP="00211499">
      <w:pPr>
        <w:pStyle w:val="Bezodstpw"/>
        <w:jc w:val="both"/>
        <w:rPr>
          <w:b/>
          <w:sz w:val="26"/>
          <w:szCs w:val="26"/>
          <w:u w:val="single"/>
        </w:rPr>
      </w:pPr>
    </w:p>
    <w:p w:rsidR="00211499" w:rsidRPr="00211499" w:rsidRDefault="00211499" w:rsidP="00211499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 kolejnej stronie zaprezentowany jest z kolei wykres indeks japońskiego rynku akcji NIKKEI 225, który powrócił powyżej ważnego wsparcia, także z powodu zapowiedzi </w:t>
      </w:r>
      <w:r w:rsidRPr="00211499">
        <w:rPr>
          <w:b/>
          <w:sz w:val="26"/>
          <w:szCs w:val="26"/>
        </w:rPr>
        <w:t xml:space="preserve">poszerzenie skali ilościowego luzowania przez Bank Japonii. </w:t>
      </w: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</w:p>
    <w:p w:rsidR="00211499" w:rsidRPr="00D931A8" w:rsidRDefault="00211499" w:rsidP="00211499">
      <w:pPr>
        <w:pStyle w:val="Bezodstpw"/>
        <w:jc w:val="both"/>
        <w:rPr>
          <w:b/>
          <w:sz w:val="26"/>
          <w:szCs w:val="26"/>
        </w:rPr>
      </w:pPr>
      <w:r w:rsidRPr="00D931A8">
        <w:rPr>
          <w:b/>
          <w:sz w:val="26"/>
          <w:szCs w:val="26"/>
        </w:rPr>
        <w:lastRenderedPageBreak/>
        <w:t xml:space="preserve">NIKKEI 225 </w:t>
      </w: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</w:p>
    <w:p w:rsidR="00211499" w:rsidRDefault="00211499" w:rsidP="00211499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DEE8917" wp14:editId="130DE165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Warto zauważyć, że z ostatniego badania przeprowadzonego przez Stowarzyszenie Inwestorów Indywidualnych wynika, że odsetek ,,byków”, czyli osób oczekujących wzrostów kursów akcji na giełdzie warszawskiej w okresie kolejnych 6 miesięcy ukstałtowal się na poziomie 29,7 %. 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Z kolei odsetek ,,niedźwiedzi”, czyli osób spodziewających się spadków cen akcji na gieldzie warszawskiej w okresie wspomnienych 6 miesięcy wyniósl 51,7 %. Jeszcze nigdy nie zdarzyło się, aby przewaga ,,niedźwiedzi” była aż tak znaczna. 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Pr="00211499" w:rsidRDefault="00211499" w:rsidP="00211499">
      <w:pPr>
        <w:pStyle w:val="Bezodstpw"/>
        <w:jc w:val="both"/>
        <w:rPr>
          <w:b/>
          <w:noProof/>
          <w:sz w:val="26"/>
          <w:szCs w:val="26"/>
          <w:lang w:eastAsia="pl-PL"/>
        </w:rPr>
      </w:pPr>
      <w:r w:rsidRPr="00211499">
        <w:rPr>
          <w:b/>
          <w:noProof/>
          <w:sz w:val="26"/>
          <w:szCs w:val="26"/>
          <w:lang w:eastAsia="pl-PL"/>
        </w:rPr>
        <w:t>Można więc ogólnie powiedzieć, że przeważa pesymizm i to zdecydowanie.</w:t>
      </w:r>
      <w:r>
        <w:rPr>
          <w:noProof/>
          <w:sz w:val="26"/>
          <w:szCs w:val="26"/>
          <w:lang w:eastAsia="pl-PL"/>
        </w:rPr>
        <w:t xml:space="preserve"> To paradoksalnie bardzo dobry znak dla posiadaczy akcji. </w:t>
      </w:r>
      <w:r w:rsidRPr="00211499">
        <w:rPr>
          <w:b/>
          <w:noProof/>
          <w:sz w:val="26"/>
          <w:szCs w:val="26"/>
          <w:lang w:eastAsia="pl-PL"/>
        </w:rPr>
        <w:t xml:space="preserve">Hossa rodzi się bowiem z pesymizmu. </w:t>
      </w:r>
    </w:p>
    <w:p w:rsidR="00211499" w:rsidRPr="00211499" w:rsidRDefault="00211499" w:rsidP="00211499">
      <w:pPr>
        <w:pStyle w:val="Bezodstpw"/>
        <w:jc w:val="both"/>
        <w:rPr>
          <w:b/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>Inwestorzy giełdowi zazwyczaj są optymistami. Z reguły mamy do czynienia z przewagą ,,byków” nad ,,niedżwiedziami”. Jeżeli dochodzi do sytuacji odwrotnej mamy do czynienia z pewną anamalią.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>Obecnie skala tej anomalii jest bardzo duża.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Na następnej stronie umieszzczony został wykres indeklsu WIG20 na którym zaznaczyłem mometu, w których przewaga ,,niedźwiedzi” nad ,,bykami” była bardzo podobna jak obecnie. 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 xml:space="preserve">W zaznaczonych momentach ta przewaga wynosiłła co 19 albo nawet ponad 20 punktów procentowych. Warto zauważyć, że po pojawieniu się właśnie takiego pesymizmu dochodziło potem do wzrostów indeksu WIG20. 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C81BC7">
        <w:rPr>
          <w:b/>
          <w:noProof/>
          <w:sz w:val="26"/>
          <w:szCs w:val="26"/>
          <w:u w:val="single"/>
          <w:lang w:eastAsia="pl-PL"/>
        </w:rPr>
        <w:t>WIG20</w:t>
      </w:r>
    </w:p>
    <w:p w:rsidR="00211499" w:rsidRPr="00C81BC7" w:rsidRDefault="00211499" w:rsidP="00211499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168C8F59" wp14:editId="296410E4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Pr="00211499" w:rsidRDefault="00211499" w:rsidP="00211499">
      <w:pPr>
        <w:pStyle w:val="Bezodstpw"/>
        <w:jc w:val="both"/>
        <w:rPr>
          <w:b/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Z kolei z technicznego punktu widzenia należy zauważyć, że wskaźnik RSI (obliczany w oparciu o dane miesięczne) doszedl </w:t>
      </w:r>
      <w:r w:rsidRPr="00211499">
        <w:rPr>
          <w:b/>
          <w:noProof/>
          <w:sz w:val="26"/>
          <w:szCs w:val="26"/>
          <w:lang w:eastAsia="pl-PL"/>
        </w:rPr>
        <w:t xml:space="preserve">do strefy wyprzedania. 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 w:rsidRPr="00C81BC7">
        <w:rPr>
          <w:b/>
          <w:noProof/>
          <w:sz w:val="26"/>
          <w:szCs w:val="26"/>
          <w:u w:val="single"/>
          <w:lang w:eastAsia="pl-PL"/>
        </w:rPr>
        <w:t>WIG20</w:t>
      </w: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211499" w:rsidRDefault="00211499" w:rsidP="00211499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EE8C035" wp14:editId="4222B919">
            <wp:extent cx="5448300" cy="32670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99" w:rsidRDefault="00211499" w:rsidP="00211499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>Ile wynosiła śr</w:t>
      </w:r>
      <w:bookmarkStart w:id="0" w:name="_GoBack"/>
      <w:bookmarkEnd w:id="0"/>
      <w:r>
        <w:rPr>
          <w:rFonts w:eastAsia="Times New Roman" w:cs="Times New Roman"/>
          <w:b/>
          <w:sz w:val="100"/>
          <w:szCs w:val="100"/>
          <w:lang w:eastAsia="pl-PL"/>
        </w:rPr>
        <w:t xml:space="preserve">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22 stycznia 2016 roku</w:t>
      </w:r>
    </w:p>
    <w:p w:rsidR="00211499" w:rsidRDefault="00211499" w:rsidP="0021149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Ile wynosiła średnia procentowa zmiana indeksu WIG 20 w tym okresie ?”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Odpowiedź na te pytania przedstawiłem w tabeli na następnej stronie.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211499" w:rsidTr="00223556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211499" w:rsidRDefault="00211499" w:rsidP="0021149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211499" w:rsidRDefault="00211499" w:rsidP="0021149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211499" w:rsidRDefault="00211499" w:rsidP="00211499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  <w:r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  <w:lastRenderedPageBreak/>
        <w:t>Wniosek końcowy z powyższych rozważań brzmi następująco:</w:t>
      </w:r>
    </w:p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70"/>
          <w:szCs w:val="70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</w:pPr>
      <w:r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Średnia procentowa zmiana kursu akcji spółki po wprowadzeniu jej do rubryki </w:t>
      </w:r>
      <w:proofErr w:type="gramStart"/>
      <w:r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,,</w:t>
      </w:r>
      <w:proofErr w:type="gramEnd"/>
      <w:r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Wykres do przemyślenia”</w:t>
      </w:r>
      <w:r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w okresie 12 pierwszych miesięcy po jej wprowadzeniu do tej rubryki wynosiła </w:t>
      </w:r>
      <w:r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plus 13,4 %.</w:t>
      </w:r>
      <w:r>
        <w:rPr>
          <w:rFonts w:ascii="Calibri" w:eastAsia="Times New Roman" w:hAnsi="Calibri" w:cs="Times New Roman"/>
          <w:color w:val="FF0000"/>
          <w:sz w:val="72"/>
          <w:szCs w:val="7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Średnia procentowa zmiana indeksu </w:t>
      </w:r>
      <w:r>
        <w:rPr>
          <w:rFonts w:ascii="Calibri" w:eastAsia="Times New Roman" w:hAnsi="Calibri" w:cs="Times New Roman"/>
          <w:color w:val="000000" w:themeColor="text1"/>
          <w:sz w:val="72"/>
          <w:szCs w:val="72"/>
          <w:u w:val="single"/>
          <w:lang w:eastAsia="pl-PL"/>
        </w:rPr>
        <w:t xml:space="preserve">WIG20 </w:t>
      </w:r>
      <w:r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w tym okresie wynosiła </w:t>
      </w:r>
      <w:r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minus 16,4 %. </w:t>
      </w:r>
    </w:p>
    <w:p w:rsidR="00211499" w:rsidRDefault="00211499" w:rsidP="0021149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</w:pPr>
    </w:p>
    <w:p w:rsidR="00211499" w:rsidRDefault="00211499" w:rsidP="00211499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>
        <w:rPr>
          <w:rFonts w:eastAsia="Times New Roman" w:cs="Times New Roman"/>
          <w:b/>
          <w:sz w:val="96"/>
          <w:szCs w:val="96"/>
          <w:lang w:eastAsia="pl-PL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rFonts w:eastAsia="Times New Roman" w:cs="Times New Roman"/>
          <w:b/>
          <w:sz w:val="96"/>
          <w:szCs w:val="96"/>
          <w:lang w:eastAsia="pl-PL"/>
        </w:rPr>
        <w:t>,,</w:t>
      </w:r>
      <w:proofErr w:type="gramEnd"/>
      <w:r>
        <w:rPr>
          <w:rFonts w:eastAsia="Times New Roman" w:cs="Times New Roman"/>
          <w:b/>
          <w:sz w:val="96"/>
          <w:szCs w:val="96"/>
          <w:lang w:eastAsia="pl-PL"/>
        </w:rPr>
        <w:t xml:space="preserve">Wykres do przemyślenia” w okresie 12 pierwszych miesięcy po jej wprowadzeniu do tej rubryki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22 stycznia 2016 roku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-35,1 %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-35,1 %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lutego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3,89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-13,6 %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-13,6 %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-26,2%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marca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11,96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+58,0 %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+58,0 %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-26,8 %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8 kwietnia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-2,4%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-28,8 %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Theme="minorEastAsia" w:cs="Times New Roman"/>
          <w:sz w:val="34"/>
          <w:szCs w:val="34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4 maja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+8,1  %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+8,1  %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-31,5 %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Tabela: Procentowa zmiana cen akcji trzech spółek, których akcje zostały umieszczone w dniu 1 lipca na stronie internetowej </w:t>
      </w:r>
      <w:hyperlink r:id="rId25" w:history="1">
        <w:r>
          <w:rPr>
            <w:rStyle w:val="Hipercze"/>
            <w:rFonts w:eastAsia="Times New Roman" w:cs="Times New Roman"/>
            <w:lang w:eastAsia="pl-PL"/>
          </w:rPr>
          <w:t>http://analizy-rynkowe.pl/</w:t>
        </w:r>
      </w:hyperlink>
      <w:r>
        <w:rPr>
          <w:rFonts w:eastAsia="Times New Roman" w:cs="Times New Roman"/>
          <w:lang w:eastAsia="pl-PL"/>
        </w:rPr>
        <w:t xml:space="preserve"> w rubryce ,,Wykres do przemyślenia” w okresie od 30 czerwca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</w:t>
      </w:r>
      <w:proofErr w:type="gramStart"/>
      <w:r>
        <w:rPr>
          <w:rFonts w:eastAsia="Times New Roman" w:cs="Times New Roman"/>
          <w:lang w:eastAsia="pl-PL"/>
        </w:rPr>
        <w:t>roku  oraz</w:t>
      </w:r>
      <w:proofErr w:type="gramEnd"/>
      <w:r>
        <w:rPr>
          <w:rFonts w:eastAsia="Times New Roman" w:cs="Times New Roman"/>
          <w:lang w:eastAsia="pl-PL"/>
        </w:rPr>
        <w:t xml:space="preserve">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7,62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-19,7 %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2,23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-13,6 %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Variant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-5,1  %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-12,8  %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-25,5 %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21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6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21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20,39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-2,0 %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-23,1  %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23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22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48,63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+17,9 %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+17,9%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-21,0 %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września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września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11,58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3,4 %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3,4 %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-18,0%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4 września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9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3 września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243,85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-21,1 %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-21,1 %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-19,9 %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9 października na stronie internetowej </w:t>
      </w:r>
      <w:hyperlink r:id="rId3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przemyślenia” w okresie od 8 października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-3,3 %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234,85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-24,9 %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-14,1 %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-18,8 %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14 października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13 października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-15,8 %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-18,7 %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17 października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13 października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+4,4 %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+4,4 %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-18,6 %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4 listopada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 listopada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22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11,9 %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11,9 %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-16,2 %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listopada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27 listopada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57,40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-1,1 %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-10,8 %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 xml:space="preserve">rubryce 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>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PeKaO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131,15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-6,2 %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-6,2 %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LC </w:t>
            </w:r>
            <w:proofErr w:type="spellStart"/>
            <w:r>
              <w:rPr>
                <w:rFonts w:eastAsiaTheme="minorEastAsia"/>
                <w:lang w:eastAsia="pl-PL"/>
              </w:rPr>
              <w:t>Corp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+7,4%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+7,4 %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-7,5 %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28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23 grudnia 2015 roku </w:t>
      </w:r>
      <w:r>
        <w:rPr>
          <w:rFonts w:eastAsia="Times New Roman" w:cs="Times New Roman"/>
          <w:lang w:eastAsia="pl-PL"/>
        </w:rPr>
        <w:t xml:space="preserve">do 22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19,30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-10,2 %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-10,2  %</w:t>
            </w:r>
          </w:p>
        </w:tc>
      </w:tr>
      <w:tr w:rsidR="00211499" w:rsidTr="002235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1 727,22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9" w:rsidRDefault="00211499" w:rsidP="0022355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-8,1 %</w:t>
            </w:r>
          </w:p>
        </w:tc>
      </w:tr>
    </w:tbl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Spółek,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>dla których nie można jeszcze obliczyć</w:t>
      </w:r>
      <w:r>
        <w:rPr>
          <w:rFonts w:eastAsia="Times New Roman" w:cs="Times New Roman"/>
          <w:sz w:val="32"/>
          <w:szCs w:val="32"/>
          <w:lang w:eastAsia="pl-PL"/>
        </w:rPr>
        <w:t xml:space="preserve"> procentowej zmiany kursu akcji po wprowadzeniu jej do rubryki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Wykres do przemyślenia” w okresie 12 pierwszych miesięcy po jej wprowadzeniu do tej rubryki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 xml:space="preserve">jest 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22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W odniesieniu do tej grupy </w:t>
      </w:r>
      <w:r>
        <w:rPr>
          <w:rFonts w:eastAsia="Times New Roman" w:cs="Times New Roman"/>
          <w:b/>
          <w:sz w:val="36"/>
          <w:szCs w:val="36"/>
          <w:u w:val="single"/>
          <w:lang w:eastAsia="pl-PL"/>
        </w:rPr>
        <w:t>22 spółek</w:t>
      </w:r>
      <w:r>
        <w:rPr>
          <w:rFonts w:eastAsia="Times New Roman" w:cs="Times New Roman"/>
          <w:sz w:val="36"/>
          <w:szCs w:val="36"/>
          <w:lang w:eastAsia="pl-PL"/>
        </w:rPr>
        <w:t xml:space="preserve"> można sformułować następujący wniosek: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100"/>
          <w:szCs w:val="100"/>
          <w:u w:val="single"/>
          <w:lang w:eastAsia="pl-PL"/>
        </w:rPr>
      </w:pPr>
      <w:r>
        <w:rPr>
          <w:rFonts w:eastAsia="Times New Roman" w:cs="Times New Roman"/>
          <w:sz w:val="100"/>
          <w:szCs w:val="100"/>
          <w:u w:val="single"/>
          <w:lang w:eastAsia="pl-PL"/>
        </w:rPr>
        <w:t xml:space="preserve">Wniosek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100"/>
          <w:szCs w:val="100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  <w:r>
        <w:rPr>
          <w:rFonts w:eastAsia="Times New Roman" w:cs="Times New Roman"/>
          <w:sz w:val="72"/>
          <w:szCs w:val="72"/>
          <w:lang w:eastAsia="pl-PL"/>
        </w:rPr>
        <w:t xml:space="preserve">Warto zauważyć, że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r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 xml:space="preserve">spośród </w:t>
      </w:r>
      <w:r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22 </w:t>
      </w:r>
      <w:proofErr w:type="gramStart"/>
      <w:r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>spółek</w:t>
      </w:r>
      <w:r>
        <w:rPr>
          <w:rFonts w:eastAsia="Times New Roman" w:cs="Times New Roman"/>
          <w:sz w:val="72"/>
          <w:szCs w:val="72"/>
          <w:lang w:eastAsia="pl-PL"/>
        </w:rPr>
        <w:t xml:space="preserve"> (których</w:t>
      </w:r>
      <w:proofErr w:type="gramEnd"/>
      <w:r>
        <w:rPr>
          <w:rFonts w:eastAsia="Times New Roman" w:cs="Times New Roman"/>
          <w:sz w:val="72"/>
          <w:szCs w:val="72"/>
          <w:lang w:eastAsia="pl-PL"/>
        </w:rPr>
        <w:t xml:space="preserve"> lista </w:t>
      </w:r>
      <w:r>
        <w:rPr>
          <w:rFonts w:eastAsia="Times New Roman" w:cs="Times New Roman"/>
          <w:b/>
          <w:sz w:val="72"/>
          <w:szCs w:val="72"/>
          <w:lang w:eastAsia="pl-PL"/>
        </w:rPr>
        <w:t xml:space="preserve">opublikowana jest na str. 14-17)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proofErr w:type="gramStart"/>
      <w:r>
        <w:rPr>
          <w:rFonts w:eastAsia="Times New Roman" w:cs="Times New Roman"/>
          <w:b/>
          <w:sz w:val="72"/>
          <w:szCs w:val="72"/>
          <w:lang w:eastAsia="pl-PL"/>
        </w:rPr>
        <w:t>kursy</w:t>
      </w:r>
      <w:proofErr w:type="gramEnd"/>
      <w:r>
        <w:rPr>
          <w:rFonts w:eastAsia="Times New Roman" w:cs="Times New Roman"/>
          <w:b/>
          <w:sz w:val="72"/>
          <w:szCs w:val="72"/>
          <w:lang w:eastAsia="pl-PL"/>
        </w:rPr>
        <w:t xml:space="preserve"> akcji </w:t>
      </w:r>
      <w:r>
        <w:rPr>
          <w:rFonts w:eastAsia="Times New Roman" w:cs="Times New Roman"/>
          <w:b/>
          <w:color w:val="FF0000"/>
          <w:sz w:val="72"/>
          <w:szCs w:val="72"/>
          <w:lang w:eastAsia="pl-PL"/>
        </w:rPr>
        <w:t>18 spółek</w:t>
      </w:r>
      <w:r>
        <w:rPr>
          <w:rFonts w:eastAsia="Times New Roman" w:cs="Times New Roman"/>
          <w:sz w:val="72"/>
          <w:szCs w:val="72"/>
          <w:lang w:eastAsia="pl-PL"/>
        </w:rPr>
        <w:t xml:space="preserve"> od momentu owego zakwalifikowania do tej rubryki do dnia 22 stycznia 2016 roku zachowywały się </w:t>
      </w:r>
      <w:r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  <w:t>lepiej</w:t>
      </w:r>
      <w:r>
        <w:rPr>
          <w:rFonts w:eastAsia="Times New Roman" w:cs="Times New Roman"/>
          <w:b/>
          <w:color w:val="FF0000"/>
          <w:sz w:val="72"/>
          <w:szCs w:val="72"/>
          <w:lang w:eastAsia="pl-PL"/>
        </w:rPr>
        <w:t xml:space="preserve"> od indeksu WIG20</w:t>
      </w:r>
      <w:r>
        <w:rPr>
          <w:rFonts w:eastAsia="Times New Roman" w:cs="Times New Roman"/>
          <w:b/>
          <w:sz w:val="72"/>
          <w:szCs w:val="72"/>
          <w:lang w:eastAsia="pl-PL"/>
        </w:rPr>
        <w:t xml:space="preserve"> a 4 </w:t>
      </w:r>
      <w:r>
        <w:rPr>
          <w:rFonts w:eastAsia="Times New Roman" w:cs="Times New Roman"/>
          <w:b/>
          <w:sz w:val="72"/>
          <w:szCs w:val="72"/>
          <w:u w:val="single"/>
          <w:lang w:eastAsia="pl-PL"/>
        </w:rPr>
        <w:t xml:space="preserve">gorzej </w:t>
      </w:r>
      <w:r>
        <w:rPr>
          <w:rFonts w:eastAsia="Times New Roman" w:cs="Times New Roman"/>
          <w:b/>
          <w:sz w:val="72"/>
          <w:szCs w:val="72"/>
          <w:lang w:eastAsia="pl-PL"/>
        </w:rPr>
        <w:t xml:space="preserve">od indeksu WIG20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proofErr w:type="gramStart"/>
      <w:r>
        <w:rPr>
          <w:rFonts w:eastAsia="Times New Roman" w:cs="Times New Roman"/>
          <w:sz w:val="66"/>
          <w:szCs w:val="66"/>
          <w:lang w:eastAsia="pl-PL"/>
        </w:rPr>
        <w:lastRenderedPageBreak/>
        <w:t xml:space="preserve">Uwaga ! – 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>,,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Wykres do przemyślenia”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 xml:space="preserve">internetowej  </w:t>
      </w:r>
      <w:hyperlink r:id="rId38" w:history="1">
        <w:proofErr w:type="gramEnd"/>
        <w:r>
          <w:rPr>
            <w:rStyle w:val="Hipercze"/>
            <w:rFonts w:eastAsia="Times New Roman" w:cs="Times New Roman"/>
            <w:sz w:val="66"/>
            <w:szCs w:val="66"/>
            <w:lang w:eastAsia="pl-PL"/>
          </w:rPr>
          <w:t>http://analizy-rynkowe.pl/</w:t>
        </w:r>
      </w:hyperlink>
      <w:r>
        <w:rPr>
          <w:rFonts w:eastAsia="Times New Roman" w:cs="Times New Roman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211499" w:rsidRDefault="00211499" w:rsidP="0021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lastRenderedPageBreak/>
        <w:t>Generalny wniosek:</w:t>
      </w:r>
    </w:p>
    <w:p w:rsidR="00211499" w:rsidRDefault="00211499" w:rsidP="0021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 xml:space="preserve">kursy akcji spółki po wprowadzeniu jej do rubryki </w:t>
      </w:r>
      <w:proofErr w:type="gramStart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,,</w:t>
      </w:r>
      <w:proofErr w:type="gramEnd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Wykres do przemyślenia” zasadniczo rzecz biorąc wykazują relatywną przewagę nad indeksem WIG20</w:t>
      </w:r>
    </w:p>
    <w:p w:rsidR="00211499" w:rsidRDefault="00211499" w:rsidP="00211499">
      <w:pPr>
        <w:rPr>
          <w:rFonts w:eastAsia="Times New Roman" w:cs="Times New Roman"/>
          <w:lang w:eastAsia="pl-PL"/>
        </w:rPr>
      </w:pPr>
    </w:p>
    <w:p w:rsidR="00211499" w:rsidRDefault="00211499" w:rsidP="00211499">
      <w:pPr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211499" w:rsidRDefault="00211499" w:rsidP="00211499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211499" w:rsidRDefault="00211499" w:rsidP="0021149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211499" w:rsidRDefault="00211499" w:rsidP="00211499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11499" w:rsidRPr="008B1C1F" w:rsidRDefault="00211499" w:rsidP="0021149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8B1C1F">
        <w:rPr>
          <w:rFonts w:eastAsia="Times New Roman" w:cs="Times New Roman"/>
          <w:color w:val="000000" w:themeColor="text1"/>
          <w:lang w:eastAsia="pl-PL"/>
        </w:rPr>
        <w:t xml:space="preserve">W poprzednim tygodniu WIG20 spadł o 0,4 %. WIG zniżkował z kolei o 1,6 %. Mimo to pojawiły się pewne pozytywne czynniki, które zwiastują pojawienie się szansy na odwrócenie trwającego od kwietnia 2015 roku trendu spadkowego. Przede wszystkim warto zauważyć, że w czwartek podczas konferencji prasowej po posiedzeniu Europejskiego Banku Centralnego prezes tego gremium Mario Dragi wyraził przekonanie, że </w:t>
      </w:r>
      <w:r w:rsidRPr="008B1C1F">
        <w:rPr>
          <w:rFonts w:eastAsia="Times New Roman" w:cs="Times New Roman"/>
          <w:b/>
          <w:color w:val="000000" w:themeColor="text1"/>
          <w:lang w:eastAsia="pl-PL"/>
        </w:rPr>
        <w:t>członkowie kierownictwa tej instytucji rozważają rozszerzenie programu tak zwanego ilościowego luzowania polityki pieniężnej od marca 2016 roku.</w:t>
      </w:r>
    </w:p>
    <w:p w:rsidR="00211499" w:rsidRDefault="00211499" w:rsidP="00211499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  <w:lang w:eastAsia="pl-PL"/>
        </w:rPr>
      </w:pPr>
    </w:p>
    <w:p w:rsidR="00211499" w:rsidRPr="008B1C1F" w:rsidRDefault="00211499" w:rsidP="0021149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8B1C1F">
        <w:rPr>
          <w:rFonts w:eastAsia="Times New Roman" w:cs="Times New Roman"/>
          <w:lang w:eastAsia="pl-PL"/>
        </w:rPr>
        <w:t xml:space="preserve">Warto zauważyć, że z ostatniego badania przeprowadzonego przez Stowarzyszenie Inwestorów Indywidualnych wynika, że odsetek </w:t>
      </w:r>
      <w:proofErr w:type="gramStart"/>
      <w:r w:rsidRPr="008B1C1F">
        <w:rPr>
          <w:rFonts w:eastAsia="Times New Roman" w:cs="Times New Roman"/>
          <w:lang w:eastAsia="pl-PL"/>
        </w:rPr>
        <w:t>,,</w:t>
      </w:r>
      <w:proofErr w:type="gramEnd"/>
      <w:r w:rsidRPr="008B1C1F">
        <w:rPr>
          <w:rFonts w:eastAsia="Times New Roman" w:cs="Times New Roman"/>
          <w:lang w:eastAsia="pl-PL"/>
        </w:rPr>
        <w:t xml:space="preserve">byków”, czyli osób oczekujących wzrostów kursów akcji na giełdzie warszawskiej w </w:t>
      </w:r>
      <w:r>
        <w:rPr>
          <w:rFonts w:eastAsia="Times New Roman" w:cs="Times New Roman"/>
          <w:lang w:eastAsia="pl-PL"/>
        </w:rPr>
        <w:t xml:space="preserve">okresie kolejnych 6 miesięcy ukształtował się </w:t>
      </w:r>
      <w:r w:rsidRPr="008B1C1F">
        <w:rPr>
          <w:rFonts w:eastAsia="Times New Roman" w:cs="Times New Roman"/>
          <w:lang w:eastAsia="pl-PL"/>
        </w:rPr>
        <w:t xml:space="preserve">na poziomie 29,7 %. Z kolei odsetek </w:t>
      </w:r>
      <w:proofErr w:type="gramStart"/>
      <w:r w:rsidRPr="008B1C1F">
        <w:rPr>
          <w:rFonts w:eastAsia="Times New Roman" w:cs="Times New Roman"/>
          <w:lang w:eastAsia="pl-PL"/>
        </w:rPr>
        <w:t>,,</w:t>
      </w:r>
      <w:proofErr w:type="gramEnd"/>
      <w:r w:rsidRPr="008B1C1F">
        <w:rPr>
          <w:rFonts w:eastAsia="Times New Roman" w:cs="Times New Roman"/>
          <w:lang w:eastAsia="pl-PL"/>
        </w:rPr>
        <w:t>niedźwiedzi”, czyli osób spodziewających się spadków cen akcji na gie</w:t>
      </w:r>
      <w:r>
        <w:rPr>
          <w:rFonts w:eastAsia="Times New Roman" w:cs="Times New Roman"/>
          <w:lang w:eastAsia="pl-PL"/>
        </w:rPr>
        <w:t>ł</w:t>
      </w:r>
      <w:r w:rsidRPr="008B1C1F">
        <w:rPr>
          <w:rFonts w:eastAsia="Times New Roman" w:cs="Times New Roman"/>
          <w:lang w:eastAsia="pl-PL"/>
        </w:rPr>
        <w:t>dzie warszawskiej w okresie wspomni</w:t>
      </w:r>
      <w:r>
        <w:rPr>
          <w:rFonts w:eastAsia="Times New Roman" w:cs="Times New Roman"/>
          <w:lang w:eastAsia="pl-PL"/>
        </w:rPr>
        <w:t>a</w:t>
      </w:r>
      <w:r w:rsidRPr="008B1C1F">
        <w:rPr>
          <w:rFonts w:eastAsia="Times New Roman" w:cs="Times New Roman"/>
          <w:lang w:eastAsia="pl-PL"/>
        </w:rPr>
        <w:t>nych 6 miesięcy wyniós</w:t>
      </w:r>
      <w:r>
        <w:rPr>
          <w:rFonts w:eastAsia="Times New Roman" w:cs="Times New Roman"/>
          <w:lang w:eastAsia="pl-PL"/>
        </w:rPr>
        <w:t>ł</w:t>
      </w:r>
      <w:r w:rsidRPr="008B1C1F">
        <w:rPr>
          <w:rFonts w:eastAsia="Times New Roman" w:cs="Times New Roman"/>
          <w:lang w:eastAsia="pl-PL"/>
        </w:rPr>
        <w:t xml:space="preserve"> 51,7 %. </w:t>
      </w:r>
      <w:r w:rsidRPr="00211499">
        <w:rPr>
          <w:rFonts w:eastAsia="Times New Roman" w:cs="Times New Roman"/>
          <w:b/>
          <w:lang w:eastAsia="pl-PL"/>
        </w:rPr>
        <w:t xml:space="preserve">Jeszcze nigdy nie zdarzyło się, aby przewaga </w:t>
      </w:r>
      <w:proofErr w:type="gramStart"/>
      <w:r w:rsidRPr="00211499">
        <w:rPr>
          <w:rFonts w:eastAsia="Times New Roman" w:cs="Times New Roman"/>
          <w:b/>
          <w:lang w:eastAsia="pl-PL"/>
        </w:rPr>
        <w:t>,,</w:t>
      </w:r>
      <w:proofErr w:type="gramEnd"/>
      <w:r w:rsidRPr="00211499">
        <w:rPr>
          <w:rFonts w:eastAsia="Times New Roman" w:cs="Times New Roman"/>
          <w:b/>
          <w:lang w:eastAsia="pl-PL"/>
        </w:rPr>
        <w:t>niedźwiedzi” była aż tak znaczna.</w:t>
      </w:r>
      <w:r w:rsidRPr="008B1C1F">
        <w:rPr>
          <w:rFonts w:eastAsia="Times New Roman" w:cs="Times New Roman"/>
          <w:lang w:eastAsia="pl-PL"/>
        </w:rPr>
        <w:t xml:space="preserve"> </w:t>
      </w:r>
      <w:proofErr w:type="gramStart"/>
      <w:r w:rsidRPr="008B1C1F">
        <w:rPr>
          <w:rFonts w:eastAsia="Times New Roman" w:cs="Times New Roman"/>
          <w:lang w:eastAsia="pl-PL"/>
        </w:rPr>
        <w:t>Można więc</w:t>
      </w:r>
      <w:proofErr w:type="gramEnd"/>
      <w:r w:rsidRPr="008B1C1F">
        <w:rPr>
          <w:rFonts w:eastAsia="Times New Roman" w:cs="Times New Roman"/>
          <w:lang w:eastAsia="pl-PL"/>
        </w:rPr>
        <w:t xml:space="preserve"> ogólnie powiedzieć, że przeważa pesymizm i to zdecydowanie. To paradoksalnie bardzo dobry znak dla posiadaczy akcji</w:t>
      </w:r>
      <w:r w:rsidRPr="008B1C1F">
        <w:rPr>
          <w:rFonts w:eastAsia="Times New Roman" w:cs="Times New Roman"/>
          <w:b/>
          <w:lang w:eastAsia="pl-PL"/>
        </w:rPr>
        <w:t xml:space="preserve">. Hossa rodzi </w:t>
      </w:r>
      <w:proofErr w:type="gramStart"/>
      <w:r w:rsidRPr="008B1C1F">
        <w:rPr>
          <w:rFonts w:eastAsia="Times New Roman" w:cs="Times New Roman"/>
          <w:b/>
          <w:lang w:eastAsia="pl-PL"/>
        </w:rPr>
        <w:t>się bowiem</w:t>
      </w:r>
      <w:proofErr w:type="gramEnd"/>
      <w:r w:rsidRPr="008B1C1F">
        <w:rPr>
          <w:rFonts w:eastAsia="Times New Roman" w:cs="Times New Roman"/>
          <w:b/>
          <w:lang w:eastAsia="pl-PL"/>
        </w:rPr>
        <w:t xml:space="preserve"> z pesymizmu.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25 stycznia 2016 roku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3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211499" w:rsidRDefault="00211499" w:rsidP="0021149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1499" w:rsidRDefault="00211499" w:rsidP="00211499">
      <w:pPr>
        <w:spacing w:after="0" w:line="240" w:lineRule="auto"/>
        <w:jc w:val="both"/>
        <w:rPr>
          <w:rStyle w:val="Hipercze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211499" w:rsidRDefault="00211499" w:rsidP="00211499">
      <w:pPr>
        <w:spacing w:after="0" w:line="240" w:lineRule="auto"/>
        <w:jc w:val="both"/>
      </w:pPr>
    </w:p>
    <w:p w:rsidR="00211499" w:rsidRDefault="00211499" w:rsidP="00211499">
      <w:pPr>
        <w:spacing w:after="0" w:line="240" w:lineRule="auto"/>
        <w:jc w:val="both"/>
        <w:rPr>
          <w:sz w:val="26"/>
          <w:szCs w:val="26"/>
        </w:rPr>
      </w:pPr>
    </w:p>
    <w:p w:rsidR="00211499" w:rsidRDefault="00211499" w:rsidP="004E0982">
      <w:pPr>
        <w:spacing w:after="0" w:line="240" w:lineRule="auto"/>
        <w:jc w:val="both"/>
      </w:pPr>
    </w:p>
    <w:sectPr w:rsidR="0021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82"/>
    <w:rsid w:val="00211499"/>
    <w:rsid w:val="004E0982"/>
    <w:rsid w:val="009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9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0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98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98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E0982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982"/>
    <w:rPr>
      <w:vertAlign w:val="superscript"/>
    </w:rPr>
  </w:style>
  <w:style w:type="table" w:styleId="Tabela-Siatka">
    <w:name w:val="Table Grid"/>
    <w:basedOn w:val="Standardowy"/>
    <w:uiPriority w:val="59"/>
    <w:rsid w:val="004E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E098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9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0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98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98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E0982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982"/>
    <w:rPr>
      <w:vertAlign w:val="superscript"/>
    </w:rPr>
  </w:style>
  <w:style w:type="table" w:styleId="Tabela-Siatka">
    <w:name w:val="Table Grid"/>
    <w:basedOn w:val="Standardowy"/>
    <w:uiPriority w:val="59"/>
    <w:rsid w:val="004E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E098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analizy-rynkowe.pl/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2016-01-24T15:31:00Z</dcterms:created>
  <dcterms:modified xsi:type="dcterms:W3CDTF">2016-01-24T15:34:00Z</dcterms:modified>
</cp:coreProperties>
</file>