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4" w:rsidRDefault="005712A4" w:rsidP="005712A4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5712A4" w:rsidRDefault="005712A4" w:rsidP="005712A4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2A4" w:rsidRDefault="005712A4" w:rsidP="005712A4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5712A4" w:rsidRDefault="005712A4" w:rsidP="005712A4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18 stycznia 2016 roku</w:t>
      </w:r>
    </w:p>
    <w:p w:rsidR="005712A4" w:rsidRDefault="005712A4" w:rsidP="0057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8 stycznia 2016 roku = 3,9960</w:t>
      </w:r>
    </w:p>
    <w:p w:rsidR="005712A4" w:rsidRDefault="005712A4" w:rsidP="005712A4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42CA8737" wp14:editId="6EB2127C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2A4" w:rsidRDefault="005712A4" w:rsidP="005712A4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5712A4" w:rsidRDefault="005712A4" w:rsidP="0057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8 stycznia 2016 roku = 4,3639</w:t>
      </w:r>
    </w:p>
    <w:p w:rsidR="005712A4" w:rsidRDefault="005712A4" w:rsidP="005712A4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407C0027" wp14:editId="701EC197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2A4" w:rsidRDefault="005712A4" w:rsidP="005712A4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 w:rsidRPr="00F5218C">
        <w:rPr>
          <w:rFonts w:eastAsiaTheme="minorEastAsia"/>
          <w:color w:val="000000" w:themeColor="text1"/>
          <w:lang w:eastAsia="pl-PL"/>
        </w:rPr>
        <w:t xml:space="preserve">4,3607 zł. </w:t>
      </w:r>
      <w:r>
        <w:rPr>
          <w:rFonts w:eastAsiaTheme="minorEastAsia"/>
          <w:color w:val="000000" w:themeColor="text1"/>
          <w:lang w:eastAsia="pl-PL"/>
        </w:rPr>
        <w:t xml:space="preserve">Dojście do oporu (szczyt z 26 grudnia 2014 roku) może osłabiło kursu euro (w złotych). W piątek 15 stycznia popyt zaatakował. Przebite zostało roczne maksimum. Można oczekiwać wzrostu w kierunku </w:t>
      </w:r>
      <w:r w:rsidRPr="00F5218C">
        <w:rPr>
          <w:rFonts w:eastAsiaTheme="minorEastAsia"/>
          <w:b/>
          <w:color w:val="FF0000"/>
          <w:lang w:eastAsia="pl-PL"/>
        </w:rPr>
        <w:t>4,5644</w:t>
      </w:r>
      <w:r w:rsidRPr="00F5218C"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5712A4" w:rsidRDefault="005712A4" w:rsidP="005712A4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D40174">
        <w:rPr>
          <w:sz w:val="26"/>
          <w:szCs w:val="26"/>
        </w:rPr>
        <w:lastRenderedPageBreak/>
        <w:t>WIG20 nadal w trendzie spadkowym</w:t>
      </w:r>
    </w:p>
    <w:p w:rsidR="005712A4" w:rsidRDefault="005712A4" w:rsidP="005712A4">
      <w:pPr>
        <w:pStyle w:val="Bezodstpw"/>
        <w:jc w:val="center"/>
        <w:rPr>
          <w:sz w:val="26"/>
          <w:szCs w:val="26"/>
        </w:rPr>
      </w:pPr>
    </w:p>
    <w:p w:rsidR="005712A4" w:rsidRPr="00217262" w:rsidRDefault="005712A4" w:rsidP="005712A4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 poprzednim tygodniu WIG20 zyskał na wartości 0,6 %. WIG spadł z kolei o 0,1 %. Możliwe, że jedną z przyczyn zwyżek była wypowiedź ministra finansów Pawła </w:t>
      </w:r>
      <w:proofErr w:type="spellStart"/>
      <w:r>
        <w:rPr>
          <w:sz w:val="26"/>
          <w:szCs w:val="26"/>
        </w:rPr>
        <w:t>Szałamachy</w:t>
      </w:r>
      <w:proofErr w:type="spellEnd"/>
      <w:r>
        <w:rPr>
          <w:sz w:val="26"/>
          <w:szCs w:val="26"/>
        </w:rPr>
        <w:t xml:space="preserve">, który podczas spotkania w Auli Uniwersytetu Ekonomicznego w Poznaniu poinformował, że </w:t>
      </w:r>
      <w:r w:rsidRPr="00217262">
        <w:rPr>
          <w:b/>
          <w:sz w:val="26"/>
          <w:szCs w:val="26"/>
        </w:rPr>
        <w:t xml:space="preserve">rząd nie zamierza podejmować działań zmierzających do zmiany sposobu funkcjonowania OFE.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Być może inwestorzy giełdowi uznali, że wypowiedź ta oznacza, że OFE nadal będą funkcjonować w obecnej wersji, że ich rola nie ulegnie dalszemu zmniejszeniu i poprzez to popyt na akcje spółek notowanych na GPW w Warszawie z ich strony nie będzie się zmniejszał.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217262" w:rsidRDefault="005712A4" w:rsidP="00217262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Celowo używam sformułowań typu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możliwe, że” oraz ,,być może”, gdyż w gruncie rzeczy nie znamy tak do końca motywacji działań uczestników rynku akcji i próbując wyjaśnić motywy ich działań opieramy się na pewnej intuicji. </w:t>
      </w:r>
    </w:p>
    <w:p w:rsidR="00217262" w:rsidRDefault="00217262" w:rsidP="00217262">
      <w:pPr>
        <w:pStyle w:val="Bezodstpw"/>
        <w:jc w:val="both"/>
        <w:rPr>
          <w:sz w:val="26"/>
          <w:szCs w:val="26"/>
        </w:rPr>
      </w:pPr>
    </w:p>
    <w:p w:rsidR="005712A4" w:rsidRDefault="00217262" w:rsidP="00217262">
      <w:pPr>
        <w:pStyle w:val="Bezodstpw"/>
        <w:jc w:val="both"/>
        <w:rPr>
          <w:sz w:val="26"/>
          <w:szCs w:val="26"/>
        </w:rPr>
      </w:pPr>
      <w:r w:rsidRPr="00217262">
        <w:rPr>
          <w:b/>
          <w:color w:val="FF0000"/>
          <w:sz w:val="26"/>
          <w:szCs w:val="26"/>
        </w:rPr>
        <w:t>P</w:t>
      </w:r>
      <w:r w:rsidR="005712A4" w:rsidRPr="00217262">
        <w:rPr>
          <w:b/>
          <w:color w:val="FF0000"/>
          <w:sz w:val="26"/>
          <w:szCs w:val="26"/>
        </w:rPr>
        <w:t>rof. Eryk Łon – kandydat na członka Rady Polityk Pieniężnej</w:t>
      </w:r>
      <w:r w:rsidR="005712A4">
        <w:rPr>
          <w:sz w:val="26"/>
          <w:szCs w:val="26"/>
        </w:rPr>
        <w:t xml:space="preserve">, kierownik studium podyplomowego </w:t>
      </w:r>
      <w:proofErr w:type="gramStart"/>
      <w:r w:rsidR="005712A4">
        <w:rPr>
          <w:sz w:val="26"/>
          <w:szCs w:val="26"/>
        </w:rPr>
        <w:t>,,</w:t>
      </w:r>
      <w:proofErr w:type="gramEnd"/>
      <w:r w:rsidR="005712A4">
        <w:rPr>
          <w:sz w:val="26"/>
          <w:szCs w:val="26"/>
        </w:rPr>
        <w:t xml:space="preserve">Mistrzowie rynków finansowych” w trakcie posiedzenia Komisji Finansów Publicznych </w:t>
      </w:r>
      <w:r>
        <w:rPr>
          <w:sz w:val="26"/>
          <w:szCs w:val="26"/>
        </w:rPr>
        <w:t xml:space="preserve">w dniu 12 stycznia </w:t>
      </w:r>
      <w:r w:rsidR="005712A4" w:rsidRPr="00006704">
        <w:rPr>
          <w:b/>
          <w:sz w:val="26"/>
          <w:szCs w:val="26"/>
          <w:u w:val="single"/>
        </w:rPr>
        <w:t>wskazał na znaczenie</w:t>
      </w:r>
      <w:r w:rsidR="005712A4" w:rsidRPr="00006704">
        <w:rPr>
          <w:sz w:val="26"/>
          <w:szCs w:val="26"/>
          <w:u w:val="single"/>
        </w:rPr>
        <w:t xml:space="preserve"> </w:t>
      </w:r>
      <w:r w:rsidR="005712A4" w:rsidRPr="00006704">
        <w:rPr>
          <w:b/>
          <w:sz w:val="26"/>
          <w:szCs w:val="26"/>
          <w:u w:val="single"/>
        </w:rPr>
        <w:t>i</w:t>
      </w:r>
      <w:r w:rsidR="005712A4" w:rsidRPr="00A832CF">
        <w:rPr>
          <w:b/>
          <w:sz w:val="26"/>
          <w:szCs w:val="26"/>
          <w:u w:val="single"/>
        </w:rPr>
        <w:t>nformacji z Brazylii</w:t>
      </w:r>
      <w:r w:rsidR="005712A4">
        <w:rPr>
          <w:sz w:val="26"/>
          <w:szCs w:val="26"/>
        </w:rPr>
        <w:t xml:space="preserve"> w kształtowaniu sytuacji na wschodzących rynkach finansowych.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hyperlink r:id="rId8" w:history="1">
        <w:r w:rsidRPr="00780F3B">
          <w:rPr>
            <w:rStyle w:val="Hipercze"/>
            <w:sz w:val="26"/>
            <w:szCs w:val="26"/>
          </w:rPr>
          <w:t>http://www.bankier.pl/wiadomosc/Przesluchanie-kandydatow-do-RPP-przez-poslow-i-senatorow-3468591.html</w:t>
        </w:r>
      </w:hyperlink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Pr="009262E3" w:rsidRDefault="005712A4" w:rsidP="005712A4">
      <w:pPr>
        <w:pStyle w:val="Bezodstpw"/>
        <w:jc w:val="both"/>
        <w:rPr>
          <w:b/>
          <w:sz w:val="26"/>
          <w:szCs w:val="26"/>
          <w:u w:val="single"/>
        </w:rPr>
      </w:pPr>
      <w:r w:rsidRPr="009262E3">
        <w:rPr>
          <w:b/>
          <w:sz w:val="26"/>
          <w:szCs w:val="26"/>
          <w:u w:val="single"/>
        </w:rPr>
        <w:t xml:space="preserve">BOVESPA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Pr="00D4017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4C9CCE7" wp14:editId="4CC671BD">
            <wp:extent cx="4829175" cy="2905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 w:rsidRPr="000D0B9F">
        <w:rPr>
          <w:sz w:val="26"/>
          <w:szCs w:val="26"/>
        </w:rPr>
        <w:lastRenderedPageBreak/>
        <w:t xml:space="preserve">Z wykresu na poprzedniej stronie wynika, że na wykresie </w:t>
      </w:r>
      <w:r w:rsidR="00217262">
        <w:rPr>
          <w:sz w:val="26"/>
          <w:szCs w:val="26"/>
        </w:rPr>
        <w:t xml:space="preserve">indeksu </w:t>
      </w:r>
      <w:r w:rsidRPr="000D0B9F">
        <w:rPr>
          <w:sz w:val="26"/>
          <w:szCs w:val="26"/>
        </w:rPr>
        <w:t xml:space="preserve">brazylijskiego rynku akcji </w:t>
      </w:r>
      <w:proofErr w:type="spellStart"/>
      <w:r w:rsidRPr="000D0B9F">
        <w:rPr>
          <w:sz w:val="26"/>
          <w:szCs w:val="26"/>
        </w:rPr>
        <w:t>Bovespa</w:t>
      </w:r>
      <w:proofErr w:type="spellEnd"/>
      <w:r w:rsidRPr="000D0B9F">
        <w:rPr>
          <w:sz w:val="26"/>
          <w:szCs w:val="26"/>
        </w:rPr>
        <w:t xml:space="preserve"> doszło do wybicia z nietypowej formacji podwójnego szczytu. Gdyby formacja ta miała </w:t>
      </w:r>
      <w:r>
        <w:rPr>
          <w:sz w:val="26"/>
          <w:szCs w:val="26"/>
        </w:rPr>
        <w:t xml:space="preserve">się wypełnić powinno dojść do spadku tego indeksu </w:t>
      </w:r>
      <w:r w:rsidRPr="00217262">
        <w:rPr>
          <w:b/>
          <w:color w:val="FF0000"/>
          <w:sz w:val="26"/>
          <w:szCs w:val="26"/>
        </w:rPr>
        <w:t>o 15,3 %.</w:t>
      </w:r>
      <w:r w:rsidRPr="0021726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Pewności nie </w:t>
      </w:r>
      <w:proofErr w:type="gramStart"/>
      <w:r>
        <w:rPr>
          <w:sz w:val="26"/>
          <w:szCs w:val="26"/>
        </w:rPr>
        <w:t>ma ale</w:t>
      </w:r>
      <w:proofErr w:type="gramEnd"/>
      <w:r>
        <w:rPr>
          <w:sz w:val="26"/>
          <w:szCs w:val="26"/>
        </w:rPr>
        <w:t xml:space="preserve"> ryzyko jest.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Wróćmy do indeksu WIG20.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Pr="00BC0F64" w:rsidRDefault="005712A4" w:rsidP="005712A4">
      <w:pPr>
        <w:pStyle w:val="Bezodstpw"/>
        <w:jc w:val="both"/>
        <w:rPr>
          <w:b/>
          <w:sz w:val="26"/>
          <w:szCs w:val="26"/>
          <w:u w:val="single"/>
        </w:rPr>
      </w:pPr>
      <w:r w:rsidRPr="00BC0F64">
        <w:rPr>
          <w:b/>
          <w:sz w:val="26"/>
          <w:szCs w:val="26"/>
          <w:u w:val="single"/>
        </w:rPr>
        <w:t>WIG20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40645DC" wp14:editId="2FB2FFD6">
            <wp:extent cx="5419725" cy="3257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Wydaje się, że aby WIG20 przełamał trend spadkowy musiałby wzrosnąć do poziomu szczytu z 29 grudnia 2015 roku (1 893,92 pkt.).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Ogólnie rzecz biorąc należy wskazać na to, że wciąż w trendzie wzrostowym znajdują się ceny surowców, czy tez mówiąc precyzyjniej ceny kontraktów terminowych na surowce.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Pr="00F37F34" w:rsidRDefault="005712A4" w:rsidP="005712A4">
      <w:pPr>
        <w:pStyle w:val="Bezodstpw"/>
        <w:jc w:val="both"/>
        <w:rPr>
          <w:b/>
          <w:sz w:val="26"/>
          <w:szCs w:val="26"/>
        </w:rPr>
      </w:pPr>
      <w:r w:rsidRPr="00337911">
        <w:rPr>
          <w:b/>
          <w:sz w:val="26"/>
          <w:szCs w:val="26"/>
          <w:u w:val="single"/>
        </w:rPr>
        <w:t>Podczas wspomnianego posiedzenia Komisji Finansów Publicznych</w:t>
      </w:r>
      <w:r>
        <w:rPr>
          <w:sz w:val="26"/>
          <w:szCs w:val="26"/>
        </w:rPr>
        <w:t xml:space="preserve"> </w:t>
      </w:r>
      <w:r w:rsidRPr="00F37F34">
        <w:rPr>
          <w:b/>
          <w:sz w:val="26"/>
          <w:szCs w:val="26"/>
        </w:rPr>
        <w:t>prof. Eryk Łon</w:t>
      </w:r>
      <w:r>
        <w:rPr>
          <w:sz w:val="26"/>
          <w:szCs w:val="26"/>
        </w:rPr>
        <w:t xml:space="preserve"> wskazał na </w:t>
      </w:r>
      <w:r w:rsidRPr="00217262">
        <w:rPr>
          <w:b/>
          <w:color w:val="FF0000"/>
          <w:sz w:val="26"/>
          <w:szCs w:val="26"/>
        </w:rPr>
        <w:t>duże ryzyko dalszych spadków cen surowców</w:t>
      </w:r>
      <w:r>
        <w:rPr>
          <w:sz w:val="26"/>
          <w:szCs w:val="26"/>
        </w:rPr>
        <w:t xml:space="preserve">, w tym ropy naftowej, z uwagi na </w:t>
      </w:r>
      <w:r w:rsidRPr="00006704">
        <w:rPr>
          <w:b/>
          <w:sz w:val="26"/>
          <w:szCs w:val="26"/>
          <w:u w:val="single"/>
        </w:rPr>
        <w:t>przebicie bardzo ważnego wsparcia.</w:t>
      </w:r>
      <w:r w:rsidRPr="00F37F34">
        <w:rPr>
          <w:b/>
          <w:sz w:val="26"/>
          <w:szCs w:val="26"/>
        </w:rPr>
        <w:t xml:space="preserve">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kolejnej stronie przedstawiłem wykres cen kontraktów terminowych na ropę naftową.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wykresu tego wynika, że faktycznie doszło do spadku cen owych kontraktów </w:t>
      </w:r>
      <w:r w:rsidRPr="00006704">
        <w:rPr>
          <w:b/>
          <w:sz w:val="26"/>
          <w:szCs w:val="26"/>
          <w:u w:val="single"/>
        </w:rPr>
        <w:t>poniżej wsparcia z 2009 roku.</w:t>
      </w:r>
      <w:r w:rsidRPr="00F37F3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Przypomnę też, że w poprzednim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Raporcie Tygodniowym” wskazywałem na to, że pojawiło się duże ryzyko spadków cen kontraktów </w:t>
      </w:r>
      <w:r>
        <w:rPr>
          <w:sz w:val="26"/>
          <w:szCs w:val="26"/>
        </w:rPr>
        <w:lastRenderedPageBreak/>
        <w:t xml:space="preserve">terminowych na pallad, co może wywołać spadki także cen kontraktów na inne surowce.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 w:rsidRPr="00F37F34">
        <w:rPr>
          <w:b/>
          <w:sz w:val="26"/>
          <w:szCs w:val="26"/>
          <w:u w:val="single"/>
        </w:rPr>
        <w:t xml:space="preserve">ROPA NAFTOWA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10D726A" wp14:editId="7BEAEC6D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Skoro ryzyko spadków cen surowców nadal istnieje to może to wpływać na zachowanie indeksu WIG20 raczej negatywnie. </w:t>
      </w:r>
      <w:r w:rsidRPr="00006704">
        <w:rPr>
          <w:b/>
          <w:sz w:val="26"/>
          <w:szCs w:val="26"/>
        </w:rPr>
        <w:t>Bardziej odporny powinien być indeks małych spółek sWIG80</w:t>
      </w:r>
      <w:r>
        <w:rPr>
          <w:sz w:val="26"/>
          <w:szCs w:val="26"/>
        </w:rPr>
        <w:t xml:space="preserve">. Warto zauważyć, że siła względna sWIG80/WIG20 wciąż znajduje się w bardzo długoterminowym trendzie wzrostowym (i nie ma oznak jego zakończenia). 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Pr="00F37F34" w:rsidRDefault="005712A4" w:rsidP="005712A4">
      <w:pPr>
        <w:pStyle w:val="Bezodstpw"/>
        <w:jc w:val="both"/>
        <w:rPr>
          <w:b/>
          <w:sz w:val="26"/>
          <w:szCs w:val="26"/>
          <w:u w:val="single"/>
        </w:rPr>
      </w:pPr>
      <w:proofErr w:type="gramStart"/>
      <w:r w:rsidRPr="00F37F34">
        <w:rPr>
          <w:b/>
          <w:sz w:val="26"/>
          <w:szCs w:val="26"/>
          <w:u w:val="single"/>
        </w:rPr>
        <w:t>sWIG</w:t>
      </w:r>
      <w:proofErr w:type="gramEnd"/>
      <w:r w:rsidRPr="00F37F34">
        <w:rPr>
          <w:b/>
          <w:sz w:val="26"/>
          <w:szCs w:val="26"/>
          <w:u w:val="single"/>
        </w:rPr>
        <w:t>80/WIG20</w:t>
      </w: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</w:p>
    <w:p w:rsidR="005712A4" w:rsidRDefault="005712A4" w:rsidP="005712A4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7E7CF9F8" wp14:editId="1B8EABE3">
            <wp:extent cx="4829175" cy="28956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2A4" w:rsidRDefault="005712A4" w:rsidP="005712A4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15 stycznia 2016 roku</w:t>
      </w:r>
    </w:p>
    <w:p w:rsidR="005712A4" w:rsidRDefault="005712A4" w:rsidP="005712A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lastRenderedPageBreak/>
        <w:t xml:space="preserve">Wprowadzenie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http://analizy-rynkowe.pl/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Raport Tygodniowy”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Wykres do przemyślenia”.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 xml:space="preserve">zadania”.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jej wypełnienie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zadaniem” tej formacji jest doprowadzenie do zmiany trendu ze spadkowego na wzrostowy.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proofErr w:type="gramStart"/>
      <w:r>
        <w:rPr>
          <w:rFonts w:eastAsia="Times New Roman" w:cs="Times New Roman"/>
          <w:b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b/>
          <w:sz w:val="26"/>
          <w:szCs w:val="26"/>
          <w:lang w:eastAsia="pl-PL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>
        <w:rPr>
          <w:rFonts w:eastAsia="Times New Roman" w:cs="Times New Roman"/>
          <w:b/>
          <w:sz w:val="26"/>
          <w:szCs w:val="26"/>
          <w:lang w:eastAsia="pl-PL"/>
        </w:rPr>
        <w:t>także</w:t>
      </w:r>
      <w:r>
        <w:rPr>
          <w:rFonts w:eastAsia="Times New Roman" w:cs="Times New Roman"/>
          <w:sz w:val="26"/>
          <w:szCs w:val="26"/>
          <w:lang w:eastAsia="pl-PL"/>
        </w:rPr>
        <w:t xml:space="preserve"> na pytanie: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>Ile wynosiła średnia procentowa zmiana indeksu WIG 20 w tym okresie ?”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Odpowiedź na te pytania przedstawiłem w tabeli na następnej stronie.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5712A4" w:rsidTr="00C4172C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25 września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5712A4" w:rsidRDefault="005712A4" w:rsidP="005712A4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5712A4" w:rsidRDefault="005712A4" w:rsidP="005712A4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5712A4" w:rsidRDefault="005712A4" w:rsidP="005712A4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22 października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1 725,14</w:t>
            </w:r>
            <w:r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5712A4" w:rsidRPr="004D7CDC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</w:pPr>
      <w:r w:rsidRPr="004D7CDC">
        <w:rPr>
          <w:rFonts w:ascii="Calibri" w:eastAsia="Times New Roman" w:hAnsi="Calibri" w:cs="Times New Roman"/>
          <w:sz w:val="70"/>
          <w:szCs w:val="70"/>
          <w:u w:val="single"/>
          <w:lang w:eastAsia="pl-PL"/>
        </w:rPr>
        <w:lastRenderedPageBreak/>
        <w:t>Wniosek końcowy z powyższych rozważań brzmi następująco:</w:t>
      </w:r>
    </w:p>
    <w:p w:rsidR="005712A4" w:rsidRPr="004D7CDC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70"/>
          <w:szCs w:val="70"/>
          <w:u w:val="single"/>
          <w:lang w:eastAsia="pl-PL"/>
        </w:rPr>
      </w:pPr>
    </w:p>
    <w:p w:rsidR="005712A4" w:rsidRPr="004D7CDC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</w:pPr>
      <w:r w:rsidRPr="004D7CDC"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Średnia procentowa zmiana kursu akcji spółki po wprowadzeniu jej do rubryki </w:t>
      </w:r>
      <w:proofErr w:type="gramStart"/>
      <w:r w:rsidRPr="004D7CDC"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,,</w:t>
      </w:r>
      <w:proofErr w:type="gramEnd"/>
      <w:r w:rsidRPr="004D7CDC"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Wykres do przemyślenia”</w:t>
      </w:r>
      <w:r w:rsidRPr="004D7CDC"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w okresie 12 pierwszych miesięcy po jej wprowadzeniu do tej rubryki wynosiła </w:t>
      </w:r>
      <w:r w:rsidRPr="004D7CDC">
        <w:rPr>
          <w:rFonts w:ascii="Calibri" w:eastAsia="Times New Roman" w:hAnsi="Calibri" w:cs="Times New Roman"/>
          <w:b/>
          <w:color w:val="FF0000"/>
          <w:sz w:val="72"/>
          <w:szCs w:val="72"/>
          <w:lang w:eastAsia="pl-PL"/>
        </w:rPr>
        <w:t>plus 13,4 %.</w:t>
      </w:r>
      <w:r w:rsidRPr="004D7CDC">
        <w:rPr>
          <w:rFonts w:ascii="Calibri" w:eastAsia="Times New Roman" w:hAnsi="Calibri" w:cs="Times New Roman"/>
          <w:color w:val="FF0000"/>
          <w:sz w:val="72"/>
          <w:szCs w:val="72"/>
          <w:lang w:eastAsia="pl-PL"/>
        </w:rPr>
        <w:t xml:space="preserve"> </w:t>
      </w:r>
      <w:r w:rsidRPr="004D7CDC"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Średnia procentowa zmiana indeksu </w:t>
      </w:r>
      <w:r w:rsidRPr="004D7CDC">
        <w:rPr>
          <w:rFonts w:ascii="Calibri" w:eastAsia="Times New Roman" w:hAnsi="Calibri" w:cs="Times New Roman"/>
          <w:color w:val="000000" w:themeColor="text1"/>
          <w:sz w:val="72"/>
          <w:szCs w:val="72"/>
          <w:u w:val="single"/>
          <w:lang w:eastAsia="pl-PL"/>
        </w:rPr>
        <w:t xml:space="preserve">WIG20 </w:t>
      </w:r>
      <w:r w:rsidRPr="004D7CDC">
        <w:rPr>
          <w:rFonts w:ascii="Calibri" w:eastAsia="Times New Roman" w:hAnsi="Calibri" w:cs="Times New Roman"/>
          <w:color w:val="000000" w:themeColor="text1"/>
          <w:sz w:val="72"/>
          <w:szCs w:val="72"/>
          <w:lang w:eastAsia="pl-PL"/>
        </w:rPr>
        <w:t xml:space="preserve">w tym okresie wynosiła </w:t>
      </w:r>
      <w:r w:rsidRPr="004D7CDC">
        <w:rPr>
          <w:rFonts w:ascii="Calibri" w:eastAsia="Times New Roman" w:hAnsi="Calibri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minus 16,4 %. </w:t>
      </w:r>
    </w:p>
    <w:p w:rsidR="005712A4" w:rsidRDefault="005712A4" w:rsidP="005712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</w:pPr>
    </w:p>
    <w:p w:rsidR="005712A4" w:rsidRDefault="005712A4" w:rsidP="005712A4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>
        <w:rPr>
          <w:rFonts w:eastAsia="Times New Roman" w:cs="Times New Roman"/>
          <w:b/>
          <w:sz w:val="96"/>
          <w:szCs w:val="96"/>
          <w:lang w:eastAsia="pl-PL"/>
        </w:rPr>
        <w:lastRenderedPageBreak/>
        <w:t xml:space="preserve">Spółki dla których nie można jeszcze obliczyć procentowej zmiany kursu akcji po wprowadzeniu jej do rubryki </w:t>
      </w:r>
      <w:proofErr w:type="gramStart"/>
      <w:r>
        <w:rPr>
          <w:rFonts w:eastAsia="Times New Roman" w:cs="Times New Roman"/>
          <w:b/>
          <w:sz w:val="96"/>
          <w:szCs w:val="96"/>
          <w:lang w:eastAsia="pl-PL"/>
        </w:rPr>
        <w:t>,,</w:t>
      </w:r>
      <w:proofErr w:type="gramEnd"/>
      <w:r>
        <w:rPr>
          <w:rFonts w:eastAsia="Times New Roman" w:cs="Times New Roman"/>
          <w:b/>
          <w:sz w:val="96"/>
          <w:szCs w:val="96"/>
          <w:lang w:eastAsia="pl-PL"/>
        </w:rPr>
        <w:t xml:space="preserve">Wykres do przemyślenia” w okresie 12 pierwszych miesięcy po jej wprowadzeniu do tej rubryki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15 stycznia 2016 roku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-28,2 %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lutego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-15,6 %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-25,9%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marca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11,91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+57,3 %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+57,3 %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-26,4 %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8 kwietnia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Pr="004D7CDC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-4,0 %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-4,0%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-28,5 %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Theme="minorEastAsia" w:cs="Times New Roman"/>
          <w:sz w:val="34"/>
          <w:szCs w:val="34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5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4 maja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12,21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+10,0  %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+10,0  %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-31,2 %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 akcji trzech spółek, których akcje zostały umieszczone w dniu 1 lipca na stronie internetowej </w:t>
      </w:r>
      <w:hyperlink r:id="rId26" w:history="1">
        <w:r>
          <w:rPr>
            <w:rStyle w:val="Hipercze"/>
            <w:rFonts w:eastAsia="Times New Roman" w:cs="Times New Roman"/>
            <w:lang w:eastAsia="pl-PL"/>
          </w:rPr>
          <w:t>http://analizy-rynkowe.pl/</w:t>
        </w:r>
      </w:hyperlink>
      <w:r>
        <w:rPr>
          <w:rFonts w:eastAsia="Times New Roman" w:cs="Times New Roman"/>
          <w:lang w:eastAsia="pl-PL"/>
        </w:rPr>
        <w:t xml:space="preserve"> w rubryce ,,Wykres do przemyślenia” w okresie od 30 czerwca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</w:t>
      </w:r>
      <w:proofErr w:type="gramStart"/>
      <w:r>
        <w:rPr>
          <w:rFonts w:eastAsia="Times New Roman" w:cs="Times New Roman"/>
          <w:lang w:eastAsia="pl-PL"/>
        </w:rPr>
        <w:t>roku  oraz</w:t>
      </w:r>
      <w:proofErr w:type="gramEnd"/>
      <w:r>
        <w:rPr>
          <w:rFonts w:eastAsia="Times New Roman" w:cs="Times New Roman"/>
          <w:lang w:eastAsia="pl-PL"/>
        </w:rPr>
        <w:t xml:space="preserve">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-15,2 %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-9,3 %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Variant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-5,1  %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-9,9  %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-25,2 %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21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21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1,7 %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-22,7  %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23 lipca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22 lipca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47,95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+16,2 %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+16,2%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-20,6 %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3 września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2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2 września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8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11,42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2,0%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-17,7%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4 września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3 września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249,15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-19,4 %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-19,4 %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-19,5 %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9 października na stronie internetowej </w:t>
      </w:r>
      <w:hyperlink r:id="rId31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8 października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Pr="004D7CDC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-3,3 %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275,10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-12,0 %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-7,7 %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-18,4 %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14 października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2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13 października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-15,2 %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-18,3 %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17 października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3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13 października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+5,6 %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+5,6 %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-18,2 %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4 listopada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3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 listopada </w:t>
      </w:r>
      <w:r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2,65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21,0 %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21,0 %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-15,8 %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listopada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27 listopada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54,36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-6,4 %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-6,4 %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-10,4 %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PeKaO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136,50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-2,4 %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-2,4 %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-7,1 %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7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4 grudnia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LC </w:t>
            </w:r>
            <w:proofErr w:type="spellStart"/>
            <w:r>
              <w:rPr>
                <w:rFonts w:eastAsiaTheme="minorEastAsia"/>
                <w:lang w:eastAsia="pl-PL"/>
              </w:rPr>
              <w:t>Corp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+11,1%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color w:val="FF0000"/>
                <w:lang w:eastAsia="pl-PL"/>
              </w:rPr>
              <w:t xml:space="preserve">  +11,1 %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-7,1 %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28 grudnia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38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23 grudnia 2015 roku </w:t>
      </w:r>
      <w:r>
        <w:rPr>
          <w:rFonts w:eastAsia="Times New Roman" w:cs="Times New Roman"/>
          <w:lang w:eastAsia="pl-PL"/>
        </w:rPr>
        <w:t xml:space="preserve">do </w:t>
      </w:r>
      <w:r>
        <w:rPr>
          <w:rFonts w:eastAsia="Times New Roman" w:cs="Times New Roman"/>
          <w:lang w:eastAsia="pl-PL"/>
        </w:rPr>
        <w:t>15</w:t>
      </w:r>
      <w:r>
        <w:rPr>
          <w:rFonts w:eastAsia="Times New Roman" w:cs="Times New Roman"/>
          <w:lang w:eastAsia="pl-PL"/>
        </w:rPr>
        <w:t xml:space="preserve">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Pr="004D3EC0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20,81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-3,2 %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-3,2  %</w:t>
            </w:r>
          </w:p>
        </w:tc>
      </w:tr>
      <w:tr w:rsidR="005712A4" w:rsidTr="00C417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4D7CDC">
              <w:rPr>
                <w:rFonts w:eastAsiaTheme="minorEastAsia"/>
                <w:lang w:eastAsia="pl-PL"/>
              </w:rPr>
              <w:t>1 7</w:t>
            </w:r>
            <w:r>
              <w:rPr>
                <w:rFonts w:eastAsiaTheme="minorEastAsia"/>
                <w:lang w:eastAsia="pl-PL"/>
              </w:rPr>
              <w:t>34</w:t>
            </w:r>
            <w:r w:rsidRPr="004D7CDC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A4" w:rsidRDefault="005712A4" w:rsidP="00C4172C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-7,7 %</w:t>
            </w:r>
          </w:p>
        </w:tc>
      </w:tr>
    </w:tbl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Spółek,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>dla których nie można jeszcze obliczyć</w:t>
      </w:r>
      <w:r>
        <w:rPr>
          <w:rFonts w:eastAsia="Times New Roman" w:cs="Times New Roman"/>
          <w:sz w:val="32"/>
          <w:szCs w:val="32"/>
          <w:lang w:eastAsia="pl-PL"/>
        </w:rPr>
        <w:t xml:space="preserve"> procentowej zmiany kursu akcji po wprowadzeniu jej do rubryki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Wykres do przemyślenia” w okresie 12 pierwszych miesięcy po jej wprowadzeniu do tej rubryki </w:t>
      </w:r>
      <w:r>
        <w:rPr>
          <w:rFonts w:eastAsia="Times New Roman" w:cs="Times New Roman"/>
          <w:sz w:val="32"/>
          <w:szCs w:val="32"/>
          <w:u w:val="single"/>
          <w:lang w:eastAsia="pl-PL"/>
        </w:rPr>
        <w:t xml:space="preserve">jest 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22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W odniesieniu do tej grupy </w:t>
      </w:r>
      <w:r>
        <w:rPr>
          <w:rFonts w:eastAsia="Times New Roman" w:cs="Times New Roman"/>
          <w:b/>
          <w:sz w:val="36"/>
          <w:szCs w:val="36"/>
          <w:u w:val="single"/>
          <w:lang w:eastAsia="pl-PL"/>
        </w:rPr>
        <w:t>22 spółek</w:t>
      </w:r>
      <w:r>
        <w:rPr>
          <w:rFonts w:eastAsia="Times New Roman" w:cs="Times New Roman"/>
          <w:sz w:val="36"/>
          <w:szCs w:val="36"/>
          <w:lang w:eastAsia="pl-PL"/>
        </w:rPr>
        <w:t xml:space="preserve"> można sformułować następujący wniosek: </w:t>
      </w:r>
    </w:p>
    <w:p w:rsidR="005712A4" w:rsidRPr="00E00244" w:rsidRDefault="005712A4" w:rsidP="005712A4">
      <w:pPr>
        <w:spacing w:after="0" w:line="240" w:lineRule="auto"/>
        <w:jc w:val="both"/>
        <w:rPr>
          <w:rFonts w:eastAsia="Times New Roman" w:cs="Times New Roman"/>
          <w:sz w:val="100"/>
          <w:szCs w:val="100"/>
          <w:u w:val="single"/>
          <w:lang w:eastAsia="pl-PL"/>
        </w:rPr>
      </w:pPr>
      <w:r w:rsidRPr="00E00244">
        <w:rPr>
          <w:rFonts w:eastAsia="Times New Roman" w:cs="Times New Roman"/>
          <w:sz w:val="100"/>
          <w:szCs w:val="100"/>
          <w:u w:val="single"/>
          <w:lang w:eastAsia="pl-PL"/>
        </w:rPr>
        <w:lastRenderedPageBreak/>
        <w:t xml:space="preserve">Wniosek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100"/>
          <w:szCs w:val="100"/>
          <w:lang w:eastAsia="pl-PL"/>
        </w:rPr>
      </w:pPr>
    </w:p>
    <w:p w:rsidR="005712A4" w:rsidRPr="00E00244" w:rsidRDefault="005712A4" w:rsidP="005712A4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  <w:r w:rsidRPr="00E00244">
        <w:rPr>
          <w:rFonts w:eastAsia="Times New Roman" w:cs="Times New Roman"/>
          <w:sz w:val="72"/>
          <w:szCs w:val="72"/>
          <w:lang w:eastAsia="pl-PL"/>
        </w:rPr>
        <w:t xml:space="preserve">Warto zauważyć, że </w:t>
      </w:r>
    </w:p>
    <w:p w:rsidR="005712A4" w:rsidRPr="00E00244" w:rsidRDefault="005712A4" w:rsidP="005712A4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5712A4" w:rsidRPr="00E0024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r w:rsidRPr="00E00244"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 xml:space="preserve">spośród </w:t>
      </w:r>
      <w:r w:rsidRPr="00E00244"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 xml:space="preserve">22 </w:t>
      </w:r>
      <w:proofErr w:type="gramStart"/>
      <w:r w:rsidRPr="00E00244"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>spółek</w:t>
      </w:r>
      <w:r w:rsidRPr="00E00244">
        <w:rPr>
          <w:rFonts w:eastAsia="Times New Roman" w:cs="Times New Roman"/>
          <w:sz w:val="72"/>
          <w:szCs w:val="72"/>
          <w:lang w:eastAsia="pl-PL"/>
        </w:rPr>
        <w:t xml:space="preserve"> (których</w:t>
      </w:r>
      <w:proofErr w:type="gramEnd"/>
      <w:r w:rsidRPr="00E00244">
        <w:rPr>
          <w:rFonts w:eastAsia="Times New Roman" w:cs="Times New Roman"/>
          <w:sz w:val="72"/>
          <w:szCs w:val="72"/>
          <w:lang w:eastAsia="pl-PL"/>
        </w:rPr>
        <w:t xml:space="preserve"> lista 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opublikowana jest na str. 14-17) </w:t>
      </w:r>
    </w:p>
    <w:p w:rsidR="005712A4" w:rsidRPr="00E00244" w:rsidRDefault="005712A4" w:rsidP="005712A4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5712A4" w:rsidRPr="00E00244" w:rsidRDefault="005712A4" w:rsidP="005712A4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proofErr w:type="gramStart"/>
      <w:r w:rsidRPr="00E00244">
        <w:rPr>
          <w:rFonts w:eastAsia="Times New Roman" w:cs="Times New Roman"/>
          <w:b/>
          <w:sz w:val="72"/>
          <w:szCs w:val="72"/>
          <w:lang w:eastAsia="pl-PL"/>
        </w:rPr>
        <w:t>kursy</w:t>
      </w:r>
      <w:proofErr w:type="gramEnd"/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 akcji </w:t>
      </w:r>
      <w:r w:rsidRPr="00E00244">
        <w:rPr>
          <w:rFonts w:eastAsia="Times New Roman" w:cs="Times New Roman"/>
          <w:b/>
          <w:color w:val="FF0000"/>
          <w:sz w:val="72"/>
          <w:szCs w:val="72"/>
          <w:lang w:eastAsia="pl-PL"/>
        </w:rPr>
        <w:t>21 spółek</w:t>
      </w:r>
      <w:r w:rsidRPr="00E00244">
        <w:rPr>
          <w:rFonts w:eastAsia="Times New Roman" w:cs="Times New Roman"/>
          <w:sz w:val="72"/>
          <w:szCs w:val="72"/>
          <w:lang w:eastAsia="pl-PL"/>
        </w:rPr>
        <w:t xml:space="preserve"> od momentu owego zakwalifikowania do tej rubryki do dnia 8 stycznia 2016 roku zachowywały się </w:t>
      </w:r>
      <w:r w:rsidRPr="00E00244"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  <w:t>lepiej</w:t>
      </w:r>
      <w:r w:rsidRPr="00E00244">
        <w:rPr>
          <w:rFonts w:eastAsia="Times New Roman" w:cs="Times New Roman"/>
          <w:b/>
          <w:color w:val="FF0000"/>
          <w:sz w:val="72"/>
          <w:szCs w:val="72"/>
          <w:lang w:eastAsia="pl-PL"/>
        </w:rPr>
        <w:t xml:space="preserve"> od indeksu WIG20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 a 1 </w:t>
      </w:r>
      <w:r w:rsidRPr="00E00244">
        <w:rPr>
          <w:rFonts w:eastAsia="Times New Roman" w:cs="Times New Roman"/>
          <w:b/>
          <w:sz w:val="72"/>
          <w:szCs w:val="72"/>
          <w:u w:val="single"/>
          <w:lang w:eastAsia="pl-PL"/>
        </w:rPr>
        <w:t xml:space="preserve">gorzej </w:t>
      </w:r>
      <w:r w:rsidRPr="00E00244">
        <w:rPr>
          <w:rFonts w:eastAsia="Times New Roman" w:cs="Times New Roman"/>
          <w:b/>
          <w:sz w:val="72"/>
          <w:szCs w:val="72"/>
          <w:lang w:eastAsia="pl-PL"/>
        </w:rPr>
        <w:t xml:space="preserve">od indeksu WIG20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proofErr w:type="gramStart"/>
      <w:r>
        <w:rPr>
          <w:rFonts w:eastAsia="Times New Roman" w:cs="Times New Roman"/>
          <w:sz w:val="66"/>
          <w:szCs w:val="66"/>
          <w:lang w:eastAsia="pl-PL"/>
        </w:rPr>
        <w:lastRenderedPageBreak/>
        <w:t xml:space="preserve">Uwaga ! – 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na poprzedniej stronie przedstawiłem wyniki badań dotyczących zachowania kursów akcji tych spółek, które znalazły się w rubryce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>,,</w:t>
      </w:r>
      <w:proofErr w:type="gramEnd"/>
      <w:r>
        <w:rPr>
          <w:rFonts w:eastAsia="Times New Roman" w:cs="Times New Roman"/>
          <w:sz w:val="66"/>
          <w:szCs w:val="66"/>
          <w:lang w:eastAsia="pl-PL"/>
        </w:rPr>
        <w:t xml:space="preserve">Wykres do przemyślenia”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</w:t>
      </w:r>
      <w:proofErr w:type="gramStart"/>
      <w:r>
        <w:rPr>
          <w:rFonts w:eastAsia="Times New Roman" w:cs="Times New Roman"/>
          <w:sz w:val="66"/>
          <w:szCs w:val="66"/>
          <w:lang w:eastAsia="pl-PL"/>
        </w:rPr>
        <w:t xml:space="preserve">internetowej  </w:t>
      </w:r>
      <w:hyperlink r:id="rId39" w:history="1">
        <w:proofErr w:type="gramEnd"/>
        <w:r>
          <w:rPr>
            <w:rStyle w:val="Hipercze"/>
            <w:rFonts w:eastAsia="Times New Roman" w:cs="Times New Roman"/>
            <w:sz w:val="66"/>
            <w:szCs w:val="66"/>
            <w:lang w:eastAsia="pl-PL"/>
          </w:rPr>
          <w:t>http://analizy-rynkowe.pl/</w:t>
        </w:r>
      </w:hyperlink>
      <w:r>
        <w:rPr>
          <w:rFonts w:eastAsia="Times New Roman" w:cs="Times New Roman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5712A4" w:rsidRDefault="005712A4" w:rsidP="0057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lastRenderedPageBreak/>
        <w:t>Generalny wniosek:</w:t>
      </w:r>
    </w:p>
    <w:p w:rsidR="005712A4" w:rsidRDefault="005712A4" w:rsidP="0057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 xml:space="preserve">kursy akcji spółki po wprowadzeniu jej do rubryki </w:t>
      </w:r>
      <w:proofErr w:type="gramStart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,,</w:t>
      </w:r>
      <w:proofErr w:type="gramEnd"/>
      <w:r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Wykres do przemyślenia” zasadniczo rzecz biorąc wykazują relatywną przewagę nad indeksem WIG20</w:t>
      </w:r>
    </w:p>
    <w:p w:rsidR="005712A4" w:rsidRDefault="005712A4" w:rsidP="005712A4">
      <w:pPr>
        <w:rPr>
          <w:rFonts w:eastAsia="Times New Roman" w:cs="Times New Roman"/>
          <w:lang w:eastAsia="pl-PL"/>
        </w:rPr>
      </w:pPr>
    </w:p>
    <w:p w:rsidR="005712A4" w:rsidRDefault="005712A4" w:rsidP="005712A4">
      <w:pPr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5712A4" w:rsidRDefault="005712A4" w:rsidP="005712A4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5712A4" w:rsidRPr="00F5218C" w:rsidRDefault="005712A4" w:rsidP="00571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F5218C"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 w:rsidRPr="00F5218C">
        <w:rPr>
          <w:rFonts w:eastAsia="Times New Roman" w:cs="Times New Roman"/>
          <w:b/>
          <w:color w:val="FF0000"/>
          <w:lang w:eastAsia="pl-PL"/>
        </w:rPr>
        <w:t>4,5644</w:t>
      </w:r>
      <w:r w:rsidRPr="00F5218C">
        <w:rPr>
          <w:rFonts w:eastAsia="Times New Roman" w:cs="Times New Roman"/>
          <w:color w:val="FF0000"/>
          <w:lang w:eastAsia="pl-PL"/>
        </w:rPr>
        <w:t xml:space="preserve"> </w:t>
      </w:r>
      <w:r w:rsidRPr="00F5218C">
        <w:rPr>
          <w:rFonts w:eastAsia="Times New Roman" w:cs="Times New Roman"/>
          <w:lang w:eastAsia="pl-PL"/>
        </w:rPr>
        <w:t>(szczyt z 13 grudnia 2011 roku).</w:t>
      </w:r>
    </w:p>
    <w:p w:rsidR="005712A4" w:rsidRPr="00F5218C" w:rsidRDefault="005712A4" w:rsidP="005712A4">
      <w:pPr>
        <w:spacing w:after="0" w:line="240" w:lineRule="auto"/>
        <w:ind w:left="720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5712A4" w:rsidRDefault="005712A4" w:rsidP="00571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F5218C">
        <w:rPr>
          <w:rFonts w:eastAsia="Times New Roman" w:cs="Times New Roman"/>
          <w:color w:val="000000" w:themeColor="text1"/>
          <w:lang w:eastAsia="pl-PL"/>
        </w:rPr>
        <w:t xml:space="preserve">W poprzednim tygodniu WIG20 zyskał na wartości 0,6 %. WIG spadł z kolei o 0,1 %. Możliwe, że jedną z przyczyn zwyżek była wypowiedź ministra finansów Pawła </w:t>
      </w:r>
      <w:proofErr w:type="spellStart"/>
      <w:r w:rsidRPr="00F5218C">
        <w:rPr>
          <w:rFonts w:eastAsia="Times New Roman" w:cs="Times New Roman"/>
          <w:color w:val="000000" w:themeColor="text1"/>
          <w:lang w:eastAsia="pl-PL"/>
        </w:rPr>
        <w:t>Szałamachy</w:t>
      </w:r>
      <w:proofErr w:type="spellEnd"/>
      <w:r w:rsidRPr="00F5218C">
        <w:rPr>
          <w:rFonts w:eastAsia="Times New Roman" w:cs="Times New Roman"/>
          <w:color w:val="000000" w:themeColor="text1"/>
          <w:lang w:eastAsia="pl-PL"/>
        </w:rPr>
        <w:t xml:space="preserve">, który podczas spotkania w Auli Uniwersytetu Ekonomicznego w Poznaniu poinformował, że </w:t>
      </w:r>
      <w:r w:rsidRPr="00F5218C">
        <w:rPr>
          <w:rFonts w:eastAsia="Times New Roman" w:cs="Times New Roman"/>
          <w:b/>
          <w:color w:val="000000" w:themeColor="text1"/>
          <w:lang w:eastAsia="pl-PL"/>
        </w:rPr>
        <w:t>rząd nie zamierza podejmować działań zmierzających do zmiany sposobu funkcjonowania OFE.</w:t>
      </w:r>
      <w:r w:rsidRPr="00F5218C">
        <w:rPr>
          <w:rFonts w:eastAsia="Times New Roman" w:cs="Times New Roman"/>
          <w:color w:val="000000" w:themeColor="text1"/>
          <w:lang w:eastAsia="pl-PL"/>
        </w:rPr>
        <w:t xml:space="preserve"> Wydaje się, że aby WIG20 przełamał trend spadkowy musiałby wzrosnąć do poziomu szczytu z 29 grudnia 2015 roku </w:t>
      </w:r>
      <w:r w:rsidRPr="00F5218C">
        <w:rPr>
          <w:rFonts w:eastAsia="Times New Roman" w:cs="Times New Roman"/>
          <w:b/>
          <w:color w:val="000000" w:themeColor="text1"/>
          <w:lang w:eastAsia="pl-PL"/>
        </w:rPr>
        <w:t>(1 893,92 pkt.).</w:t>
      </w:r>
    </w:p>
    <w:p w:rsidR="005712A4" w:rsidRDefault="005712A4" w:rsidP="005712A4">
      <w:pPr>
        <w:spacing w:after="0" w:line="240" w:lineRule="auto"/>
        <w:contextualSpacing/>
        <w:jc w:val="both"/>
        <w:rPr>
          <w:rFonts w:eastAsia="Times New Roman" w:cs="Times New Roman"/>
          <w:b/>
          <w:u w:val="single"/>
          <w:lang w:eastAsia="pl-PL"/>
        </w:rPr>
      </w:pPr>
    </w:p>
    <w:p w:rsidR="005712A4" w:rsidRDefault="005712A4" w:rsidP="005712A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Trwa styczeń 2016 roku. W tej sytuacji powstaje pytanie: czy znów pojawi się efekt małych spółek na GPW w </w:t>
      </w:r>
      <w:proofErr w:type="gramStart"/>
      <w:r>
        <w:rPr>
          <w:rFonts w:eastAsia="Times New Roman" w:cs="Times New Roman"/>
          <w:lang w:eastAsia="pl-PL"/>
        </w:rPr>
        <w:t xml:space="preserve">Warszawie ? </w:t>
      </w:r>
      <w:proofErr w:type="gramEnd"/>
      <w:r>
        <w:rPr>
          <w:rFonts w:eastAsia="Times New Roman" w:cs="Times New Roman"/>
          <w:b/>
          <w:lang w:eastAsia="pl-PL"/>
        </w:rPr>
        <w:t xml:space="preserve">Efekt małych spółek polega na stosunkowo silnym zachowaniu segmentu akcji małych </w:t>
      </w:r>
      <w:proofErr w:type="spellStart"/>
      <w:r>
        <w:rPr>
          <w:rFonts w:eastAsia="Times New Roman" w:cs="Times New Roman"/>
          <w:b/>
          <w:lang w:eastAsia="pl-PL"/>
        </w:rPr>
        <w:t>spółekw</w:t>
      </w:r>
      <w:proofErr w:type="spellEnd"/>
      <w:r>
        <w:rPr>
          <w:rFonts w:eastAsia="Times New Roman" w:cs="Times New Roman"/>
          <w:b/>
          <w:lang w:eastAsia="pl-PL"/>
        </w:rPr>
        <w:t xml:space="preserve"> stosunku do segmentu akcji innych spółek w styczniu.</w:t>
      </w:r>
      <w:r>
        <w:rPr>
          <w:rFonts w:eastAsia="Times New Roman" w:cs="Times New Roman"/>
          <w:lang w:eastAsia="pl-PL"/>
        </w:rPr>
        <w:t xml:space="preserve"> W przypadku polskiego rynku akcji jego istotą jest na przykład występowanie wyższej stopy zwrotu w przypadku indeksu małych spółek (sWIG80) niż w przypadku indeksu spółek dużych (WIG20). O ile do 2002 było w tej mierze bardzo różnie (raz lepszy w styczniu był pierwszy indeks, raz drugi) to od 2003 r. mamy już do czynienia z sytuacją wręcz zdumiewającą, gdyż </w:t>
      </w:r>
      <w:r>
        <w:rPr>
          <w:rFonts w:eastAsia="Times New Roman" w:cs="Times New Roman"/>
          <w:b/>
          <w:lang w:eastAsia="pl-PL"/>
        </w:rPr>
        <w:t>w każdym roku okresu 2003-2015 zachowanie indeksu małych spółek (sWIG80) w styczniu było lepsze niż zachowanie indeksu spółek dużych (WIG20).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18 stycznia 2016 roku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40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5712A4" w:rsidRDefault="005712A4" w:rsidP="005712A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712A4" w:rsidRDefault="005712A4" w:rsidP="005712A4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1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5712A4" w:rsidRDefault="005712A4" w:rsidP="005712A4">
      <w:pPr>
        <w:spacing w:after="0" w:line="240" w:lineRule="auto"/>
        <w:jc w:val="both"/>
      </w:pPr>
    </w:p>
    <w:p w:rsidR="005712A4" w:rsidRPr="00D40174" w:rsidRDefault="005712A4" w:rsidP="005712A4">
      <w:pPr>
        <w:spacing w:after="0" w:line="240" w:lineRule="auto"/>
        <w:jc w:val="both"/>
        <w:rPr>
          <w:sz w:val="26"/>
          <w:szCs w:val="26"/>
        </w:rPr>
      </w:pPr>
    </w:p>
    <w:p w:rsidR="00BF1F58" w:rsidRDefault="00BF1F58"/>
    <w:sectPr w:rsidR="00B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4"/>
    <w:rsid w:val="00217262"/>
    <w:rsid w:val="005712A4"/>
    <w:rsid w:val="00B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2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1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2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712A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2A4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57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712A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2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1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A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2A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712A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2A4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57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712A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er.pl/wiadomosc/Przesluchanie-kandydatow-do-RPP-przez-poslow-i-senatorow-3468591.html" TargetMode="External"/><Relationship Id="rId13" Type="http://schemas.openxmlformats.org/officeDocument/2006/relationships/hyperlink" Target="http://analizy-rynkowe.pl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analizy-rynkowe.pl/" TargetMode="External"/><Relationship Id="rId39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4166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2016-01-17T17:06:00Z</dcterms:created>
  <dcterms:modified xsi:type="dcterms:W3CDTF">2016-01-17T17:06:00Z</dcterms:modified>
</cp:coreProperties>
</file>