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F7" w:rsidRDefault="00BF3EF7" w:rsidP="00BF3EF7">
      <w:pPr>
        <w:spacing w:after="0" w:line="240" w:lineRule="auto"/>
        <w:jc w:val="cente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pPr>
      <w:bookmarkStart w:id="0" w:name="_GoBack"/>
      <w:bookmarkEnd w:id="0"/>
      <w: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t>Raport</w:t>
      </w:r>
    </w:p>
    <w:p w:rsidR="00BF3EF7" w:rsidRDefault="00BF3EF7" w:rsidP="00BF3EF7">
      <w:pPr>
        <w:spacing w:after="0" w:line="240" w:lineRule="auto"/>
        <w:jc w:val="cente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pPr>
      <w:r>
        <w:rPr>
          <w:rFonts w:eastAsiaTheme="minorEastAsia"/>
          <w:color w:val="FF0000"/>
          <w:sz w:val="180"/>
          <w:szCs w:val="180"/>
          <w:lang w:eastAsia="pl-PL"/>
          <w14:shadow w14:blurRad="50800" w14:dist="38100" w14:dir="2700000" w14:sx="100000" w14:sy="100000" w14:kx="0" w14:ky="0" w14:algn="tl">
            <w14:srgbClr w14:val="000000">
              <w14:alpha w14:val="60000"/>
            </w14:srgbClr>
          </w14:shadow>
        </w:rPr>
        <w:t>Tygodniowy</w:t>
      </w:r>
    </w:p>
    <w:p w:rsidR="00BF3EF7" w:rsidRDefault="00BF3EF7" w:rsidP="00BF3EF7">
      <w:pPr>
        <w:spacing w:after="0" w:line="240" w:lineRule="auto"/>
        <w:jc w:val="cente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pPr>
      <w:proofErr w:type="gramStart"/>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o</w:t>
      </w:r>
      <w:proofErr w:type="gramEnd"/>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 xml:space="preserve"> sytuacji na</w:t>
      </w:r>
    </w:p>
    <w:p w:rsidR="00BF3EF7" w:rsidRDefault="00BF3EF7" w:rsidP="00BF3EF7">
      <w:pPr>
        <w:spacing w:after="0" w:line="240" w:lineRule="auto"/>
        <w:jc w:val="cente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pPr>
      <w:proofErr w:type="gramStart"/>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rynkach</w:t>
      </w:r>
      <w:proofErr w:type="gramEnd"/>
      <w:r>
        <w:rPr>
          <w:rFonts w:eastAsiaTheme="minorEastAsia"/>
          <w:color w:val="FF0000"/>
          <w:sz w:val="100"/>
          <w:szCs w:val="100"/>
          <w:lang w:eastAsia="pl-PL"/>
          <w14:shadow w14:blurRad="50800" w14:dist="38100" w14:dir="2700000" w14:sx="100000" w14:sy="100000" w14:kx="0" w14:ky="0" w14:algn="tl">
            <w14:srgbClr w14:val="000000">
              <w14:alpha w14:val="60000"/>
            </w14:srgbClr>
          </w14:shadow>
        </w:rPr>
        <w:t xml:space="preserve"> finansowych</w:t>
      </w:r>
    </w:p>
    <w:p w:rsidR="00BF3EF7" w:rsidRDefault="00BF3EF7" w:rsidP="00BF3EF7">
      <w:pPr>
        <w:spacing w:after="0" w:line="240" w:lineRule="auto"/>
        <w:jc w:val="center"/>
        <w:rPr>
          <w:rFonts w:eastAsiaTheme="minorEastAsia"/>
          <w:sz w:val="48"/>
          <w:szCs w:val="48"/>
          <w:lang w:eastAsia="pl-PL"/>
        </w:rPr>
      </w:pPr>
    </w:p>
    <w:p w:rsidR="00BF3EF7" w:rsidRDefault="00BF3EF7" w:rsidP="00BF3EF7">
      <w:pPr>
        <w:spacing w:after="0" w:line="240" w:lineRule="auto"/>
        <w:jc w:val="center"/>
        <w:rPr>
          <w:rFonts w:eastAsiaTheme="minorEastAsia"/>
          <w:sz w:val="48"/>
          <w:szCs w:val="48"/>
          <w:lang w:eastAsia="pl-PL"/>
        </w:rPr>
      </w:pPr>
    </w:p>
    <w:p w:rsidR="00BF3EF7" w:rsidRDefault="00BF3EF7" w:rsidP="00BF3EF7">
      <w:pPr>
        <w:spacing w:after="0" w:line="240" w:lineRule="auto"/>
        <w:jc w:val="center"/>
        <w:rPr>
          <w:rFonts w:eastAsiaTheme="minorEastAsia"/>
          <w:sz w:val="100"/>
          <w:szCs w:val="100"/>
          <w:u w:val="single"/>
          <w:lang w:eastAsia="pl-PL"/>
          <w14:shadow w14:blurRad="50800" w14:dist="38100" w14:dir="2700000" w14:sx="100000" w14:sy="100000" w14:kx="0" w14:ky="0" w14:algn="tl">
            <w14:srgbClr w14:val="000000">
              <w14:alpha w14:val="60000"/>
            </w14:srgbClr>
          </w14:shadow>
        </w:rPr>
      </w:pPr>
      <w:r>
        <w:rPr>
          <w:rFonts w:eastAsiaTheme="minorEastAsia"/>
          <w:sz w:val="100"/>
          <w:szCs w:val="100"/>
          <w:u w:val="single"/>
          <w:lang w:eastAsia="pl-PL"/>
          <w14:shadow w14:blurRad="50800" w14:dist="38100" w14:dir="2700000" w14:sx="100000" w14:sy="100000" w14:kx="0" w14:ky="0" w14:algn="tl">
            <w14:srgbClr w14:val="000000">
              <w14:alpha w14:val="60000"/>
            </w14:srgbClr>
          </w14:shadow>
        </w:rPr>
        <w:t>Rynek walutowy</w:t>
      </w:r>
    </w:p>
    <w:p w:rsidR="00BF3EF7" w:rsidRDefault="00BF3EF7" w:rsidP="00BF3EF7">
      <w:pPr>
        <w:spacing w:after="0" w:line="240" w:lineRule="auto"/>
        <w:jc w:val="center"/>
        <w:rPr>
          <w:rFonts w:eastAsiaTheme="minorEastAsia"/>
          <w:sz w:val="100"/>
          <w:szCs w:val="100"/>
          <w:lang w:eastAsia="pl-PL"/>
          <w14:shadow w14:blurRad="50800" w14:dist="38100" w14:dir="2700000" w14:sx="100000" w14:sy="100000" w14:kx="0" w14:ky="0" w14:algn="tl">
            <w14:srgbClr w14:val="000000">
              <w14:alpha w14:val="60000"/>
            </w14:srgbClr>
          </w14:shadow>
        </w:rPr>
      </w:pPr>
    </w:p>
    <w:p w:rsidR="00BF3EF7" w:rsidRDefault="00BF3EF7" w:rsidP="00BF3EF7">
      <w:pPr>
        <w:jc w:val="center"/>
        <w:rPr>
          <w:rFonts w:eastAsiaTheme="minorEastAsia"/>
          <w:sz w:val="100"/>
          <w:szCs w:val="100"/>
          <w:u w:val="single"/>
          <w:lang w:eastAsia="pl-PL"/>
          <w14:shadow w14:blurRad="50800" w14:dist="38100" w14:dir="2700000" w14:sx="100000" w14:sy="100000" w14:kx="0" w14:ky="0" w14:algn="tl">
            <w14:srgbClr w14:val="000000">
              <w14:alpha w14:val="60000"/>
            </w14:srgbClr>
          </w14:shadow>
        </w:rPr>
      </w:pPr>
      <w:r>
        <w:rPr>
          <w:rFonts w:eastAsiaTheme="minorEastAsia"/>
          <w:sz w:val="100"/>
          <w:szCs w:val="100"/>
          <w:u w:val="single"/>
          <w:lang w:eastAsia="pl-PL"/>
          <w14:shadow w14:blurRad="50800" w14:dist="38100" w14:dir="2700000" w14:sx="100000" w14:sy="100000" w14:kx="0" w14:ky="0" w14:algn="tl">
            <w14:srgbClr w14:val="000000">
              <w14:alpha w14:val="60000"/>
            </w14:srgbClr>
          </w14:shadow>
        </w:rPr>
        <w:t>Rynek akcji</w:t>
      </w:r>
    </w:p>
    <w:p w:rsidR="00DD5587" w:rsidRDefault="00DD5587" w:rsidP="00BF3EF7">
      <w:pPr>
        <w:jc w:val="center"/>
        <w:rPr>
          <w:rFonts w:eastAsiaTheme="minorEastAsia"/>
          <w:lang w:eastAsia="pl-PL"/>
        </w:rPr>
      </w:pPr>
    </w:p>
    <w:p w:rsidR="00DD5587" w:rsidRDefault="00DD5587" w:rsidP="00BF3EF7">
      <w:pPr>
        <w:spacing w:after="0" w:line="240" w:lineRule="auto"/>
        <w:jc w:val="both"/>
        <w:rPr>
          <w:rFonts w:eastAsiaTheme="minorEastAsia"/>
          <w:sz w:val="24"/>
          <w:szCs w:val="24"/>
          <w:lang w:eastAsia="pl-PL"/>
          <w14:shadow w14:blurRad="50800" w14:dist="38100" w14:dir="2700000" w14:sx="100000" w14:sy="100000" w14:kx="0" w14:ky="0" w14:algn="tl">
            <w14:srgbClr w14:val="000000">
              <w14:alpha w14:val="60000"/>
            </w14:srgbClr>
          </w14:shadow>
        </w:rPr>
      </w:pPr>
    </w:p>
    <w:p w:rsidR="00BF3EF7" w:rsidRDefault="00BF3EF7" w:rsidP="00BF3EF7">
      <w:pPr>
        <w:spacing w:after="0" w:line="240" w:lineRule="auto"/>
        <w:jc w:val="both"/>
        <w:rPr>
          <w:rFonts w:eastAsiaTheme="minorEastAsia"/>
          <w:sz w:val="24"/>
          <w:szCs w:val="24"/>
          <w:lang w:eastAsia="pl-PL"/>
          <w14:shadow w14:blurRad="50800" w14:dist="38100" w14:dir="2700000" w14:sx="100000" w14:sy="100000" w14:kx="0" w14:ky="0" w14:algn="tl">
            <w14:srgbClr w14:val="000000">
              <w14:alpha w14:val="60000"/>
            </w14:srgbClr>
          </w14:shadow>
        </w:rPr>
      </w:pPr>
      <w:r>
        <w:rPr>
          <w:rFonts w:eastAsiaTheme="minorEastAsia"/>
          <w:sz w:val="24"/>
          <w:szCs w:val="24"/>
          <w:lang w:eastAsia="pl-PL"/>
          <w14:shadow w14:blurRad="50800" w14:dist="38100" w14:dir="2700000" w14:sx="100000" w14:sy="100000" w14:kx="0" w14:ky="0" w14:algn="tl">
            <w14:srgbClr w14:val="000000">
              <w14:alpha w14:val="60000"/>
            </w14:srgbClr>
          </w14:shadow>
        </w:rPr>
        <w:lastRenderedPageBreak/>
        <w:t xml:space="preserve">Poniedziałek, </w:t>
      </w:r>
      <w:r w:rsidR="00CA17A4">
        <w:rPr>
          <w:rFonts w:eastAsiaTheme="minorEastAsia"/>
          <w:sz w:val="24"/>
          <w:szCs w:val="24"/>
          <w:lang w:eastAsia="pl-PL"/>
          <w14:shadow w14:blurRad="50800" w14:dist="38100" w14:dir="2700000" w14:sx="100000" w14:sy="100000" w14:kx="0" w14:ky="0" w14:algn="tl">
            <w14:srgbClr w14:val="000000">
              <w14:alpha w14:val="60000"/>
            </w14:srgbClr>
          </w14:shadow>
        </w:rPr>
        <w:t>4</w:t>
      </w:r>
      <w:r>
        <w:rPr>
          <w:rFonts w:eastAsiaTheme="minorEastAsia"/>
          <w:sz w:val="24"/>
          <w:szCs w:val="24"/>
          <w:lang w:eastAsia="pl-PL"/>
          <w14:shadow w14:blurRad="50800" w14:dist="38100" w14:dir="2700000" w14:sx="100000" w14:sy="100000" w14:kx="0" w14:ky="0" w14:algn="tl">
            <w14:srgbClr w14:val="000000">
              <w14:alpha w14:val="60000"/>
            </w14:srgbClr>
          </w14:shadow>
        </w:rPr>
        <w:t xml:space="preserve"> stycznia 2016 roku</w:t>
      </w:r>
    </w:p>
    <w:p w:rsidR="00BF3EF7" w:rsidRDefault="00BF3EF7" w:rsidP="00BF3EF7">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lang w:eastAsia="pl-PL"/>
        </w:rPr>
      </w:pPr>
      <w:r>
        <w:rPr>
          <w:rFonts w:eastAsiaTheme="minorEastAsia"/>
          <w:lang w:eastAsia="pl-PL"/>
        </w:rPr>
        <w:t>Kurs USD/PLN – perspektywa długoterminowa, kurs z 31 grudnia 2015 roku = 3,9256</w:t>
      </w:r>
    </w:p>
    <w:p w:rsidR="00CB1332" w:rsidRDefault="00CB1332" w:rsidP="00BF3EF7">
      <w:pPr>
        <w:spacing w:after="0" w:line="240" w:lineRule="auto"/>
        <w:jc w:val="both"/>
        <w:rPr>
          <w:rFonts w:eastAsiaTheme="minorEastAsia"/>
          <w:lang w:eastAsia="pl-PL"/>
        </w:rPr>
      </w:pPr>
    </w:p>
    <w:p w:rsidR="00BF3EF7" w:rsidRDefault="00CB1332" w:rsidP="00BF3EF7">
      <w:pPr>
        <w:spacing w:after="0" w:line="240" w:lineRule="auto"/>
        <w:jc w:val="both"/>
        <w:rPr>
          <w:rFonts w:eastAsiaTheme="minorEastAsia"/>
          <w:lang w:eastAsia="pl-PL"/>
        </w:rPr>
      </w:pPr>
      <w:r>
        <w:rPr>
          <w:rFonts w:eastAsiaTheme="minorEastAsia"/>
          <w:noProof/>
          <w:lang w:eastAsia="pl-PL"/>
        </w:rPr>
        <w:drawing>
          <wp:inline distT="0" distB="0" distL="0" distR="0" wp14:anchorId="50494DA5">
            <wp:extent cx="4829175" cy="29051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BF3EF7" w:rsidRDefault="00BF3EF7" w:rsidP="00BF3EF7">
      <w:pPr>
        <w:spacing w:after="0" w:line="240" w:lineRule="auto"/>
        <w:jc w:val="both"/>
        <w:rPr>
          <w:rFonts w:eastAsiaTheme="minorEastAsia"/>
          <w:b/>
          <w:color w:val="FF0000"/>
          <w:lang w:eastAsia="pl-PL"/>
        </w:rPr>
      </w:pPr>
      <w:r>
        <w:rPr>
          <w:rFonts w:eastAsiaTheme="minorEastAsia"/>
          <w:lang w:eastAsia="pl-PL"/>
        </w:rPr>
        <w:t xml:space="preserve">Kurs dolara amerykańskiego (w złotych) przebił 52-tygodniowe maksimum, co było spowodowane zaprezentowaniem bardzo dobrych danych o sytuacji na rynku pracy w USA w piątek 6 listopada. Dzięki temu nastąpiło wybicie z nietypowej formacji podwójnego dna, co powinno skutkować wzrostem kursu dolara amerykańskiego </w:t>
      </w:r>
      <w:r>
        <w:rPr>
          <w:rFonts w:eastAsiaTheme="minorEastAsia"/>
          <w:b/>
          <w:color w:val="FF0000"/>
          <w:lang w:eastAsia="pl-PL"/>
        </w:rPr>
        <w:t xml:space="preserve">do 4,4252 zł. </w:t>
      </w:r>
    </w:p>
    <w:p w:rsidR="00BF3EF7" w:rsidRDefault="00BF3EF7" w:rsidP="00BF3EF7">
      <w:pPr>
        <w:pBdr>
          <w:top w:val="single" w:sz="4" w:space="1" w:color="auto"/>
          <w:left w:val="single" w:sz="4" w:space="4" w:color="auto"/>
          <w:bottom w:val="single" w:sz="4" w:space="1" w:color="auto"/>
          <w:right w:val="single" w:sz="4" w:space="4" w:color="auto"/>
        </w:pBdr>
        <w:spacing w:after="0" w:line="240" w:lineRule="auto"/>
        <w:jc w:val="center"/>
        <w:rPr>
          <w:rFonts w:eastAsiaTheme="minorEastAsia"/>
          <w:lang w:eastAsia="pl-PL"/>
        </w:rPr>
      </w:pPr>
      <w:r>
        <w:rPr>
          <w:rFonts w:eastAsiaTheme="minorEastAsia"/>
          <w:lang w:eastAsia="pl-PL"/>
        </w:rPr>
        <w:t>Kurs EUR/PLN – perspektywa średniookresowa, kurs z 31 grudnia 2015 roku = 4,2633</w:t>
      </w:r>
    </w:p>
    <w:p w:rsidR="00BF3EF7" w:rsidRDefault="00BF3EF7" w:rsidP="00BF3EF7">
      <w:pPr>
        <w:spacing w:after="0" w:line="240" w:lineRule="auto"/>
        <w:jc w:val="both"/>
        <w:rPr>
          <w:rFonts w:eastAsiaTheme="minorEastAsia"/>
          <w:lang w:eastAsia="pl-PL"/>
        </w:rPr>
      </w:pPr>
    </w:p>
    <w:p w:rsidR="00CB1332" w:rsidRDefault="00CB1332" w:rsidP="00BF3EF7">
      <w:pPr>
        <w:spacing w:after="0" w:line="240" w:lineRule="auto"/>
        <w:jc w:val="both"/>
        <w:rPr>
          <w:rFonts w:eastAsiaTheme="minorEastAsia"/>
          <w:lang w:eastAsia="pl-PL"/>
        </w:rPr>
      </w:pPr>
      <w:r>
        <w:rPr>
          <w:rFonts w:eastAsiaTheme="minorEastAsia"/>
          <w:noProof/>
          <w:lang w:eastAsia="pl-PL"/>
        </w:rPr>
        <w:drawing>
          <wp:inline distT="0" distB="0" distL="0" distR="0" wp14:anchorId="620A1FB4">
            <wp:extent cx="4829175" cy="29051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2905125"/>
                    </a:xfrm>
                    <a:prstGeom prst="rect">
                      <a:avLst/>
                    </a:prstGeom>
                    <a:noFill/>
                  </pic:spPr>
                </pic:pic>
              </a:graphicData>
            </a:graphic>
          </wp:inline>
        </w:drawing>
      </w:r>
    </w:p>
    <w:p w:rsidR="00BF3EF7" w:rsidRDefault="00BF3EF7" w:rsidP="00BF3EF7">
      <w:pPr>
        <w:spacing w:after="0" w:line="240" w:lineRule="auto"/>
        <w:jc w:val="both"/>
        <w:rPr>
          <w:rFonts w:eastAsiaTheme="minorEastAsia"/>
          <w:color w:val="000000" w:themeColor="text1"/>
          <w:lang w:eastAsia="pl-PL"/>
        </w:rPr>
      </w:pPr>
      <w:r>
        <w:rPr>
          <w:rFonts w:eastAsiaTheme="minorEastAsia"/>
          <w:lang w:eastAsia="pl-PL"/>
        </w:rPr>
        <w:t xml:space="preserve">Kurs euro (w złotych) od końca kwietnia 2015 roku znajduje się w trendzie wzrostowym. Generalnie rzecz biorąc powyższy proces (będący mówiąc inaczej synonimem osłabienia złotego wobec euro) wynikał prawdopodobnie z odpływu kapitału zagranicznego z wschodzących rynków finansowych. Na wykresie kursu euro (w złotych) doszło do wybicia z formacji nietypowej formacji podwójnego dna, </w:t>
      </w:r>
      <w:r w:rsidR="00CB1332">
        <w:rPr>
          <w:rFonts w:eastAsiaTheme="minorEastAsia"/>
          <w:lang w:eastAsia="pl-PL"/>
        </w:rPr>
        <w:t>d</w:t>
      </w:r>
      <w:r>
        <w:rPr>
          <w:rFonts w:eastAsiaTheme="minorEastAsia"/>
          <w:lang w:eastAsia="pl-PL"/>
        </w:rPr>
        <w:t xml:space="preserve">zięki czemu doszło do wzrostu kursu euro (w złotych) do </w:t>
      </w:r>
      <w:r>
        <w:rPr>
          <w:rFonts w:eastAsiaTheme="minorEastAsia"/>
          <w:b/>
          <w:color w:val="FF0000"/>
          <w:lang w:eastAsia="pl-PL"/>
        </w:rPr>
        <w:t>4,3607 zł</w:t>
      </w:r>
      <w:r>
        <w:rPr>
          <w:rFonts w:eastAsiaTheme="minorEastAsia"/>
          <w:color w:val="000000" w:themeColor="text1"/>
          <w:lang w:eastAsia="pl-PL"/>
        </w:rPr>
        <w:t>. Dojście do oporu (szczyt z 26 grudnia 2014 roku) może spowodować osł</w:t>
      </w:r>
      <w:r w:rsidR="00746875">
        <w:rPr>
          <w:rFonts w:eastAsiaTheme="minorEastAsia"/>
          <w:color w:val="000000" w:themeColor="text1"/>
          <w:lang w:eastAsia="pl-PL"/>
        </w:rPr>
        <w:t xml:space="preserve">abienie kursu euro (w złotych), zwłaszcza, że przebity został trend wzrostowy poprowadzony przez </w:t>
      </w:r>
      <w:proofErr w:type="gramStart"/>
      <w:r w:rsidR="00746875">
        <w:rPr>
          <w:rFonts w:eastAsiaTheme="minorEastAsia"/>
          <w:color w:val="000000" w:themeColor="text1"/>
          <w:lang w:eastAsia="pl-PL"/>
        </w:rPr>
        <w:t>dołki  z</w:t>
      </w:r>
      <w:proofErr w:type="gramEnd"/>
      <w:r w:rsidR="00746875">
        <w:rPr>
          <w:rFonts w:eastAsiaTheme="minorEastAsia"/>
          <w:color w:val="000000" w:themeColor="text1"/>
          <w:lang w:eastAsia="pl-PL"/>
        </w:rPr>
        <w:t xml:space="preserve"> kwietnia i listopada 2015 roku </w:t>
      </w:r>
    </w:p>
    <w:p w:rsidR="00746875" w:rsidRDefault="00746875" w:rsidP="00BF3EF7">
      <w:pPr>
        <w:spacing w:after="0" w:line="240" w:lineRule="auto"/>
        <w:jc w:val="both"/>
        <w:rPr>
          <w:rFonts w:eastAsiaTheme="minorEastAsia"/>
          <w:color w:val="000000" w:themeColor="text1"/>
          <w:lang w:eastAsia="pl-PL"/>
        </w:rPr>
      </w:pPr>
    </w:p>
    <w:p w:rsidR="00746875" w:rsidRDefault="00746875" w:rsidP="00746875">
      <w:pPr>
        <w:pStyle w:val="Bezodstpw"/>
        <w:pBdr>
          <w:top w:val="single" w:sz="4" w:space="1" w:color="auto"/>
          <w:left w:val="single" w:sz="4" w:space="4" w:color="auto"/>
          <w:bottom w:val="single" w:sz="4" w:space="1" w:color="auto"/>
          <w:right w:val="single" w:sz="4" w:space="4" w:color="auto"/>
        </w:pBdr>
        <w:shd w:val="clear" w:color="auto" w:fill="FFFF00"/>
        <w:jc w:val="center"/>
        <w:rPr>
          <w:sz w:val="26"/>
          <w:szCs w:val="26"/>
        </w:rPr>
      </w:pPr>
      <w:r w:rsidRPr="00B64460">
        <w:rPr>
          <w:sz w:val="26"/>
          <w:szCs w:val="26"/>
        </w:rPr>
        <w:lastRenderedPageBreak/>
        <w:t xml:space="preserve">WIG20 odbił się w górę od wzrostowej linii poprowadzonej </w:t>
      </w:r>
    </w:p>
    <w:p w:rsidR="00746875" w:rsidRDefault="00746875" w:rsidP="00746875">
      <w:pPr>
        <w:pStyle w:val="Bezodstpw"/>
        <w:pBdr>
          <w:top w:val="single" w:sz="4" w:space="1" w:color="auto"/>
          <w:left w:val="single" w:sz="4" w:space="4" w:color="auto"/>
          <w:bottom w:val="single" w:sz="4" w:space="1" w:color="auto"/>
          <w:right w:val="single" w:sz="4" w:space="4" w:color="auto"/>
        </w:pBdr>
        <w:shd w:val="clear" w:color="auto" w:fill="FFFF00"/>
        <w:jc w:val="center"/>
        <w:rPr>
          <w:sz w:val="26"/>
          <w:szCs w:val="26"/>
        </w:rPr>
      </w:pPr>
      <w:proofErr w:type="gramStart"/>
      <w:r>
        <w:rPr>
          <w:sz w:val="26"/>
          <w:szCs w:val="26"/>
        </w:rPr>
        <w:t>przez</w:t>
      </w:r>
      <w:proofErr w:type="gramEnd"/>
      <w:r w:rsidRPr="00B64460">
        <w:rPr>
          <w:sz w:val="26"/>
          <w:szCs w:val="26"/>
        </w:rPr>
        <w:t xml:space="preserve"> dołki z marca 1995 roku i lutego 2009 roku</w:t>
      </w:r>
      <w:r w:rsidR="00CA17A4">
        <w:rPr>
          <w:sz w:val="26"/>
          <w:szCs w:val="26"/>
        </w:rPr>
        <w:t>, ale jest pewien problem…</w:t>
      </w:r>
    </w:p>
    <w:p w:rsidR="00746875" w:rsidRDefault="00746875" w:rsidP="00746875">
      <w:pPr>
        <w:pStyle w:val="Bezodstpw"/>
        <w:jc w:val="center"/>
        <w:rPr>
          <w:sz w:val="26"/>
          <w:szCs w:val="26"/>
        </w:rPr>
      </w:pPr>
    </w:p>
    <w:p w:rsidR="00746875" w:rsidRDefault="00746875" w:rsidP="00746875">
      <w:pPr>
        <w:pStyle w:val="Bezodstpw"/>
        <w:jc w:val="both"/>
        <w:rPr>
          <w:sz w:val="26"/>
          <w:szCs w:val="26"/>
        </w:rPr>
      </w:pPr>
      <w:r>
        <w:rPr>
          <w:sz w:val="26"/>
          <w:szCs w:val="26"/>
        </w:rPr>
        <w:t xml:space="preserve">Indeks dużych spółek WIG20 odbił się od linii poprowadzonej przez dołki z marca 1995 roku i lutego 2009 roku. Na stworzonym w oparciu o dane miesięczne wykresie świecowym ukształtowała się formacja młota. </w:t>
      </w:r>
    </w:p>
    <w:p w:rsidR="00746875" w:rsidRDefault="00746875" w:rsidP="00746875">
      <w:pPr>
        <w:pStyle w:val="Bezodstpw"/>
        <w:jc w:val="both"/>
        <w:rPr>
          <w:sz w:val="26"/>
          <w:szCs w:val="26"/>
        </w:rPr>
      </w:pPr>
    </w:p>
    <w:p w:rsidR="00746875" w:rsidRDefault="00746875" w:rsidP="00746875">
      <w:pPr>
        <w:pStyle w:val="Bezodstpw"/>
        <w:jc w:val="both"/>
        <w:rPr>
          <w:sz w:val="26"/>
          <w:szCs w:val="26"/>
        </w:rPr>
      </w:pPr>
      <w:r>
        <w:rPr>
          <w:sz w:val="26"/>
          <w:szCs w:val="26"/>
        </w:rPr>
        <w:t xml:space="preserve">Jednocześnie warto zauważyć, że oscylator stochastyczny znajduje się w strefie wyprzedania. Znajdujemy się ponadto w stosunkowo korzystnym dla posiadaczy akcji okresie pomiędzy końcem października roku T a końcem kwietnia roku T+1. </w:t>
      </w:r>
    </w:p>
    <w:p w:rsidR="00746875" w:rsidRDefault="00746875" w:rsidP="00746875">
      <w:pPr>
        <w:pStyle w:val="Bezodstpw"/>
        <w:jc w:val="both"/>
        <w:rPr>
          <w:sz w:val="26"/>
          <w:szCs w:val="26"/>
        </w:rPr>
      </w:pPr>
    </w:p>
    <w:p w:rsidR="00746875" w:rsidRDefault="00746875" w:rsidP="00746875">
      <w:pPr>
        <w:pStyle w:val="Bezodstpw"/>
        <w:jc w:val="both"/>
        <w:rPr>
          <w:b/>
          <w:sz w:val="26"/>
          <w:szCs w:val="26"/>
          <w:u w:val="single"/>
        </w:rPr>
      </w:pPr>
      <w:r w:rsidRPr="00510B4F">
        <w:rPr>
          <w:b/>
          <w:sz w:val="26"/>
          <w:szCs w:val="26"/>
          <w:u w:val="single"/>
        </w:rPr>
        <w:t>WIG20</w:t>
      </w:r>
    </w:p>
    <w:p w:rsidR="00746875" w:rsidRDefault="00746875" w:rsidP="00746875">
      <w:pPr>
        <w:pStyle w:val="Bezodstpw"/>
        <w:jc w:val="both"/>
        <w:rPr>
          <w:b/>
          <w:sz w:val="26"/>
          <w:szCs w:val="26"/>
          <w:u w:val="single"/>
        </w:rPr>
      </w:pPr>
    </w:p>
    <w:p w:rsidR="00746875" w:rsidRPr="00510B4F" w:rsidRDefault="00746875" w:rsidP="00746875">
      <w:pPr>
        <w:pStyle w:val="Bezodstpw"/>
        <w:jc w:val="both"/>
        <w:rPr>
          <w:b/>
          <w:sz w:val="26"/>
          <w:szCs w:val="26"/>
          <w:u w:val="single"/>
        </w:rPr>
      </w:pPr>
      <w:r>
        <w:rPr>
          <w:b/>
          <w:noProof/>
          <w:sz w:val="26"/>
          <w:szCs w:val="26"/>
          <w:u w:val="single"/>
          <w:lang w:eastAsia="pl-PL"/>
        </w:rPr>
        <w:drawing>
          <wp:inline distT="0" distB="0" distL="0" distR="0" wp14:anchorId="43029F94" wp14:editId="56B0BE17">
            <wp:extent cx="5448300" cy="32670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8300" cy="3267075"/>
                    </a:xfrm>
                    <a:prstGeom prst="rect">
                      <a:avLst/>
                    </a:prstGeom>
                    <a:noFill/>
                  </pic:spPr>
                </pic:pic>
              </a:graphicData>
            </a:graphic>
          </wp:inline>
        </w:drawing>
      </w:r>
    </w:p>
    <w:p w:rsidR="00746875" w:rsidRDefault="00746875" w:rsidP="00746875">
      <w:pPr>
        <w:pStyle w:val="Bezodstpw"/>
        <w:jc w:val="both"/>
        <w:rPr>
          <w:sz w:val="26"/>
          <w:szCs w:val="26"/>
        </w:rPr>
      </w:pPr>
    </w:p>
    <w:p w:rsidR="00746875" w:rsidRPr="00CA17A4" w:rsidRDefault="00746875" w:rsidP="00746875">
      <w:pPr>
        <w:pStyle w:val="Bezodstpw"/>
        <w:jc w:val="both"/>
        <w:rPr>
          <w:b/>
          <w:color w:val="FF0000"/>
          <w:sz w:val="26"/>
          <w:szCs w:val="26"/>
        </w:rPr>
      </w:pPr>
      <w:r>
        <w:rPr>
          <w:sz w:val="26"/>
          <w:szCs w:val="26"/>
        </w:rPr>
        <w:t xml:space="preserve">Z drugiej strony warto zauważyć, że </w:t>
      </w:r>
      <w:r w:rsidRPr="00CA17A4">
        <w:rPr>
          <w:b/>
          <w:color w:val="FF0000"/>
          <w:sz w:val="26"/>
          <w:szCs w:val="26"/>
        </w:rPr>
        <w:t xml:space="preserve">na wykresie stworzonym w oparciu o dane dzienne mamy do czynienia z sytuacją nieco niepokojącą. </w:t>
      </w:r>
    </w:p>
    <w:p w:rsidR="00746875" w:rsidRDefault="00746875" w:rsidP="00746875">
      <w:pPr>
        <w:pStyle w:val="Bezodstpw"/>
        <w:jc w:val="both"/>
        <w:rPr>
          <w:sz w:val="26"/>
          <w:szCs w:val="26"/>
        </w:rPr>
      </w:pPr>
    </w:p>
    <w:p w:rsidR="00746875" w:rsidRDefault="00746875" w:rsidP="00746875">
      <w:pPr>
        <w:pStyle w:val="Bezodstpw"/>
        <w:jc w:val="both"/>
        <w:rPr>
          <w:sz w:val="26"/>
          <w:szCs w:val="26"/>
        </w:rPr>
      </w:pPr>
      <w:r>
        <w:rPr>
          <w:sz w:val="26"/>
          <w:szCs w:val="26"/>
        </w:rPr>
        <w:t xml:space="preserve">Po pierwsze oscylator stochastyczny wszedł do strefy wykupienia. </w:t>
      </w:r>
    </w:p>
    <w:p w:rsidR="00746875" w:rsidRDefault="00746875" w:rsidP="00746875">
      <w:pPr>
        <w:pStyle w:val="Bezodstpw"/>
        <w:jc w:val="both"/>
        <w:rPr>
          <w:sz w:val="26"/>
          <w:szCs w:val="26"/>
        </w:rPr>
      </w:pPr>
    </w:p>
    <w:p w:rsidR="00746875" w:rsidRDefault="00746875" w:rsidP="00746875">
      <w:pPr>
        <w:pStyle w:val="Bezodstpw"/>
        <w:jc w:val="both"/>
        <w:rPr>
          <w:sz w:val="26"/>
          <w:szCs w:val="26"/>
        </w:rPr>
      </w:pPr>
      <w:r>
        <w:rPr>
          <w:sz w:val="26"/>
          <w:szCs w:val="26"/>
        </w:rPr>
        <w:t xml:space="preserve">Po drugie układ i kierunek średnich ruchomych jest typowy dla bessy. Zarówno średnia ruchoma z 45 sesji, jak również ze 100 sesji oraz 200 sesji znajdują się w trendzie spadkowym. </w:t>
      </w:r>
    </w:p>
    <w:p w:rsidR="00746875" w:rsidRDefault="00746875" w:rsidP="00746875">
      <w:pPr>
        <w:pStyle w:val="Bezodstpw"/>
        <w:jc w:val="both"/>
        <w:rPr>
          <w:sz w:val="26"/>
          <w:szCs w:val="26"/>
        </w:rPr>
      </w:pPr>
    </w:p>
    <w:p w:rsidR="00746875" w:rsidRDefault="00746875" w:rsidP="00746875">
      <w:pPr>
        <w:pStyle w:val="Bezodstpw"/>
        <w:jc w:val="both"/>
        <w:rPr>
          <w:sz w:val="26"/>
          <w:szCs w:val="26"/>
        </w:rPr>
      </w:pPr>
      <w:r>
        <w:rPr>
          <w:sz w:val="26"/>
          <w:szCs w:val="26"/>
        </w:rPr>
        <w:t xml:space="preserve">Po trzecie z badań Stowarzyszenia inwestorów Indywidualnych wynika, że inwestorzy indywidualni stali się optymistami. </w:t>
      </w:r>
    </w:p>
    <w:p w:rsidR="00746875" w:rsidRDefault="00746875" w:rsidP="00746875">
      <w:pPr>
        <w:pStyle w:val="Bezodstpw"/>
        <w:jc w:val="both"/>
        <w:rPr>
          <w:sz w:val="26"/>
          <w:szCs w:val="26"/>
        </w:rPr>
      </w:pPr>
    </w:p>
    <w:p w:rsidR="00746875" w:rsidRDefault="00746875" w:rsidP="00746875">
      <w:pPr>
        <w:pStyle w:val="Bezodstpw"/>
        <w:jc w:val="both"/>
        <w:rPr>
          <w:sz w:val="26"/>
          <w:szCs w:val="26"/>
        </w:rPr>
      </w:pPr>
      <w:r>
        <w:rPr>
          <w:sz w:val="26"/>
          <w:szCs w:val="26"/>
        </w:rPr>
        <w:lastRenderedPageBreak/>
        <w:t xml:space="preserve">Zgodnie z zasadą </w:t>
      </w:r>
      <w:proofErr w:type="gramStart"/>
      <w:r>
        <w:rPr>
          <w:sz w:val="26"/>
          <w:szCs w:val="26"/>
        </w:rPr>
        <w:t>,,</w:t>
      </w:r>
      <w:proofErr w:type="gramEnd"/>
      <w:r>
        <w:rPr>
          <w:sz w:val="26"/>
          <w:szCs w:val="26"/>
        </w:rPr>
        <w:t xml:space="preserve">kupuj pesymizm, sprzedawaj optymizm” może oznaczać to możliwość pojawienie się w krótkim okresie spadków indeksu WIG20. </w:t>
      </w:r>
    </w:p>
    <w:p w:rsidR="00746875" w:rsidRDefault="00746875" w:rsidP="00746875">
      <w:pPr>
        <w:pStyle w:val="Bezodstpw"/>
        <w:jc w:val="both"/>
        <w:rPr>
          <w:sz w:val="26"/>
          <w:szCs w:val="26"/>
        </w:rPr>
      </w:pPr>
    </w:p>
    <w:p w:rsidR="00746875" w:rsidRDefault="00746875" w:rsidP="00746875">
      <w:pPr>
        <w:pStyle w:val="Bezodstpw"/>
        <w:jc w:val="both"/>
        <w:rPr>
          <w:b/>
          <w:sz w:val="26"/>
          <w:szCs w:val="26"/>
          <w:u w:val="single"/>
        </w:rPr>
      </w:pPr>
      <w:r w:rsidRPr="004921EA">
        <w:rPr>
          <w:b/>
          <w:sz w:val="26"/>
          <w:szCs w:val="26"/>
          <w:u w:val="single"/>
        </w:rPr>
        <w:t>WIG20</w:t>
      </w:r>
    </w:p>
    <w:p w:rsidR="00746875" w:rsidRDefault="00746875" w:rsidP="00746875">
      <w:pPr>
        <w:pStyle w:val="Bezodstpw"/>
        <w:jc w:val="both"/>
        <w:rPr>
          <w:b/>
          <w:sz w:val="26"/>
          <w:szCs w:val="26"/>
          <w:u w:val="single"/>
        </w:rPr>
      </w:pPr>
    </w:p>
    <w:p w:rsidR="00746875" w:rsidRPr="004921EA" w:rsidRDefault="00746875" w:rsidP="00746875">
      <w:pPr>
        <w:pStyle w:val="Bezodstpw"/>
        <w:jc w:val="both"/>
        <w:rPr>
          <w:b/>
          <w:sz w:val="26"/>
          <w:szCs w:val="26"/>
          <w:u w:val="single"/>
        </w:rPr>
      </w:pPr>
      <w:r>
        <w:rPr>
          <w:b/>
          <w:noProof/>
          <w:sz w:val="26"/>
          <w:szCs w:val="26"/>
          <w:u w:val="single"/>
          <w:lang w:eastAsia="pl-PL"/>
        </w:rPr>
        <w:drawing>
          <wp:inline distT="0" distB="0" distL="0" distR="0" wp14:anchorId="55796394" wp14:editId="2CEDFBD5">
            <wp:extent cx="5429250" cy="32575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0" cy="3257550"/>
                    </a:xfrm>
                    <a:prstGeom prst="rect">
                      <a:avLst/>
                    </a:prstGeom>
                    <a:noFill/>
                  </pic:spPr>
                </pic:pic>
              </a:graphicData>
            </a:graphic>
          </wp:inline>
        </w:drawing>
      </w:r>
    </w:p>
    <w:p w:rsidR="00746875" w:rsidRPr="004921EA" w:rsidRDefault="00746875" w:rsidP="00746875">
      <w:pPr>
        <w:pStyle w:val="Bezodstpw"/>
        <w:jc w:val="both"/>
        <w:rPr>
          <w:b/>
          <w:sz w:val="26"/>
          <w:szCs w:val="26"/>
        </w:rPr>
      </w:pPr>
    </w:p>
    <w:p w:rsidR="00746875" w:rsidRDefault="00746875" w:rsidP="00746875">
      <w:pPr>
        <w:pStyle w:val="Bezodstpw"/>
        <w:jc w:val="both"/>
        <w:rPr>
          <w:sz w:val="26"/>
          <w:szCs w:val="26"/>
        </w:rPr>
      </w:pPr>
      <w:proofErr w:type="gramStart"/>
      <w:r>
        <w:rPr>
          <w:sz w:val="26"/>
          <w:szCs w:val="26"/>
        </w:rPr>
        <w:t>Możliwe więc</w:t>
      </w:r>
      <w:proofErr w:type="gramEnd"/>
      <w:r>
        <w:rPr>
          <w:sz w:val="26"/>
          <w:szCs w:val="26"/>
        </w:rPr>
        <w:t xml:space="preserve">, że w krótkim okresie pojawią się spadki indeksu WIG20. </w:t>
      </w:r>
    </w:p>
    <w:p w:rsidR="00746875" w:rsidRDefault="00746875" w:rsidP="00746875">
      <w:pPr>
        <w:pStyle w:val="Bezodstpw"/>
        <w:jc w:val="both"/>
        <w:rPr>
          <w:sz w:val="26"/>
          <w:szCs w:val="26"/>
        </w:rPr>
      </w:pPr>
    </w:p>
    <w:p w:rsidR="00746875" w:rsidRDefault="00746875" w:rsidP="00746875">
      <w:pPr>
        <w:pStyle w:val="Bezodstpw"/>
        <w:pBdr>
          <w:top w:val="single" w:sz="4" w:space="1" w:color="auto"/>
          <w:left w:val="single" w:sz="4" w:space="4" w:color="auto"/>
          <w:bottom w:val="single" w:sz="4" w:space="1" w:color="auto"/>
          <w:right w:val="single" w:sz="4" w:space="4" w:color="auto"/>
        </w:pBdr>
        <w:shd w:val="clear" w:color="auto" w:fill="FFFF00"/>
        <w:jc w:val="center"/>
        <w:rPr>
          <w:sz w:val="26"/>
          <w:szCs w:val="26"/>
        </w:rPr>
      </w:pPr>
      <w:r>
        <w:rPr>
          <w:sz w:val="26"/>
          <w:szCs w:val="26"/>
        </w:rPr>
        <w:t xml:space="preserve">Eksperyment </w:t>
      </w:r>
      <w:proofErr w:type="gramStart"/>
      <w:r>
        <w:rPr>
          <w:sz w:val="26"/>
          <w:szCs w:val="26"/>
        </w:rPr>
        <w:t>,,</w:t>
      </w:r>
      <w:proofErr w:type="gramEnd"/>
      <w:r>
        <w:rPr>
          <w:sz w:val="26"/>
          <w:szCs w:val="26"/>
        </w:rPr>
        <w:t>efekt przełomu roku”</w:t>
      </w:r>
    </w:p>
    <w:p w:rsidR="00746875" w:rsidRDefault="00746875" w:rsidP="00746875">
      <w:pPr>
        <w:pStyle w:val="Bezodstpw"/>
        <w:jc w:val="both"/>
        <w:rPr>
          <w:sz w:val="26"/>
          <w:szCs w:val="26"/>
        </w:rPr>
      </w:pPr>
    </w:p>
    <w:p w:rsidR="00746875" w:rsidRDefault="00746875" w:rsidP="00746875">
      <w:pPr>
        <w:pStyle w:val="Bezodstpw"/>
        <w:jc w:val="both"/>
        <w:rPr>
          <w:sz w:val="26"/>
          <w:szCs w:val="26"/>
        </w:rPr>
      </w:pPr>
      <w:r>
        <w:rPr>
          <w:sz w:val="26"/>
          <w:szCs w:val="26"/>
        </w:rPr>
        <w:t xml:space="preserve">Warto przypomnieć, że obecnie przeprowadzam eksperyment </w:t>
      </w:r>
      <w:proofErr w:type="gramStart"/>
      <w:r>
        <w:rPr>
          <w:sz w:val="26"/>
          <w:szCs w:val="26"/>
        </w:rPr>
        <w:t>,,</w:t>
      </w:r>
      <w:proofErr w:type="gramEnd"/>
      <w:r>
        <w:rPr>
          <w:sz w:val="26"/>
          <w:szCs w:val="26"/>
        </w:rPr>
        <w:t xml:space="preserve">efekt przełomu roku”. Przypomnę, że w eksperymencie tym bierze udział 11 spółek. </w:t>
      </w:r>
    </w:p>
    <w:p w:rsidR="00746875" w:rsidRDefault="00746875" w:rsidP="00746875">
      <w:pPr>
        <w:pStyle w:val="Bezodstpw"/>
        <w:jc w:val="both"/>
        <w:rPr>
          <w:sz w:val="26"/>
          <w:szCs w:val="26"/>
        </w:rPr>
      </w:pPr>
    </w:p>
    <w:tbl>
      <w:tblPr>
        <w:tblStyle w:val="Tabela-Siatka"/>
        <w:tblW w:w="0" w:type="auto"/>
        <w:tblLook w:val="04A0" w:firstRow="1" w:lastRow="0" w:firstColumn="1" w:lastColumn="0" w:noHBand="0" w:noVBand="1"/>
      </w:tblPr>
      <w:tblGrid>
        <w:gridCol w:w="4606"/>
        <w:gridCol w:w="4606"/>
      </w:tblGrid>
      <w:tr w:rsidR="00746875" w:rsidTr="00442981">
        <w:tc>
          <w:tcPr>
            <w:tcW w:w="4606" w:type="dxa"/>
            <w:tcBorders>
              <w:top w:val="single" w:sz="4" w:space="0" w:color="auto"/>
              <w:left w:val="single" w:sz="4" w:space="0" w:color="auto"/>
              <w:bottom w:val="single" w:sz="4" w:space="0" w:color="auto"/>
              <w:right w:val="single" w:sz="4" w:space="0" w:color="auto"/>
            </w:tcBorders>
            <w:hideMark/>
          </w:tcPr>
          <w:p w:rsidR="00746875" w:rsidRDefault="00746875" w:rsidP="00442981">
            <w:pPr>
              <w:pStyle w:val="Bezodstpw"/>
              <w:jc w:val="center"/>
              <w:rPr>
                <w:color w:val="000000" w:themeColor="text1"/>
                <w:sz w:val="30"/>
                <w:szCs w:val="30"/>
              </w:rPr>
            </w:pPr>
            <w:r>
              <w:rPr>
                <w:color w:val="000000" w:themeColor="text1"/>
                <w:sz w:val="30"/>
                <w:szCs w:val="30"/>
              </w:rPr>
              <w:t>Nazwa</w:t>
            </w:r>
          </w:p>
          <w:p w:rsidR="00746875" w:rsidRDefault="00746875" w:rsidP="00442981">
            <w:pPr>
              <w:pStyle w:val="Bezodstpw"/>
              <w:jc w:val="center"/>
              <w:rPr>
                <w:color w:val="000000" w:themeColor="text1"/>
                <w:sz w:val="30"/>
                <w:szCs w:val="30"/>
              </w:rPr>
            </w:pPr>
            <w:proofErr w:type="gramStart"/>
            <w:r>
              <w:rPr>
                <w:color w:val="000000" w:themeColor="text1"/>
                <w:sz w:val="30"/>
                <w:szCs w:val="30"/>
              </w:rPr>
              <w:t>spółki</w:t>
            </w:r>
            <w:proofErr w:type="gramEnd"/>
          </w:p>
        </w:tc>
        <w:tc>
          <w:tcPr>
            <w:tcW w:w="4606" w:type="dxa"/>
            <w:tcBorders>
              <w:top w:val="single" w:sz="4" w:space="0" w:color="auto"/>
              <w:left w:val="single" w:sz="4" w:space="0" w:color="auto"/>
              <w:bottom w:val="single" w:sz="4" w:space="0" w:color="auto"/>
              <w:right w:val="single" w:sz="4" w:space="0" w:color="auto"/>
            </w:tcBorders>
            <w:hideMark/>
          </w:tcPr>
          <w:p w:rsidR="00746875" w:rsidRDefault="00746875" w:rsidP="00442981">
            <w:pPr>
              <w:pStyle w:val="Bezodstpw"/>
              <w:jc w:val="center"/>
              <w:rPr>
                <w:color w:val="000000" w:themeColor="text1"/>
                <w:sz w:val="30"/>
                <w:szCs w:val="30"/>
              </w:rPr>
            </w:pPr>
            <w:r>
              <w:rPr>
                <w:color w:val="000000" w:themeColor="text1"/>
                <w:sz w:val="30"/>
                <w:szCs w:val="30"/>
              </w:rPr>
              <w:t xml:space="preserve">Data wprowadzenia spółki do rubryki </w:t>
            </w:r>
            <w:proofErr w:type="gramStart"/>
            <w:r>
              <w:rPr>
                <w:color w:val="000000" w:themeColor="text1"/>
                <w:sz w:val="30"/>
                <w:szCs w:val="30"/>
              </w:rPr>
              <w:t>,,</w:t>
            </w:r>
            <w:proofErr w:type="gramEnd"/>
            <w:r>
              <w:rPr>
                <w:color w:val="000000" w:themeColor="text1"/>
                <w:sz w:val="30"/>
                <w:szCs w:val="30"/>
              </w:rPr>
              <w:t>Wykres do przemyślenia”</w:t>
            </w:r>
          </w:p>
        </w:tc>
      </w:tr>
      <w:tr w:rsidR="00746875" w:rsidTr="00442981">
        <w:tc>
          <w:tcPr>
            <w:tcW w:w="4606" w:type="dxa"/>
            <w:tcBorders>
              <w:top w:val="single" w:sz="4" w:space="0" w:color="auto"/>
              <w:left w:val="single" w:sz="4" w:space="0" w:color="auto"/>
              <w:bottom w:val="single" w:sz="4" w:space="0" w:color="auto"/>
              <w:right w:val="single" w:sz="4" w:space="0" w:color="auto"/>
            </w:tcBorders>
            <w:hideMark/>
          </w:tcPr>
          <w:p w:rsidR="00746875" w:rsidRPr="00F4130D" w:rsidRDefault="00746875" w:rsidP="00442981">
            <w:pPr>
              <w:pStyle w:val="Bezodstpw"/>
              <w:jc w:val="center"/>
              <w:rPr>
                <w:color w:val="000000" w:themeColor="text1"/>
                <w:sz w:val="36"/>
                <w:szCs w:val="36"/>
              </w:rPr>
            </w:pPr>
            <w:r w:rsidRPr="00F4130D">
              <w:rPr>
                <w:color w:val="FF0000"/>
                <w:sz w:val="36"/>
                <w:szCs w:val="36"/>
                <w14:shadow w14:blurRad="50800" w14:dist="38100" w14:dir="2700000" w14:sx="100000" w14:sy="100000" w14:kx="0" w14:ky="0" w14:algn="tl">
                  <w14:srgbClr w14:val="000000">
                    <w14:alpha w14:val="60000"/>
                  </w14:srgbClr>
                </w14:shadow>
              </w:rPr>
              <w:t>TIM</w:t>
            </w:r>
          </w:p>
        </w:tc>
        <w:tc>
          <w:tcPr>
            <w:tcW w:w="4606" w:type="dxa"/>
            <w:tcBorders>
              <w:top w:val="single" w:sz="4" w:space="0" w:color="auto"/>
              <w:left w:val="single" w:sz="4" w:space="0" w:color="auto"/>
              <w:bottom w:val="single" w:sz="4" w:space="0" w:color="auto"/>
              <w:right w:val="single" w:sz="4" w:space="0" w:color="auto"/>
            </w:tcBorders>
            <w:hideMark/>
          </w:tcPr>
          <w:p w:rsidR="00746875" w:rsidRPr="00F4130D" w:rsidRDefault="00746875" w:rsidP="00442981">
            <w:pPr>
              <w:pStyle w:val="Bezodstpw"/>
              <w:jc w:val="center"/>
              <w:rPr>
                <w:color w:val="000000" w:themeColor="text1"/>
                <w:sz w:val="36"/>
                <w:szCs w:val="36"/>
              </w:rPr>
            </w:pPr>
            <w:r w:rsidRPr="00F4130D">
              <w:rPr>
                <w:color w:val="000000" w:themeColor="text1"/>
                <w:sz w:val="36"/>
                <w:szCs w:val="36"/>
              </w:rPr>
              <w:t>1 lipca 2015 roku</w:t>
            </w:r>
          </w:p>
        </w:tc>
      </w:tr>
      <w:tr w:rsidR="00746875" w:rsidTr="00442981">
        <w:tc>
          <w:tcPr>
            <w:tcW w:w="4606" w:type="dxa"/>
            <w:tcBorders>
              <w:top w:val="single" w:sz="4" w:space="0" w:color="auto"/>
              <w:left w:val="single" w:sz="4" w:space="0" w:color="auto"/>
              <w:bottom w:val="single" w:sz="4" w:space="0" w:color="auto"/>
              <w:right w:val="single" w:sz="4" w:space="0" w:color="auto"/>
            </w:tcBorders>
            <w:hideMark/>
          </w:tcPr>
          <w:p w:rsidR="00746875" w:rsidRPr="00F4130D" w:rsidRDefault="00746875" w:rsidP="00442981">
            <w:pPr>
              <w:jc w:val="center"/>
              <w:rPr>
                <w:sz w:val="36"/>
                <w:szCs w:val="36"/>
              </w:rPr>
            </w:pPr>
            <w:r w:rsidRPr="00F4130D">
              <w:rPr>
                <w:color w:val="FF0000"/>
                <w:sz w:val="36"/>
                <w:szCs w:val="36"/>
                <w14:shadow w14:blurRad="50800" w14:dist="38100" w14:dir="2700000" w14:sx="100000" w14:sy="100000" w14:kx="0" w14:ky="0" w14:algn="tl">
                  <w14:srgbClr w14:val="000000">
                    <w14:alpha w14:val="60000"/>
                  </w14:srgbClr>
                </w14:shadow>
              </w:rPr>
              <w:t>Unima2000</w:t>
            </w:r>
          </w:p>
        </w:tc>
        <w:tc>
          <w:tcPr>
            <w:tcW w:w="4606" w:type="dxa"/>
            <w:tcBorders>
              <w:top w:val="single" w:sz="4" w:space="0" w:color="auto"/>
              <w:left w:val="single" w:sz="4" w:space="0" w:color="auto"/>
              <w:bottom w:val="single" w:sz="4" w:space="0" w:color="auto"/>
              <w:right w:val="single" w:sz="4" w:space="0" w:color="auto"/>
            </w:tcBorders>
            <w:hideMark/>
          </w:tcPr>
          <w:p w:rsidR="00746875" w:rsidRPr="00F4130D" w:rsidRDefault="00746875" w:rsidP="00442981">
            <w:pPr>
              <w:jc w:val="center"/>
              <w:rPr>
                <w:sz w:val="36"/>
                <w:szCs w:val="36"/>
              </w:rPr>
            </w:pPr>
            <w:r w:rsidRPr="00F4130D">
              <w:rPr>
                <w:color w:val="000000" w:themeColor="text1"/>
                <w:sz w:val="36"/>
                <w:szCs w:val="36"/>
              </w:rPr>
              <w:t>1 lipca 2015 roku</w:t>
            </w:r>
          </w:p>
        </w:tc>
      </w:tr>
      <w:tr w:rsidR="00746875" w:rsidTr="00442981">
        <w:tc>
          <w:tcPr>
            <w:tcW w:w="4606" w:type="dxa"/>
            <w:tcBorders>
              <w:top w:val="single" w:sz="4" w:space="0" w:color="auto"/>
              <w:left w:val="single" w:sz="4" w:space="0" w:color="auto"/>
              <w:bottom w:val="single" w:sz="4" w:space="0" w:color="auto"/>
              <w:right w:val="single" w:sz="4" w:space="0" w:color="auto"/>
            </w:tcBorders>
            <w:hideMark/>
          </w:tcPr>
          <w:p w:rsidR="00746875" w:rsidRPr="00F4130D" w:rsidRDefault="00746875" w:rsidP="00442981">
            <w:pPr>
              <w:jc w:val="center"/>
              <w:rPr>
                <w:sz w:val="36"/>
                <w:szCs w:val="36"/>
              </w:rPr>
            </w:pPr>
            <w:proofErr w:type="spellStart"/>
            <w:r w:rsidRPr="00F4130D">
              <w:rPr>
                <w:color w:val="FF0000"/>
                <w:sz w:val="36"/>
                <w:szCs w:val="36"/>
                <w14:shadow w14:blurRad="50800" w14:dist="38100" w14:dir="2700000" w14:sx="100000" w14:sy="100000" w14:kx="0" w14:ky="0" w14:algn="tl">
                  <w14:srgbClr w14:val="000000">
                    <w14:alpha w14:val="60000"/>
                  </w14:srgbClr>
                </w14:shadow>
              </w:rPr>
              <w:t>Variant</w:t>
            </w:r>
            <w:proofErr w:type="spellEnd"/>
          </w:p>
        </w:tc>
        <w:tc>
          <w:tcPr>
            <w:tcW w:w="4606" w:type="dxa"/>
            <w:tcBorders>
              <w:top w:val="single" w:sz="4" w:space="0" w:color="auto"/>
              <w:left w:val="single" w:sz="4" w:space="0" w:color="auto"/>
              <w:bottom w:val="single" w:sz="4" w:space="0" w:color="auto"/>
              <w:right w:val="single" w:sz="4" w:space="0" w:color="auto"/>
            </w:tcBorders>
            <w:hideMark/>
          </w:tcPr>
          <w:p w:rsidR="00746875" w:rsidRPr="00F4130D" w:rsidRDefault="00746875" w:rsidP="00442981">
            <w:pPr>
              <w:jc w:val="center"/>
              <w:rPr>
                <w:sz w:val="36"/>
                <w:szCs w:val="36"/>
              </w:rPr>
            </w:pPr>
            <w:r w:rsidRPr="00F4130D">
              <w:rPr>
                <w:color w:val="000000" w:themeColor="text1"/>
                <w:sz w:val="36"/>
                <w:szCs w:val="36"/>
              </w:rPr>
              <w:t>1 lipca 2015 roku</w:t>
            </w:r>
          </w:p>
        </w:tc>
      </w:tr>
      <w:tr w:rsidR="00746875" w:rsidTr="00442981">
        <w:tc>
          <w:tcPr>
            <w:tcW w:w="4606" w:type="dxa"/>
            <w:tcBorders>
              <w:top w:val="single" w:sz="4" w:space="0" w:color="auto"/>
              <w:left w:val="single" w:sz="4" w:space="0" w:color="auto"/>
              <w:bottom w:val="single" w:sz="4" w:space="0" w:color="auto"/>
              <w:right w:val="single" w:sz="4" w:space="0" w:color="auto"/>
            </w:tcBorders>
            <w:hideMark/>
          </w:tcPr>
          <w:p w:rsidR="00746875" w:rsidRPr="00F4130D" w:rsidRDefault="00746875" w:rsidP="00442981">
            <w:pPr>
              <w:jc w:val="center"/>
              <w:rPr>
                <w:sz w:val="36"/>
                <w:szCs w:val="36"/>
              </w:rPr>
            </w:pPr>
            <w:r w:rsidRPr="00F4130D">
              <w:rPr>
                <w:color w:val="FF0000"/>
                <w:sz w:val="36"/>
                <w:szCs w:val="36"/>
                <w14:shadow w14:blurRad="50800" w14:dist="38100" w14:dir="2700000" w14:sx="100000" w14:sy="100000" w14:kx="0" w14:ky="0" w14:algn="tl">
                  <w14:srgbClr w14:val="000000">
                    <w14:alpha w14:val="60000"/>
                  </w14:srgbClr>
                </w14:shadow>
              </w:rPr>
              <w:t>Ropczyce</w:t>
            </w:r>
          </w:p>
        </w:tc>
        <w:tc>
          <w:tcPr>
            <w:tcW w:w="4606" w:type="dxa"/>
            <w:tcBorders>
              <w:top w:val="single" w:sz="4" w:space="0" w:color="auto"/>
              <w:left w:val="single" w:sz="4" w:space="0" w:color="auto"/>
              <w:bottom w:val="single" w:sz="4" w:space="0" w:color="auto"/>
              <w:right w:val="single" w:sz="4" w:space="0" w:color="auto"/>
            </w:tcBorders>
            <w:hideMark/>
          </w:tcPr>
          <w:p w:rsidR="00746875" w:rsidRPr="00F4130D" w:rsidRDefault="00746875" w:rsidP="00442981">
            <w:pPr>
              <w:pStyle w:val="Bezodstpw"/>
              <w:jc w:val="center"/>
              <w:rPr>
                <w:color w:val="000000" w:themeColor="text1"/>
                <w:sz w:val="36"/>
                <w:szCs w:val="36"/>
              </w:rPr>
            </w:pPr>
            <w:r w:rsidRPr="00F4130D">
              <w:rPr>
                <w:color w:val="000000" w:themeColor="text1"/>
                <w:sz w:val="36"/>
                <w:szCs w:val="36"/>
              </w:rPr>
              <w:t>21 lipca 2015 roku</w:t>
            </w:r>
          </w:p>
        </w:tc>
      </w:tr>
      <w:tr w:rsidR="00746875" w:rsidTr="00442981">
        <w:tc>
          <w:tcPr>
            <w:tcW w:w="4606" w:type="dxa"/>
            <w:tcBorders>
              <w:top w:val="single" w:sz="4" w:space="0" w:color="auto"/>
              <w:left w:val="single" w:sz="4" w:space="0" w:color="auto"/>
              <w:bottom w:val="single" w:sz="4" w:space="0" w:color="auto"/>
              <w:right w:val="single" w:sz="4" w:space="0" w:color="auto"/>
            </w:tcBorders>
            <w:hideMark/>
          </w:tcPr>
          <w:p w:rsidR="00746875" w:rsidRPr="00F4130D" w:rsidRDefault="00746875" w:rsidP="00442981">
            <w:pPr>
              <w:jc w:val="center"/>
              <w:rPr>
                <w:sz w:val="36"/>
                <w:szCs w:val="36"/>
              </w:rPr>
            </w:pPr>
            <w:r w:rsidRPr="00F4130D">
              <w:rPr>
                <w:color w:val="FF0000"/>
                <w:sz w:val="36"/>
                <w:szCs w:val="36"/>
                <w14:shadow w14:blurRad="50800" w14:dist="38100" w14:dir="2700000" w14:sx="100000" w14:sy="100000" w14:kx="0" w14:ky="0" w14:algn="tl">
                  <w14:srgbClr w14:val="000000">
                    <w14:alpha w14:val="60000"/>
                  </w14:srgbClr>
                </w14:shadow>
              </w:rPr>
              <w:t>Eurocash</w:t>
            </w:r>
          </w:p>
        </w:tc>
        <w:tc>
          <w:tcPr>
            <w:tcW w:w="4606" w:type="dxa"/>
            <w:tcBorders>
              <w:top w:val="single" w:sz="4" w:space="0" w:color="auto"/>
              <w:left w:val="single" w:sz="4" w:space="0" w:color="auto"/>
              <w:bottom w:val="single" w:sz="4" w:space="0" w:color="auto"/>
              <w:right w:val="single" w:sz="4" w:space="0" w:color="auto"/>
            </w:tcBorders>
            <w:hideMark/>
          </w:tcPr>
          <w:p w:rsidR="00746875" w:rsidRPr="00F4130D" w:rsidRDefault="00746875" w:rsidP="00442981">
            <w:pPr>
              <w:pStyle w:val="Bezodstpw"/>
              <w:jc w:val="center"/>
              <w:rPr>
                <w:color w:val="000000" w:themeColor="text1"/>
                <w:sz w:val="36"/>
                <w:szCs w:val="36"/>
              </w:rPr>
            </w:pPr>
            <w:r w:rsidRPr="00F4130D">
              <w:rPr>
                <w:color w:val="000000" w:themeColor="text1"/>
                <w:sz w:val="36"/>
                <w:szCs w:val="36"/>
              </w:rPr>
              <w:t>23 lipca 2015 roku</w:t>
            </w:r>
          </w:p>
        </w:tc>
      </w:tr>
      <w:tr w:rsidR="00746875" w:rsidTr="00442981">
        <w:tc>
          <w:tcPr>
            <w:tcW w:w="4606" w:type="dxa"/>
            <w:tcBorders>
              <w:top w:val="single" w:sz="4" w:space="0" w:color="auto"/>
              <w:left w:val="single" w:sz="4" w:space="0" w:color="auto"/>
              <w:bottom w:val="single" w:sz="4" w:space="0" w:color="auto"/>
              <w:right w:val="single" w:sz="4" w:space="0" w:color="auto"/>
            </w:tcBorders>
            <w:hideMark/>
          </w:tcPr>
          <w:p w:rsidR="00746875" w:rsidRPr="00F4130D" w:rsidRDefault="00746875" w:rsidP="00442981">
            <w:pPr>
              <w:jc w:val="center"/>
              <w:rPr>
                <w:sz w:val="36"/>
                <w:szCs w:val="36"/>
              </w:rPr>
            </w:pPr>
            <w:r w:rsidRPr="00F4130D">
              <w:rPr>
                <w:color w:val="FF0000"/>
                <w:sz w:val="36"/>
                <w:szCs w:val="36"/>
                <w14:shadow w14:blurRad="50800" w14:dist="38100" w14:dir="2700000" w14:sx="100000" w14:sy="100000" w14:kx="0" w14:ky="0" w14:algn="tl">
                  <w14:srgbClr w14:val="000000">
                    <w14:alpha w14:val="60000"/>
                  </w14:srgbClr>
                </w14:shadow>
              </w:rPr>
              <w:t>Agora</w:t>
            </w:r>
          </w:p>
        </w:tc>
        <w:tc>
          <w:tcPr>
            <w:tcW w:w="4606" w:type="dxa"/>
            <w:tcBorders>
              <w:top w:val="single" w:sz="4" w:space="0" w:color="auto"/>
              <w:left w:val="single" w:sz="4" w:space="0" w:color="auto"/>
              <w:bottom w:val="single" w:sz="4" w:space="0" w:color="auto"/>
              <w:right w:val="single" w:sz="4" w:space="0" w:color="auto"/>
            </w:tcBorders>
            <w:hideMark/>
          </w:tcPr>
          <w:p w:rsidR="00746875" w:rsidRPr="00F4130D" w:rsidRDefault="00746875" w:rsidP="00442981">
            <w:pPr>
              <w:pStyle w:val="Bezodstpw"/>
              <w:jc w:val="center"/>
              <w:rPr>
                <w:color w:val="000000" w:themeColor="text1"/>
                <w:sz w:val="36"/>
                <w:szCs w:val="36"/>
              </w:rPr>
            </w:pPr>
            <w:r w:rsidRPr="00F4130D">
              <w:rPr>
                <w:color w:val="000000" w:themeColor="text1"/>
                <w:sz w:val="36"/>
                <w:szCs w:val="36"/>
              </w:rPr>
              <w:t>3 września 2015 roku</w:t>
            </w:r>
          </w:p>
        </w:tc>
      </w:tr>
      <w:tr w:rsidR="00746875" w:rsidTr="00442981">
        <w:tc>
          <w:tcPr>
            <w:tcW w:w="4606" w:type="dxa"/>
            <w:tcBorders>
              <w:top w:val="single" w:sz="4" w:space="0" w:color="auto"/>
              <w:left w:val="single" w:sz="4" w:space="0" w:color="auto"/>
              <w:bottom w:val="single" w:sz="4" w:space="0" w:color="auto"/>
              <w:right w:val="single" w:sz="4" w:space="0" w:color="auto"/>
            </w:tcBorders>
            <w:hideMark/>
          </w:tcPr>
          <w:p w:rsidR="00746875" w:rsidRPr="00F4130D" w:rsidRDefault="00746875" w:rsidP="00442981">
            <w:pPr>
              <w:jc w:val="center"/>
              <w:rPr>
                <w:sz w:val="36"/>
                <w:szCs w:val="36"/>
              </w:rPr>
            </w:pPr>
            <w:r w:rsidRPr="00F4130D">
              <w:rPr>
                <w:color w:val="FF0000"/>
                <w:sz w:val="36"/>
                <w:szCs w:val="36"/>
                <w14:shadow w14:blurRad="50800" w14:dist="38100" w14:dir="2700000" w14:sx="100000" w14:sy="100000" w14:kx="0" w14:ky="0" w14:algn="tl">
                  <w14:srgbClr w14:val="000000">
                    <w14:alpha w14:val="60000"/>
                  </w14:srgbClr>
                </w14:shadow>
              </w:rPr>
              <w:t>BZWBK</w:t>
            </w:r>
          </w:p>
        </w:tc>
        <w:tc>
          <w:tcPr>
            <w:tcW w:w="4606" w:type="dxa"/>
            <w:tcBorders>
              <w:top w:val="single" w:sz="4" w:space="0" w:color="auto"/>
              <w:left w:val="single" w:sz="4" w:space="0" w:color="auto"/>
              <w:bottom w:val="single" w:sz="4" w:space="0" w:color="auto"/>
              <w:right w:val="single" w:sz="4" w:space="0" w:color="auto"/>
            </w:tcBorders>
            <w:hideMark/>
          </w:tcPr>
          <w:p w:rsidR="00746875" w:rsidRPr="00F4130D" w:rsidRDefault="00746875" w:rsidP="00442981">
            <w:pPr>
              <w:pStyle w:val="Bezodstpw"/>
              <w:jc w:val="center"/>
              <w:rPr>
                <w:color w:val="000000" w:themeColor="text1"/>
                <w:sz w:val="36"/>
                <w:szCs w:val="36"/>
              </w:rPr>
            </w:pPr>
            <w:r w:rsidRPr="00F4130D">
              <w:rPr>
                <w:color w:val="000000" w:themeColor="text1"/>
                <w:sz w:val="36"/>
                <w:szCs w:val="36"/>
              </w:rPr>
              <w:t>4 września 2015 roku</w:t>
            </w:r>
          </w:p>
        </w:tc>
      </w:tr>
      <w:tr w:rsidR="00746875" w:rsidTr="00442981">
        <w:tc>
          <w:tcPr>
            <w:tcW w:w="4606" w:type="dxa"/>
            <w:hideMark/>
          </w:tcPr>
          <w:p w:rsidR="00746875" w:rsidRDefault="00746875" w:rsidP="00442981">
            <w:pPr>
              <w:pStyle w:val="Bezodstpw"/>
              <w:jc w:val="center"/>
              <w:rPr>
                <w:color w:val="000000" w:themeColor="text1"/>
                <w:sz w:val="30"/>
                <w:szCs w:val="30"/>
              </w:rPr>
            </w:pPr>
            <w:r>
              <w:rPr>
                <w:color w:val="000000" w:themeColor="text1"/>
                <w:sz w:val="30"/>
                <w:szCs w:val="30"/>
              </w:rPr>
              <w:lastRenderedPageBreak/>
              <w:t>Nazwa</w:t>
            </w:r>
          </w:p>
          <w:p w:rsidR="00746875" w:rsidRDefault="00746875" w:rsidP="00442981">
            <w:pPr>
              <w:pStyle w:val="Bezodstpw"/>
              <w:jc w:val="center"/>
              <w:rPr>
                <w:color w:val="000000" w:themeColor="text1"/>
                <w:sz w:val="30"/>
                <w:szCs w:val="30"/>
              </w:rPr>
            </w:pPr>
            <w:proofErr w:type="gramStart"/>
            <w:r>
              <w:rPr>
                <w:color w:val="000000" w:themeColor="text1"/>
                <w:sz w:val="30"/>
                <w:szCs w:val="30"/>
              </w:rPr>
              <w:t>spółki</w:t>
            </w:r>
            <w:proofErr w:type="gramEnd"/>
          </w:p>
        </w:tc>
        <w:tc>
          <w:tcPr>
            <w:tcW w:w="4606" w:type="dxa"/>
            <w:hideMark/>
          </w:tcPr>
          <w:p w:rsidR="00746875" w:rsidRDefault="00746875" w:rsidP="00442981">
            <w:pPr>
              <w:pStyle w:val="Bezodstpw"/>
              <w:jc w:val="center"/>
              <w:rPr>
                <w:color w:val="000000" w:themeColor="text1"/>
                <w:sz w:val="30"/>
                <w:szCs w:val="30"/>
              </w:rPr>
            </w:pPr>
            <w:r>
              <w:rPr>
                <w:color w:val="000000" w:themeColor="text1"/>
                <w:sz w:val="30"/>
                <w:szCs w:val="30"/>
              </w:rPr>
              <w:t xml:space="preserve">Data wprowadzenia spółki do rubryki </w:t>
            </w:r>
            <w:proofErr w:type="gramStart"/>
            <w:r>
              <w:rPr>
                <w:color w:val="000000" w:themeColor="text1"/>
                <w:sz w:val="30"/>
                <w:szCs w:val="30"/>
              </w:rPr>
              <w:t>,,</w:t>
            </w:r>
            <w:proofErr w:type="gramEnd"/>
            <w:r>
              <w:rPr>
                <w:color w:val="000000" w:themeColor="text1"/>
                <w:sz w:val="30"/>
                <w:szCs w:val="30"/>
              </w:rPr>
              <w:t>Wykres do przemyślenia”</w:t>
            </w:r>
          </w:p>
        </w:tc>
      </w:tr>
      <w:tr w:rsidR="00746875" w:rsidRPr="00F4130D" w:rsidTr="00442981">
        <w:tc>
          <w:tcPr>
            <w:tcW w:w="4606" w:type="dxa"/>
            <w:hideMark/>
          </w:tcPr>
          <w:p w:rsidR="00746875" w:rsidRPr="00F4130D" w:rsidRDefault="00746875" w:rsidP="00442981">
            <w:pPr>
              <w:jc w:val="center"/>
              <w:rPr>
                <w:sz w:val="36"/>
                <w:szCs w:val="36"/>
              </w:rPr>
            </w:pPr>
            <w:proofErr w:type="spellStart"/>
            <w:r w:rsidRPr="00F4130D">
              <w:rPr>
                <w:color w:val="FF0000"/>
                <w:sz w:val="36"/>
                <w:szCs w:val="36"/>
                <w14:shadow w14:blurRad="50800" w14:dist="38100" w14:dir="2700000" w14:sx="100000" w14:sy="100000" w14:kx="0" w14:ky="0" w14:algn="tl">
                  <w14:srgbClr w14:val="000000">
                    <w14:alpha w14:val="60000"/>
                  </w14:srgbClr>
                </w14:shadow>
              </w:rPr>
              <w:t>Netmedia</w:t>
            </w:r>
            <w:proofErr w:type="spellEnd"/>
          </w:p>
        </w:tc>
        <w:tc>
          <w:tcPr>
            <w:tcW w:w="4606" w:type="dxa"/>
            <w:hideMark/>
          </w:tcPr>
          <w:p w:rsidR="00746875" w:rsidRPr="00F4130D" w:rsidRDefault="00746875" w:rsidP="00442981">
            <w:pPr>
              <w:pStyle w:val="Bezodstpw"/>
              <w:jc w:val="center"/>
              <w:rPr>
                <w:color w:val="000000" w:themeColor="text1"/>
                <w:sz w:val="36"/>
                <w:szCs w:val="36"/>
              </w:rPr>
            </w:pPr>
            <w:r w:rsidRPr="00F4130D">
              <w:rPr>
                <w:color w:val="000000" w:themeColor="text1"/>
                <w:sz w:val="36"/>
                <w:szCs w:val="36"/>
              </w:rPr>
              <w:t>9 października 2015 roku</w:t>
            </w:r>
          </w:p>
        </w:tc>
      </w:tr>
      <w:tr w:rsidR="00746875" w:rsidRPr="00F4130D" w:rsidTr="00442981">
        <w:tc>
          <w:tcPr>
            <w:tcW w:w="4606" w:type="dxa"/>
            <w:hideMark/>
          </w:tcPr>
          <w:p w:rsidR="00746875" w:rsidRPr="00F4130D" w:rsidRDefault="00746875" w:rsidP="00442981">
            <w:pPr>
              <w:jc w:val="center"/>
              <w:rPr>
                <w:sz w:val="36"/>
                <w:szCs w:val="36"/>
              </w:rPr>
            </w:pPr>
            <w:r w:rsidRPr="00F4130D">
              <w:rPr>
                <w:color w:val="FF0000"/>
                <w:sz w:val="36"/>
                <w:szCs w:val="36"/>
                <w14:shadow w14:blurRad="50800" w14:dist="38100" w14:dir="2700000" w14:sx="100000" w14:sy="100000" w14:kx="0" w14:ky="0" w14:algn="tl">
                  <w14:srgbClr w14:val="000000">
                    <w14:alpha w14:val="60000"/>
                  </w14:srgbClr>
                </w14:shadow>
              </w:rPr>
              <w:t>Stalprodukt</w:t>
            </w:r>
          </w:p>
        </w:tc>
        <w:tc>
          <w:tcPr>
            <w:tcW w:w="4606" w:type="dxa"/>
            <w:hideMark/>
          </w:tcPr>
          <w:p w:rsidR="00746875" w:rsidRPr="00F4130D" w:rsidRDefault="00746875" w:rsidP="00442981">
            <w:pPr>
              <w:jc w:val="center"/>
              <w:rPr>
                <w:sz w:val="36"/>
                <w:szCs w:val="36"/>
              </w:rPr>
            </w:pPr>
            <w:r w:rsidRPr="00F4130D">
              <w:rPr>
                <w:color w:val="000000" w:themeColor="text1"/>
                <w:sz w:val="36"/>
                <w:szCs w:val="36"/>
              </w:rPr>
              <w:t>9 października 2015 roku</w:t>
            </w:r>
          </w:p>
        </w:tc>
      </w:tr>
      <w:tr w:rsidR="00746875" w:rsidRPr="00F4130D" w:rsidTr="00442981">
        <w:tc>
          <w:tcPr>
            <w:tcW w:w="4606" w:type="dxa"/>
            <w:hideMark/>
          </w:tcPr>
          <w:p w:rsidR="00746875" w:rsidRPr="00F4130D" w:rsidRDefault="00746875" w:rsidP="00442981">
            <w:pPr>
              <w:jc w:val="center"/>
              <w:rPr>
                <w:sz w:val="36"/>
                <w:szCs w:val="36"/>
              </w:rPr>
            </w:pPr>
            <w:r w:rsidRPr="00F4130D">
              <w:rPr>
                <w:color w:val="FF0000"/>
                <w:sz w:val="36"/>
                <w:szCs w:val="36"/>
                <w14:shadow w14:blurRad="50800" w14:dist="38100" w14:dir="2700000" w14:sx="100000" w14:sy="100000" w14:kx="0" w14:ky="0" w14:algn="tl">
                  <w14:srgbClr w14:val="000000">
                    <w14:alpha w14:val="60000"/>
                  </w14:srgbClr>
                </w14:shadow>
              </w:rPr>
              <w:t>Cyfrowy Polsat</w:t>
            </w:r>
          </w:p>
        </w:tc>
        <w:tc>
          <w:tcPr>
            <w:tcW w:w="4606" w:type="dxa"/>
            <w:hideMark/>
          </w:tcPr>
          <w:p w:rsidR="00746875" w:rsidRPr="00F4130D" w:rsidRDefault="00746875" w:rsidP="00442981">
            <w:pPr>
              <w:jc w:val="center"/>
              <w:rPr>
                <w:sz w:val="36"/>
                <w:szCs w:val="36"/>
              </w:rPr>
            </w:pPr>
            <w:r w:rsidRPr="00F4130D">
              <w:rPr>
                <w:color w:val="000000" w:themeColor="text1"/>
                <w:sz w:val="36"/>
                <w:szCs w:val="36"/>
              </w:rPr>
              <w:t>14 października 2015 roku</w:t>
            </w:r>
          </w:p>
        </w:tc>
      </w:tr>
      <w:tr w:rsidR="00746875" w:rsidRPr="00F4130D" w:rsidTr="00442981">
        <w:tc>
          <w:tcPr>
            <w:tcW w:w="4606" w:type="dxa"/>
            <w:hideMark/>
          </w:tcPr>
          <w:p w:rsidR="00746875" w:rsidRPr="00F4130D" w:rsidRDefault="00746875" w:rsidP="00442981">
            <w:pPr>
              <w:jc w:val="center"/>
              <w:rPr>
                <w:sz w:val="36"/>
                <w:szCs w:val="36"/>
              </w:rPr>
            </w:pPr>
            <w:r w:rsidRPr="00F4130D">
              <w:rPr>
                <w:color w:val="FF0000"/>
                <w:sz w:val="36"/>
                <w:szCs w:val="36"/>
                <w14:shadow w14:blurRad="50800" w14:dist="38100" w14:dir="2700000" w14:sx="100000" w14:sy="100000" w14:kx="0" w14:ky="0" w14:algn="tl">
                  <w14:srgbClr w14:val="000000">
                    <w14:alpha w14:val="60000"/>
                  </w14:srgbClr>
                </w14:shadow>
              </w:rPr>
              <w:t>Dębica</w:t>
            </w:r>
          </w:p>
        </w:tc>
        <w:tc>
          <w:tcPr>
            <w:tcW w:w="4606" w:type="dxa"/>
            <w:hideMark/>
          </w:tcPr>
          <w:p w:rsidR="00746875" w:rsidRPr="00F4130D" w:rsidRDefault="00746875" w:rsidP="00442981">
            <w:pPr>
              <w:jc w:val="center"/>
              <w:rPr>
                <w:sz w:val="36"/>
                <w:szCs w:val="36"/>
              </w:rPr>
            </w:pPr>
            <w:r w:rsidRPr="00F4130D">
              <w:rPr>
                <w:color w:val="000000" w:themeColor="text1"/>
                <w:sz w:val="36"/>
                <w:szCs w:val="36"/>
              </w:rPr>
              <w:t>17 października 2015 roku</w:t>
            </w:r>
          </w:p>
        </w:tc>
      </w:tr>
    </w:tbl>
    <w:p w:rsidR="00746875" w:rsidRDefault="00746875" w:rsidP="00746875">
      <w:pPr>
        <w:pStyle w:val="Bezodstpw"/>
        <w:jc w:val="both"/>
        <w:rPr>
          <w:sz w:val="26"/>
          <w:szCs w:val="26"/>
        </w:rPr>
      </w:pPr>
    </w:p>
    <w:p w:rsidR="00746875" w:rsidRDefault="00746875" w:rsidP="00746875">
      <w:pPr>
        <w:pStyle w:val="Bezodstpw"/>
        <w:jc w:val="both"/>
        <w:rPr>
          <w:color w:val="000000" w:themeColor="text1"/>
          <w:sz w:val="26"/>
          <w:szCs w:val="26"/>
        </w:rPr>
      </w:pPr>
      <w:r>
        <w:rPr>
          <w:b/>
          <w:color w:val="000000" w:themeColor="text1"/>
          <w:sz w:val="26"/>
          <w:szCs w:val="26"/>
          <w:u w:val="single"/>
        </w:rPr>
        <w:t>Hipoteza przyjęta w eksperymencie brzmi</w:t>
      </w:r>
      <w:r>
        <w:rPr>
          <w:color w:val="000000" w:themeColor="text1"/>
          <w:sz w:val="26"/>
          <w:szCs w:val="26"/>
        </w:rPr>
        <w:t xml:space="preserve">: średnia procentowa zmiana kursów akcji wybranych 11 spółek notowanych na Giełdzie Papierów Wartościowych w Warszawie będzie pomiędzy 30 października 2015 roku a 29 kwietnia 2016 roku wyższa od procentowej zmiany indeksu WIG20 w tym okresie. Jak </w:t>
      </w:r>
      <w:proofErr w:type="gramStart"/>
      <w:r>
        <w:rPr>
          <w:color w:val="000000" w:themeColor="text1"/>
          <w:sz w:val="26"/>
          <w:szCs w:val="26"/>
        </w:rPr>
        <w:t xml:space="preserve">będzie ? </w:t>
      </w:r>
      <w:proofErr w:type="gramEnd"/>
      <w:r>
        <w:rPr>
          <w:color w:val="000000" w:themeColor="text1"/>
          <w:sz w:val="26"/>
          <w:szCs w:val="26"/>
        </w:rPr>
        <w:t xml:space="preserve">Czas pokaże. </w:t>
      </w:r>
    </w:p>
    <w:p w:rsidR="00746875" w:rsidRDefault="00746875" w:rsidP="00746875">
      <w:pPr>
        <w:pStyle w:val="Bezodstpw"/>
        <w:jc w:val="both"/>
        <w:rPr>
          <w:color w:val="000000" w:themeColor="text1"/>
          <w:sz w:val="26"/>
          <w:szCs w:val="26"/>
        </w:rPr>
      </w:pPr>
    </w:p>
    <w:p w:rsidR="00746875" w:rsidRDefault="00746875" w:rsidP="00746875">
      <w:pPr>
        <w:pStyle w:val="Bezodstpw"/>
        <w:jc w:val="both"/>
        <w:rPr>
          <w:color w:val="000000" w:themeColor="text1"/>
          <w:sz w:val="26"/>
          <w:szCs w:val="26"/>
        </w:rPr>
      </w:pPr>
      <w:r>
        <w:rPr>
          <w:color w:val="000000" w:themeColor="text1"/>
          <w:sz w:val="26"/>
          <w:szCs w:val="26"/>
        </w:rPr>
        <w:t xml:space="preserve">O wynikach eksperymentu będę informował na stronie internetowej </w:t>
      </w:r>
      <w:hyperlink r:id="rId11" w:history="1">
        <w:r>
          <w:rPr>
            <w:rStyle w:val="Hipercze"/>
            <w:sz w:val="26"/>
            <w:szCs w:val="26"/>
          </w:rPr>
          <w:t>http://analizy-rynkowe.pl/</w:t>
        </w:r>
      </w:hyperlink>
      <w:r>
        <w:rPr>
          <w:sz w:val="26"/>
          <w:szCs w:val="26"/>
        </w:rPr>
        <w:t xml:space="preserve"> </w:t>
      </w:r>
      <w:r>
        <w:rPr>
          <w:color w:val="000000" w:themeColor="text1"/>
          <w:sz w:val="26"/>
          <w:szCs w:val="26"/>
        </w:rPr>
        <w:t xml:space="preserve">w dniach: 29 stycznia oraz 29 kwietnia 2016 roku </w:t>
      </w:r>
    </w:p>
    <w:p w:rsidR="00746875" w:rsidRDefault="00746875" w:rsidP="00746875">
      <w:pPr>
        <w:pStyle w:val="Bezodstpw"/>
        <w:jc w:val="both"/>
        <w:rPr>
          <w:color w:val="000000" w:themeColor="text1"/>
          <w:sz w:val="26"/>
          <w:szCs w:val="26"/>
        </w:rPr>
      </w:pPr>
    </w:p>
    <w:p w:rsidR="00746875" w:rsidRDefault="00746875" w:rsidP="00746875">
      <w:pPr>
        <w:pStyle w:val="Bezodstpw"/>
        <w:jc w:val="both"/>
        <w:rPr>
          <w:color w:val="000000" w:themeColor="text1"/>
          <w:sz w:val="26"/>
          <w:szCs w:val="26"/>
        </w:rPr>
      </w:pPr>
      <w:r>
        <w:rPr>
          <w:color w:val="000000" w:themeColor="text1"/>
          <w:sz w:val="26"/>
          <w:szCs w:val="26"/>
        </w:rPr>
        <w:t>Zachęcam do zapoznania się ze szczegółami eksperymentu….</w:t>
      </w:r>
    </w:p>
    <w:p w:rsidR="00746875" w:rsidRDefault="00746875" w:rsidP="00746875">
      <w:pPr>
        <w:pStyle w:val="Bezodstpw"/>
        <w:jc w:val="both"/>
        <w:rPr>
          <w:sz w:val="26"/>
          <w:szCs w:val="26"/>
        </w:rPr>
      </w:pPr>
    </w:p>
    <w:p w:rsidR="00746875" w:rsidRDefault="00CA17A4" w:rsidP="00746875">
      <w:pPr>
        <w:pStyle w:val="Bezodstpw"/>
        <w:jc w:val="both"/>
      </w:pPr>
      <w:hyperlink r:id="rId12" w:history="1">
        <w:r w:rsidR="00746875">
          <w:rPr>
            <w:rStyle w:val="Hipercze"/>
            <w:sz w:val="26"/>
            <w:szCs w:val="26"/>
          </w:rPr>
          <w:t>http://analizy-rynkowe.pl/rozpoczynam-kolejny-eksperyment-tym-razem-bedzie-to-eksperyment-efekt-przelomu-roku/</w:t>
        </w:r>
      </w:hyperlink>
    </w:p>
    <w:p w:rsidR="00746875" w:rsidRDefault="00746875" w:rsidP="00746875">
      <w:pPr>
        <w:pStyle w:val="Bezodstpw"/>
        <w:jc w:val="both"/>
      </w:pPr>
    </w:p>
    <w:p w:rsidR="00746875" w:rsidRPr="00EB1CDD" w:rsidRDefault="00746875" w:rsidP="00746875">
      <w:pPr>
        <w:pStyle w:val="Bezodstpw"/>
        <w:jc w:val="both"/>
        <w:rPr>
          <w:rStyle w:val="Hipercze"/>
          <w:color w:val="000000" w:themeColor="text1"/>
          <w:u w:val="none"/>
        </w:rPr>
      </w:pPr>
      <w:r>
        <w:rPr>
          <w:rStyle w:val="Hipercze"/>
          <w:color w:val="000000" w:themeColor="text1"/>
          <w:u w:val="none"/>
        </w:rPr>
        <w:t xml:space="preserve">Oczywiście nawet już dziś można postawić pytanie: </w:t>
      </w:r>
    </w:p>
    <w:p w:rsidR="00746875" w:rsidRDefault="00746875" w:rsidP="00746875">
      <w:pPr>
        <w:pStyle w:val="Bezodstpw"/>
        <w:jc w:val="both"/>
        <w:rPr>
          <w:sz w:val="26"/>
          <w:szCs w:val="26"/>
        </w:rPr>
      </w:pPr>
    </w:p>
    <w:p w:rsidR="00746875" w:rsidRDefault="00746875" w:rsidP="00746875">
      <w:pPr>
        <w:pStyle w:val="Bezodstpw"/>
        <w:jc w:val="both"/>
        <w:rPr>
          <w:sz w:val="26"/>
          <w:szCs w:val="26"/>
        </w:rPr>
      </w:pPr>
      <w:r>
        <w:rPr>
          <w:sz w:val="26"/>
          <w:szCs w:val="26"/>
        </w:rPr>
        <w:t xml:space="preserve">Jakie są dotychczasowe wyniki </w:t>
      </w:r>
      <w:proofErr w:type="gramStart"/>
      <w:r>
        <w:rPr>
          <w:sz w:val="26"/>
          <w:szCs w:val="26"/>
        </w:rPr>
        <w:t xml:space="preserve">eksperymentu ? </w:t>
      </w:r>
      <w:proofErr w:type="gramEnd"/>
    </w:p>
    <w:p w:rsidR="00746875" w:rsidRDefault="00746875" w:rsidP="00746875">
      <w:pPr>
        <w:pStyle w:val="Bezodstpw"/>
        <w:jc w:val="both"/>
        <w:rPr>
          <w:sz w:val="26"/>
          <w:szCs w:val="26"/>
        </w:rPr>
      </w:pPr>
    </w:p>
    <w:p w:rsidR="00746875" w:rsidRDefault="00746875" w:rsidP="00746875">
      <w:pPr>
        <w:pStyle w:val="Bezodstpw"/>
        <w:jc w:val="both"/>
        <w:rPr>
          <w:sz w:val="26"/>
          <w:szCs w:val="26"/>
        </w:rPr>
      </w:pPr>
      <w:r>
        <w:rPr>
          <w:sz w:val="26"/>
          <w:szCs w:val="26"/>
        </w:rPr>
        <w:t>Odpowiedź przedstawiłem w tabeli.</w:t>
      </w:r>
    </w:p>
    <w:p w:rsidR="00746875" w:rsidRDefault="00746875" w:rsidP="00746875">
      <w:pPr>
        <w:pStyle w:val="Bezodstpw"/>
        <w:jc w:val="both"/>
        <w:rPr>
          <w:sz w:val="26"/>
          <w:szCs w:val="26"/>
        </w:rPr>
      </w:pPr>
    </w:p>
    <w:tbl>
      <w:tblPr>
        <w:tblStyle w:val="Tabela-Siatka"/>
        <w:tblW w:w="0" w:type="auto"/>
        <w:tblLook w:val="04A0" w:firstRow="1" w:lastRow="0" w:firstColumn="1" w:lastColumn="0" w:noHBand="0" w:noVBand="1"/>
      </w:tblPr>
      <w:tblGrid>
        <w:gridCol w:w="2303"/>
        <w:gridCol w:w="2303"/>
        <w:gridCol w:w="2303"/>
        <w:gridCol w:w="2303"/>
      </w:tblGrid>
      <w:tr w:rsidR="00746875" w:rsidTr="00442981">
        <w:tc>
          <w:tcPr>
            <w:tcW w:w="2303" w:type="dxa"/>
          </w:tcPr>
          <w:p w:rsidR="00746875" w:rsidRDefault="00746875" w:rsidP="00442981">
            <w:pPr>
              <w:pStyle w:val="Bezodstpw"/>
              <w:jc w:val="both"/>
              <w:rPr>
                <w:sz w:val="26"/>
                <w:szCs w:val="26"/>
              </w:rPr>
            </w:pPr>
            <w:r>
              <w:rPr>
                <w:sz w:val="26"/>
                <w:szCs w:val="26"/>
              </w:rPr>
              <w:t xml:space="preserve">Nazwa spółki </w:t>
            </w:r>
          </w:p>
        </w:tc>
        <w:tc>
          <w:tcPr>
            <w:tcW w:w="2303" w:type="dxa"/>
          </w:tcPr>
          <w:p w:rsidR="00746875" w:rsidRDefault="00746875" w:rsidP="00442981">
            <w:pPr>
              <w:pStyle w:val="Bezodstpw"/>
              <w:jc w:val="both"/>
              <w:rPr>
                <w:sz w:val="26"/>
                <w:szCs w:val="26"/>
              </w:rPr>
            </w:pPr>
            <w:r>
              <w:rPr>
                <w:sz w:val="26"/>
                <w:szCs w:val="26"/>
              </w:rPr>
              <w:t>Kurs -30.10.2015</w:t>
            </w:r>
          </w:p>
        </w:tc>
        <w:tc>
          <w:tcPr>
            <w:tcW w:w="2303" w:type="dxa"/>
          </w:tcPr>
          <w:p w:rsidR="00746875" w:rsidRDefault="00746875" w:rsidP="00442981">
            <w:pPr>
              <w:pStyle w:val="Bezodstpw"/>
              <w:jc w:val="both"/>
              <w:rPr>
                <w:sz w:val="26"/>
                <w:szCs w:val="26"/>
              </w:rPr>
            </w:pPr>
            <w:r>
              <w:rPr>
                <w:sz w:val="26"/>
                <w:szCs w:val="26"/>
              </w:rPr>
              <w:t>Kurs – 30.12.2015</w:t>
            </w:r>
          </w:p>
        </w:tc>
        <w:tc>
          <w:tcPr>
            <w:tcW w:w="2303" w:type="dxa"/>
          </w:tcPr>
          <w:p w:rsidR="00746875" w:rsidRDefault="00746875" w:rsidP="00442981">
            <w:pPr>
              <w:pStyle w:val="Bezodstpw"/>
              <w:jc w:val="both"/>
              <w:rPr>
                <w:sz w:val="26"/>
                <w:szCs w:val="26"/>
              </w:rPr>
            </w:pPr>
            <w:r>
              <w:rPr>
                <w:sz w:val="26"/>
                <w:szCs w:val="26"/>
              </w:rPr>
              <w:t>Zmiana kursu w %</w:t>
            </w:r>
          </w:p>
        </w:tc>
      </w:tr>
      <w:tr w:rsidR="00746875" w:rsidTr="00442981">
        <w:tc>
          <w:tcPr>
            <w:tcW w:w="2303" w:type="dxa"/>
          </w:tcPr>
          <w:p w:rsidR="00746875" w:rsidRPr="00BC1495" w:rsidRDefault="00746875" w:rsidP="00442981">
            <w:pPr>
              <w:rPr>
                <w:sz w:val="24"/>
                <w:szCs w:val="24"/>
              </w:rPr>
            </w:pPr>
            <w:r w:rsidRPr="00BC1495">
              <w:rPr>
                <w:sz w:val="24"/>
                <w:szCs w:val="24"/>
              </w:rPr>
              <w:t>TIM</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9,30</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9,00</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-3,2</w:t>
            </w:r>
          </w:p>
        </w:tc>
      </w:tr>
      <w:tr w:rsidR="00746875" w:rsidTr="00442981">
        <w:tc>
          <w:tcPr>
            <w:tcW w:w="2303" w:type="dxa"/>
          </w:tcPr>
          <w:p w:rsidR="00746875" w:rsidRPr="00BC1495" w:rsidRDefault="00746875" w:rsidP="00442981">
            <w:pPr>
              <w:rPr>
                <w:sz w:val="24"/>
                <w:szCs w:val="24"/>
              </w:rPr>
            </w:pPr>
            <w:r w:rsidRPr="00BC1495">
              <w:rPr>
                <w:sz w:val="24"/>
                <w:szCs w:val="24"/>
              </w:rPr>
              <w:t>Unima2000</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2,54</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2,21</w:t>
            </w:r>
          </w:p>
        </w:tc>
        <w:tc>
          <w:tcPr>
            <w:tcW w:w="2303" w:type="dxa"/>
          </w:tcPr>
          <w:p w:rsidR="00746875" w:rsidRPr="00BC1495" w:rsidRDefault="00746875" w:rsidP="00442981">
            <w:pPr>
              <w:jc w:val="center"/>
              <w:rPr>
                <w:sz w:val="24"/>
                <w:szCs w:val="24"/>
              </w:rPr>
            </w:pPr>
            <w:r w:rsidRPr="00BC1495">
              <w:rPr>
                <w:sz w:val="24"/>
                <w:szCs w:val="24"/>
              </w:rPr>
              <w:t>-13,0</w:t>
            </w:r>
          </w:p>
        </w:tc>
      </w:tr>
      <w:tr w:rsidR="00746875" w:rsidTr="00442981">
        <w:tc>
          <w:tcPr>
            <w:tcW w:w="2303" w:type="dxa"/>
          </w:tcPr>
          <w:p w:rsidR="00746875" w:rsidRPr="00BC1495" w:rsidRDefault="00746875" w:rsidP="00442981">
            <w:pPr>
              <w:rPr>
                <w:sz w:val="24"/>
                <w:szCs w:val="24"/>
              </w:rPr>
            </w:pPr>
            <w:proofErr w:type="spellStart"/>
            <w:r w:rsidRPr="00BC1495">
              <w:rPr>
                <w:sz w:val="24"/>
                <w:szCs w:val="24"/>
              </w:rPr>
              <w:t>Variant</w:t>
            </w:r>
            <w:proofErr w:type="spellEnd"/>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1,77</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1,68</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-5,1</w:t>
            </w:r>
          </w:p>
        </w:tc>
      </w:tr>
      <w:tr w:rsidR="00746875" w:rsidTr="00442981">
        <w:tc>
          <w:tcPr>
            <w:tcW w:w="2303" w:type="dxa"/>
          </w:tcPr>
          <w:p w:rsidR="00746875" w:rsidRPr="00BC1495" w:rsidRDefault="00746875" w:rsidP="00442981">
            <w:pPr>
              <w:rPr>
                <w:sz w:val="24"/>
                <w:szCs w:val="24"/>
              </w:rPr>
            </w:pPr>
            <w:r w:rsidRPr="00BC1495">
              <w:rPr>
                <w:sz w:val="24"/>
                <w:szCs w:val="24"/>
              </w:rPr>
              <w:t>Ropczyce</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22,00</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21,65</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-1,6</w:t>
            </w:r>
          </w:p>
        </w:tc>
      </w:tr>
      <w:tr w:rsidR="00746875" w:rsidTr="00442981">
        <w:tc>
          <w:tcPr>
            <w:tcW w:w="2303" w:type="dxa"/>
          </w:tcPr>
          <w:p w:rsidR="00746875" w:rsidRPr="00BC1495" w:rsidRDefault="00746875" w:rsidP="00442981">
            <w:pPr>
              <w:rPr>
                <w:sz w:val="24"/>
                <w:szCs w:val="24"/>
              </w:rPr>
            </w:pPr>
            <w:r w:rsidRPr="00BC1495">
              <w:rPr>
                <w:sz w:val="24"/>
                <w:szCs w:val="24"/>
              </w:rPr>
              <w:t>Eurocash</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52,19</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48,50</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-7,1</w:t>
            </w:r>
          </w:p>
        </w:tc>
      </w:tr>
      <w:tr w:rsidR="00746875" w:rsidTr="00442981">
        <w:tc>
          <w:tcPr>
            <w:tcW w:w="2303" w:type="dxa"/>
          </w:tcPr>
          <w:p w:rsidR="00746875" w:rsidRPr="00BC1495" w:rsidRDefault="00746875" w:rsidP="00442981">
            <w:pPr>
              <w:rPr>
                <w:sz w:val="24"/>
                <w:szCs w:val="24"/>
              </w:rPr>
            </w:pPr>
            <w:r w:rsidRPr="00BC1495">
              <w:rPr>
                <w:sz w:val="24"/>
                <w:szCs w:val="24"/>
              </w:rPr>
              <w:t>Agora</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11,56</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12,60</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9,0</w:t>
            </w:r>
          </w:p>
        </w:tc>
      </w:tr>
      <w:tr w:rsidR="00746875" w:rsidTr="00442981">
        <w:tc>
          <w:tcPr>
            <w:tcW w:w="2303" w:type="dxa"/>
          </w:tcPr>
          <w:p w:rsidR="00746875" w:rsidRPr="00BC1495" w:rsidRDefault="00746875" w:rsidP="00442981">
            <w:pPr>
              <w:rPr>
                <w:sz w:val="24"/>
                <w:szCs w:val="24"/>
              </w:rPr>
            </w:pPr>
            <w:r w:rsidRPr="00BC1495">
              <w:rPr>
                <w:sz w:val="24"/>
                <w:szCs w:val="24"/>
              </w:rPr>
              <w:t>BZWBK</w:t>
            </w:r>
          </w:p>
        </w:tc>
        <w:tc>
          <w:tcPr>
            <w:tcW w:w="2303" w:type="dxa"/>
          </w:tcPr>
          <w:p w:rsidR="00746875" w:rsidRPr="00BC1495" w:rsidRDefault="00746875" w:rsidP="00442981">
            <w:pPr>
              <w:jc w:val="center"/>
              <w:rPr>
                <w:sz w:val="24"/>
                <w:szCs w:val="24"/>
              </w:rPr>
            </w:pPr>
            <w:r w:rsidRPr="00BC1495">
              <w:rPr>
                <w:sz w:val="24"/>
                <w:szCs w:val="24"/>
              </w:rPr>
              <w:t>311,70</w:t>
            </w:r>
          </w:p>
        </w:tc>
        <w:tc>
          <w:tcPr>
            <w:tcW w:w="2303" w:type="dxa"/>
          </w:tcPr>
          <w:p w:rsidR="00746875" w:rsidRPr="00BC1495" w:rsidRDefault="00746875" w:rsidP="00442981">
            <w:pPr>
              <w:jc w:val="center"/>
              <w:rPr>
                <w:sz w:val="24"/>
                <w:szCs w:val="24"/>
              </w:rPr>
            </w:pPr>
            <w:r w:rsidRPr="00BC1495">
              <w:rPr>
                <w:sz w:val="24"/>
                <w:szCs w:val="24"/>
              </w:rPr>
              <w:t>284,00</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-8,9</w:t>
            </w:r>
          </w:p>
        </w:tc>
      </w:tr>
      <w:tr w:rsidR="00746875" w:rsidTr="00442981">
        <w:tc>
          <w:tcPr>
            <w:tcW w:w="2303" w:type="dxa"/>
          </w:tcPr>
          <w:p w:rsidR="00746875" w:rsidRPr="00BC1495" w:rsidRDefault="00746875" w:rsidP="00442981">
            <w:pPr>
              <w:rPr>
                <w:sz w:val="24"/>
                <w:szCs w:val="24"/>
              </w:rPr>
            </w:pPr>
            <w:proofErr w:type="spellStart"/>
            <w:r w:rsidRPr="00BC1495">
              <w:rPr>
                <w:sz w:val="24"/>
                <w:szCs w:val="24"/>
              </w:rPr>
              <w:t>Netmedia</w:t>
            </w:r>
            <w:proofErr w:type="spellEnd"/>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5,10</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5,89</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15,5</w:t>
            </w:r>
          </w:p>
        </w:tc>
      </w:tr>
      <w:tr w:rsidR="00746875" w:rsidTr="00442981">
        <w:tc>
          <w:tcPr>
            <w:tcW w:w="2303" w:type="dxa"/>
          </w:tcPr>
          <w:p w:rsidR="00746875" w:rsidRPr="00BC1495" w:rsidRDefault="00746875" w:rsidP="00442981">
            <w:pPr>
              <w:rPr>
                <w:sz w:val="24"/>
                <w:szCs w:val="24"/>
              </w:rPr>
            </w:pPr>
            <w:r w:rsidRPr="00BC1495">
              <w:rPr>
                <w:sz w:val="24"/>
                <w:szCs w:val="24"/>
              </w:rPr>
              <w:t>Stalprodukt</w:t>
            </w:r>
          </w:p>
        </w:tc>
        <w:tc>
          <w:tcPr>
            <w:tcW w:w="2303" w:type="dxa"/>
          </w:tcPr>
          <w:p w:rsidR="00746875" w:rsidRPr="00BC1495" w:rsidRDefault="00746875" w:rsidP="00442981">
            <w:pPr>
              <w:jc w:val="center"/>
              <w:rPr>
                <w:sz w:val="24"/>
                <w:szCs w:val="24"/>
              </w:rPr>
            </w:pPr>
            <w:r w:rsidRPr="00BC1495">
              <w:rPr>
                <w:sz w:val="24"/>
                <w:szCs w:val="24"/>
              </w:rPr>
              <w:t>320,00</w:t>
            </w:r>
          </w:p>
        </w:tc>
        <w:tc>
          <w:tcPr>
            <w:tcW w:w="2303" w:type="dxa"/>
          </w:tcPr>
          <w:p w:rsidR="00746875" w:rsidRPr="00BC1495" w:rsidRDefault="00746875" w:rsidP="00442981">
            <w:pPr>
              <w:jc w:val="center"/>
              <w:rPr>
                <w:sz w:val="24"/>
                <w:szCs w:val="24"/>
              </w:rPr>
            </w:pPr>
            <w:r w:rsidRPr="00BC1495">
              <w:rPr>
                <w:sz w:val="24"/>
                <w:szCs w:val="24"/>
              </w:rPr>
              <w:t>299,00</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-6,6</w:t>
            </w:r>
          </w:p>
        </w:tc>
      </w:tr>
      <w:tr w:rsidR="00746875" w:rsidTr="00442981">
        <w:tc>
          <w:tcPr>
            <w:tcW w:w="2303" w:type="dxa"/>
          </w:tcPr>
          <w:p w:rsidR="00746875" w:rsidRPr="00BC1495" w:rsidRDefault="00746875" w:rsidP="00442981">
            <w:pPr>
              <w:rPr>
                <w:sz w:val="24"/>
                <w:szCs w:val="24"/>
              </w:rPr>
            </w:pPr>
            <w:r w:rsidRPr="00BC1495">
              <w:rPr>
                <w:sz w:val="24"/>
                <w:szCs w:val="24"/>
              </w:rPr>
              <w:t>Cyfrowy Polsat</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24,91</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20,88</w:t>
            </w:r>
          </w:p>
        </w:tc>
        <w:tc>
          <w:tcPr>
            <w:tcW w:w="2303" w:type="dxa"/>
          </w:tcPr>
          <w:p w:rsidR="00746875" w:rsidRPr="00BC1495" w:rsidRDefault="00746875" w:rsidP="00442981">
            <w:pPr>
              <w:jc w:val="center"/>
              <w:rPr>
                <w:sz w:val="24"/>
                <w:szCs w:val="24"/>
              </w:rPr>
            </w:pPr>
            <w:r w:rsidRPr="00BC1495">
              <w:rPr>
                <w:sz w:val="24"/>
                <w:szCs w:val="24"/>
              </w:rPr>
              <w:t>-16,2</w:t>
            </w:r>
          </w:p>
        </w:tc>
      </w:tr>
      <w:tr w:rsidR="00746875" w:rsidTr="00442981">
        <w:tc>
          <w:tcPr>
            <w:tcW w:w="2303" w:type="dxa"/>
          </w:tcPr>
          <w:p w:rsidR="00746875" w:rsidRPr="00BC1495" w:rsidRDefault="00746875" w:rsidP="00442981">
            <w:pPr>
              <w:rPr>
                <w:sz w:val="24"/>
                <w:szCs w:val="24"/>
              </w:rPr>
            </w:pPr>
            <w:r w:rsidRPr="00BC1495">
              <w:rPr>
                <w:sz w:val="24"/>
                <w:szCs w:val="24"/>
              </w:rPr>
              <w:t>Dębica</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88,00</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96,80</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10,0</w:t>
            </w:r>
          </w:p>
        </w:tc>
      </w:tr>
      <w:tr w:rsidR="00746875" w:rsidTr="00442981">
        <w:tc>
          <w:tcPr>
            <w:tcW w:w="2303" w:type="dxa"/>
          </w:tcPr>
          <w:p w:rsidR="00746875" w:rsidRPr="00BC1495" w:rsidRDefault="00746875" w:rsidP="00442981">
            <w:pPr>
              <w:pStyle w:val="Bezodstpw"/>
              <w:jc w:val="both"/>
              <w:rPr>
                <w:sz w:val="24"/>
                <w:szCs w:val="24"/>
              </w:rPr>
            </w:pPr>
            <w:r>
              <w:rPr>
                <w:sz w:val="24"/>
                <w:szCs w:val="24"/>
              </w:rPr>
              <w:t xml:space="preserve">Średnio </w:t>
            </w:r>
          </w:p>
        </w:tc>
        <w:tc>
          <w:tcPr>
            <w:tcW w:w="2303" w:type="dxa"/>
          </w:tcPr>
          <w:p w:rsidR="00746875" w:rsidRPr="00BC1495" w:rsidRDefault="00746875" w:rsidP="00442981">
            <w:pPr>
              <w:jc w:val="center"/>
              <w:rPr>
                <w:sz w:val="24"/>
                <w:szCs w:val="24"/>
              </w:rPr>
            </w:pPr>
          </w:p>
        </w:tc>
        <w:tc>
          <w:tcPr>
            <w:tcW w:w="2303" w:type="dxa"/>
          </w:tcPr>
          <w:p w:rsidR="00746875" w:rsidRPr="00BC1495" w:rsidRDefault="00746875" w:rsidP="00442981">
            <w:pPr>
              <w:jc w:val="center"/>
              <w:rPr>
                <w:sz w:val="24"/>
                <w:szCs w:val="24"/>
              </w:rPr>
            </w:pPr>
          </w:p>
        </w:tc>
        <w:tc>
          <w:tcPr>
            <w:tcW w:w="2303" w:type="dxa"/>
          </w:tcPr>
          <w:p w:rsidR="00746875" w:rsidRPr="00BC1495" w:rsidRDefault="00746875" w:rsidP="00442981">
            <w:pPr>
              <w:jc w:val="center"/>
              <w:rPr>
                <w:sz w:val="24"/>
                <w:szCs w:val="24"/>
              </w:rPr>
            </w:pPr>
            <w:r>
              <w:rPr>
                <w:sz w:val="24"/>
                <w:szCs w:val="24"/>
              </w:rPr>
              <w:t xml:space="preserve">   -2,5</w:t>
            </w:r>
          </w:p>
        </w:tc>
      </w:tr>
      <w:tr w:rsidR="00746875" w:rsidRPr="00BC1495" w:rsidTr="00442981">
        <w:tc>
          <w:tcPr>
            <w:tcW w:w="2303" w:type="dxa"/>
          </w:tcPr>
          <w:p w:rsidR="00746875" w:rsidRPr="00BC1495" w:rsidRDefault="00746875" w:rsidP="00442981">
            <w:pPr>
              <w:pStyle w:val="Bezodstpw"/>
              <w:jc w:val="both"/>
              <w:rPr>
                <w:sz w:val="24"/>
                <w:szCs w:val="24"/>
              </w:rPr>
            </w:pPr>
            <w:r w:rsidRPr="00BC1495">
              <w:rPr>
                <w:sz w:val="24"/>
                <w:szCs w:val="24"/>
              </w:rPr>
              <w:t>WIG20</w:t>
            </w:r>
          </w:p>
        </w:tc>
        <w:tc>
          <w:tcPr>
            <w:tcW w:w="2303" w:type="dxa"/>
          </w:tcPr>
          <w:p w:rsidR="00746875" w:rsidRPr="00BC1495" w:rsidRDefault="00746875" w:rsidP="00442981">
            <w:pPr>
              <w:jc w:val="center"/>
              <w:rPr>
                <w:sz w:val="24"/>
                <w:szCs w:val="24"/>
              </w:rPr>
            </w:pPr>
            <w:r w:rsidRPr="00BC1495">
              <w:rPr>
                <w:sz w:val="24"/>
                <w:szCs w:val="24"/>
              </w:rPr>
              <w:t>2060,0</w:t>
            </w:r>
          </w:p>
        </w:tc>
        <w:tc>
          <w:tcPr>
            <w:tcW w:w="2303" w:type="dxa"/>
          </w:tcPr>
          <w:p w:rsidR="00746875" w:rsidRPr="00BC1495" w:rsidRDefault="00746875" w:rsidP="00442981">
            <w:pPr>
              <w:jc w:val="center"/>
              <w:rPr>
                <w:sz w:val="24"/>
                <w:szCs w:val="24"/>
              </w:rPr>
            </w:pPr>
            <w:r w:rsidRPr="00BC1495">
              <w:rPr>
                <w:sz w:val="24"/>
                <w:szCs w:val="24"/>
              </w:rPr>
              <w:t>1859,2</w:t>
            </w:r>
          </w:p>
        </w:tc>
        <w:tc>
          <w:tcPr>
            <w:tcW w:w="2303" w:type="dxa"/>
          </w:tcPr>
          <w:p w:rsidR="00746875" w:rsidRPr="00BC1495" w:rsidRDefault="00746875" w:rsidP="00442981">
            <w:pPr>
              <w:jc w:val="center"/>
              <w:rPr>
                <w:sz w:val="24"/>
                <w:szCs w:val="24"/>
              </w:rPr>
            </w:pPr>
            <w:r>
              <w:rPr>
                <w:sz w:val="24"/>
                <w:szCs w:val="24"/>
              </w:rPr>
              <w:t xml:space="preserve">   </w:t>
            </w:r>
            <w:r w:rsidRPr="00BC1495">
              <w:rPr>
                <w:sz w:val="24"/>
                <w:szCs w:val="24"/>
              </w:rPr>
              <w:t>-9,8</w:t>
            </w:r>
          </w:p>
        </w:tc>
      </w:tr>
    </w:tbl>
    <w:p w:rsidR="00746875" w:rsidRDefault="00746875" w:rsidP="00746875">
      <w:pPr>
        <w:pStyle w:val="Bezodstpw"/>
        <w:jc w:val="both"/>
        <w:rPr>
          <w:sz w:val="26"/>
          <w:szCs w:val="26"/>
        </w:rPr>
      </w:pPr>
    </w:p>
    <w:p w:rsidR="00746875" w:rsidRDefault="00746875" w:rsidP="00746875">
      <w:pPr>
        <w:pStyle w:val="Bezodstpw"/>
        <w:jc w:val="both"/>
        <w:rPr>
          <w:sz w:val="26"/>
          <w:szCs w:val="26"/>
        </w:rPr>
      </w:pPr>
      <w:r>
        <w:rPr>
          <w:sz w:val="26"/>
          <w:szCs w:val="26"/>
        </w:rPr>
        <w:t xml:space="preserve">Co będzie </w:t>
      </w:r>
      <w:proofErr w:type="gramStart"/>
      <w:r>
        <w:rPr>
          <w:sz w:val="26"/>
          <w:szCs w:val="26"/>
        </w:rPr>
        <w:t xml:space="preserve">dalej ? </w:t>
      </w:r>
      <w:proofErr w:type="gramEnd"/>
      <w:r>
        <w:rPr>
          <w:sz w:val="26"/>
          <w:szCs w:val="26"/>
        </w:rPr>
        <w:t xml:space="preserve">Nie wiem. Czas pokaże. Zobaczymy. </w:t>
      </w:r>
    </w:p>
    <w:p w:rsidR="00284DF5" w:rsidRDefault="00284DF5" w:rsidP="00284DF5">
      <w:pPr>
        <w:pStyle w:val="Bezodstpw"/>
        <w:pBdr>
          <w:top w:val="single" w:sz="4" w:space="1" w:color="auto"/>
          <w:left w:val="single" w:sz="4" w:space="4" w:color="auto"/>
          <w:bottom w:val="single" w:sz="4" w:space="1" w:color="auto"/>
          <w:right w:val="single" w:sz="4" w:space="4" w:color="auto"/>
        </w:pBdr>
        <w:shd w:val="clear" w:color="auto" w:fill="FFFF00"/>
        <w:jc w:val="center"/>
        <w:rPr>
          <w:sz w:val="26"/>
          <w:szCs w:val="26"/>
        </w:rPr>
      </w:pPr>
      <w:r w:rsidRPr="00706E5E">
        <w:rPr>
          <w:sz w:val="26"/>
          <w:szCs w:val="26"/>
        </w:rPr>
        <w:lastRenderedPageBreak/>
        <w:t xml:space="preserve">Może znów kursy akcji mniejszych spółek będą w styczniu </w:t>
      </w:r>
    </w:p>
    <w:p w:rsidR="00284DF5" w:rsidRPr="00706E5E" w:rsidRDefault="00284DF5" w:rsidP="00284DF5">
      <w:pPr>
        <w:pStyle w:val="Bezodstpw"/>
        <w:pBdr>
          <w:top w:val="single" w:sz="4" w:space="1" w:color="auto"/>
          <w:left w:val="single" w:sz="4" w:space="4" w:color="auto"/>
          <w:bottom w:val="single" w:sz="4" w:space="1" w:color="auto"/>
          <w:right w:val="single" w:sz="4" w:space="4" w:color="auto"/>
        </w:pBdr>
        <w:shd w:val="clear" w:color="auto" w:fill="FFFF00"/>
        <w:jc w:val="center"/>
        <w:rPr>
          <w:sz w:val="26"/>
          <w:szCs w:val="26"/>
        </w:rPr>
      </w:pPr>
      <w:r w:rsidRPr="00706E5E">
        <w:rPr>
          <w:sz w:val="26"/>
          <w:szCs w:val="26"/>
        </w:rPr>
        <w:t xml:space="preserve">mocniejsze od kursów akcji spółek </w:t>
      </w:r>
      <w:proofErr w:type="gramStart"/>
      <w:r w:rsidRPr="00706E5E">
        <w:rPr>
          <w:sz w:val="26"/>
          <w:szCs w:val="26"/>
        </w:rPr>
        <w:t>większych ?</w:t>
      </w:r>
      <w:proofErr w:type="gramEnd"/>
    </w:p>
    <w:p w:rsidR="00284DF5" w:rsidRPr="00706E5E" w:rsidRDefault="00284DF5" w:rsidP="00284DF5">
      <w:pPr>
        <w:pStyle w:val="Bezodstpw"/>
        <w:jc w:val="both"/>
        <w:rPr>
          <w:sz w:val="26"/>
          <w:szCs w:val="26"/>
        </w:rPr>
      </w:pPr>
    </w:p>
    <w:p w:rsidR="00284DF5" w:rsidRPr="00706E5E" w:rsidRDefault="00284DF5" w:rsidP="00284DF5">
      <w:pPr>
        <w:pStyle w:val="Bezodstpw"/>
        <w:jc w:val="both"/>
        <w:rPr>
          <w:sz w:val="26"/>
          <w:szCs w:val="26"/>
        </w:rPr>
      </w:pPr>
      <w:r w:rsidRPr="00706E5E">
        <w:rPr>
          <w:sz w:val="26"/>
          <w:szCs w:val="26"/>
        </w:rPr>
        <w:t>Najdłużej istniejącym indeksem giełdowym opisującym sytuację na polskim rynku akcji jest Warszawski indeks Giełdowy.</w:t>
      </w:r>
    </w:p>
    <w:p w:rsidR="00284DF5" w:rsidRPr="00706E5E" w:rsidRDefault="00284DF5" w:rsidP="00284DF5">
      <w:pPr>
        <w:pStyle w:val="Bezodstpw"/>
        <w:jc w:val="both"/>
        <w:rPr>
          <w:sz w:val="26"/>
          <w:szCs w:val="26"/>
        </w:rPr>
      </w:pPr>
    </w:p>
    <w:p w:rsidR="00284DF5" w:rsidRPr="00706E5E" w:rsidRDefault="00284DF5" w:rsidP="00284DF5">
      <w:pPr>
        <w:pStyle w:val="Bezodstpw"/>
        <w:jc w:val="both"/>
        <w:rPr>
          <w:sz w:val="26"/>
          <w:szCs w:val="26"/>
        </w:rPr>
      </w:pPr>
      <w:r w:rsidRPr="00706E5E">
        <w:rPr>
          <w:sz w:val="26"/>
          <w:szCs w:val="26"/>
        </w:rPr>
        <w:t>Obok niego istnieje szereg innych indeksów giełdowych charakteryzujących sytuację na polskim rynku akcji i w poszczególnych jego segmentach.</w:t>
      </w:r>
    </w:p>
    <w:p w:rsidR="00284DF5" w:rsidRPr="00706E5E" w:rsidRDefault="00284DF5" w:rsidP="00284DF5">
      <w:pPr>
        <w:pStyle w:val="Bezodstpw"/>
        <w:jc w:val="both"/>
        <w:rPr>
          <w:sz w:val="26"/>
          <w:szCs w:val="26"/>
        </w:rPr>
      </w:pPr>
    </w:p>
    <w:p w:rsidR="00284DF5" w:rsidRPr="00706E5E" w:rsidRDefault="00284DF5" w:rsidP="00284DF5">
      <w:pPr>
        <w:pStyle w:val="Bezodstpw"/>
        <w:jc w:val="both"/>
        <w:rPr>
          <w:b/>
          <w:color w:val="FF0000"/>
          <w:sz w:val="26"/>
          <w:szCs w:val="26"/>
        </w:rPr>
      </w:pPr>
      <w:r w:rsidRPr="00706E5E">
        <w:rPr>
          <w:sz w:val="26"/>
          <w:szCs w:val="26"/>
        </w:rPr>
        <w:t xml:space="preserve">Mówiąc ogólnie indeksy te zaliczyć można do 2 grup: do grupy indeksów, w </w:t>
      </w:r>
      <w:proofErr w:type="gramStart"/>
      <w:r w:rsidRPr="00706E5E">
        <w:rPr>
          <w:sz w:val="26"/>
          <w:szCs w:val="26"/>
        </w:rPr>
        <w:t>przypadku których</w:t>
      </w:r>
      <w:proofErr w:type="gramEnd"/>
      <w:r w:rsidRPr="00706E5E">
        <w:rPr>
          <w:sz w:val="26"/>
          <w:szCs w:val="26"/>
        </w:rPr>
        <w:t xml:space="preserve"> udziały poszczególnych spółek są różne oraz do grupy indeksów, </w:t>
      </w:r>
      <w:r w:rsidRPr="00706E5E">
        <w:rPr>
          <w:b/>
          <w:color w:val="FF0000"/>
          <w:sz w:val="26"/>
          <w:szCs w:val="26"/>
        </w:rPr>
        <w:t>w przypadku których udziały poszczególnych spółek są równe.</w:t>
      </w:r>
    </w:p>
    <w:p w:rsidR="00284DF5" w:rsidRPr="00706E5E" w:rsidRDefault="00284DF5" w:rsidP="00284DF5">
      <w:pPr>
        <w:pStyle w:val="Bezodstpw"/>
        <w:jc w:val="both"/>
        <w:rPr>
          <w:sz w:val="26"/>
          <w:szCs w:val="26"/>
        </w:rPr>
      </w:pPr>
    </w:p>
    <w:p w:rsidR="00284DF5" w:rsidRPr="00706E5E" w:rsidRDefault="00284DF5" w:rsidP="00284DF5">
      <w:pPr>
        <w:pStyle w:val="Bezodstpw"/>
        <w:jc w:val="both"/>
        <w:rPr>
          <w:sz w:val="26"/>
          <w:szCs w:val="26"/>
        </w:rPr>
      </w:pPr>
      <w:r w:rsidRPr="00706E5E">
        <w:rPr>
          <w:sz w:val="26"/>
          <w:szCs w:val="26"/>
        </w:rPr>
        <w:t xml:space="preserve">Do tej drugiej grupy należy </w:t>
      </w:r>
      <w:r w:rsidRPr="00706E5E">
        <w:rPr>
          <w:b/>
          <w:color w:val="FF0000"/>
          <w:sz w:val="26"/>
          <w:szCs w:val="26"/>
        </w:rPr>
        <w:t>Indeks Cenowy</w:t>
      </w:r>
      <w:r w:rsidRPr="00706E5E">
        <w:rPr>
          <w:color w:val="FF0000"/>
          <w:sz w:val="26"/>
          <w:szCs w:val="26"/>
        </w:rPr>
        <w:t xml:space="preserve"> </w:t>
      </w:r>
      <w:r w:rsidRPr="00706E5E">
        <w:rPr>
          <w:sz w:val="26"/>
          <w:szCs w:val="26"/>
        </w:rPr>
        <w:t xml:space="preserve">obliczany przez portal finansowy </w:t>
      </w:r>
      <w:hyperlink r:id="rId13" w:history="1">
        <w:r w:rsidRPr="00706E5E">
          <w:rPr>
            <w:rStyle w:val="Hipercze"/>
            <w:sz w:val="26"/>
            <w:szCs w:val="26"/>
          </w:rPr>
          <w:t>http://stooq.pl/</w:t>
        </w:r>
      </w:hyperlink>
      <w:r w:rsidRPr="00706E5E">
        <w:rPr>
          <w:sz w:val="26"/>
          <w:szCs w:val="26"/>
        </w:rPr>
        <w:t>.</w:t>
      </w:r>
    </w:p>
    <w:p w:rsidR="00284DF5" w:rsidRPr="00706E5E" w:rsidRDefault="00284DF5" w:rsidP="00284DF5">
      <w:pPr>
        <w:pStyle w:val="Bezodstpw"/>
        <w:jc w:val="both"/>
        <w:rPr>
          <w:sz w:val="26"/>
          <w:szCs w:val="26"/>
        </w:rPr>
      </w:pPr>
    </w:p>
    <w:p w:rsidR="00284DF5" w:rsidRPr="00706E5E" w:rsidRDefault="00284DF5" w:rsidP="00284DF5">
      <w:pPr>
        <w:pStyle w:val="Bezodstpw"/>
        <w:jc w:val="both"/>
        <w:rPr>
          <w:sz w:val="26"/>
          <w:szCs w:val="26"/>
        </w:rPr>
      </w:pPr>
      <w:r w:rsidRPr="00706E5E">
        <w:rPr>
          <w:sz w:val="26"/>
          <w:szCs w:val="26"/>
        </w:rPr>
        <w:t>Warto zauważyć, że w jego skład wchodzą wszystkie spółki, których akcje notowane są na Giełdzie Papierów Wartościowych w Warszawie i na rynku New Connect.</w:t>
      </w:r>
    </w:p>
    <w:p w:rsidR="00284DF5" w:rsidRPr="00706E5E" w:rsidRDefault="00284DF5" w:rsidP="00284DF5">
      <w:pPr>
        <w:pStyle w:val="Bezodstpw"/>
        <w:jc w:val="both"/>
        <w:rPr>
          <w:sz w:val="26"/>
          <w:szCs w:val="26"/>
        </w:rPr>
      </w:pPr>
    </w:p>
    <w:p w:rsidR="00284DF5" w:rsidRPr="00706E5E" w:rsidRDefault="00284DF5" w:rsidP="00284DF5">
      <w:pPr>
        <w:pStyle w:val="Bezodstpw"/>
        <w:jc w:val="both"/>
        <w:rPr>
          <w:sz w:val="26"/>
          <w:szCs w:val="26"/>
        </w:rPr>
      </w:pPr>
      <w:r w:rsidRPr="00706E5E">
        <w:rPr>
          <w:sz w:val="26"/>
          <w:szCs w:val="26"/>
        </w:rPr>
        <w:t xml:space="preserve">Warto zauważyć, że na wykresie siły względnej Indeksu Cenowego do indeksu WIG20 doszło do wejścia oscylatora stochastycznego do strefy wyprzedania, co stwarza szasnę na wzrosty siły względnej, czyli lepsze zachowanie indeksu cenowego w stosunku do indeksu WIG20. </w:t>
      </w:r>
    </w:p>
    <w:p w:rsidR="00284DF5" w:rsidRPr="00706E5E" w:rsidRDefault="00284DF5" w:rsidP="00284DF5">
      <w:pPr>
        <w:pStyle w:val="Bezodstpw"/>
        <w:jc w:val="both"/>
        <w:rPr>
          <w:sz w:val="26"/>
          <w:szCs w:val="26"/>
        </w:rPr>
      </w:pPr>
    </w:p>
    <w:p w:rsidR="00284DF5" w:rsidRDefault="00284DF5" w:rsidP="00284DF5">
      <w:pPr>
        <w:pStyle w:val="Bezodstpw"/>
        <w:jc w:val="both"/>
        <w:rPr>
          <w:b/>
          <w:sz w:val="26"/>
          <w:szCs w:val="26"/>
          <w:u w:val="single"/>
        </w:rPr>
      </w:pPr>
      <w:r>
        <w:rPr>
          <w:b/>
          <w:sz w:val="26"/>
          <w:szCs w:val="26"/>
          <w:u w:val="single"/>
        </w:rPr>
        <w:t>INDEKS CENOWY</w:t>
      </w:r>
      <w:r w:rsidRPr="00706E5E">
        <w:rPr>
          <w:b/>
          <w:sz w:val="26"/>
          <w:szCs w:val="26"/>
          <w:u w:val="single"/>
        </w:rPr>
        <w:t>/WIG20</w:t>
      </w:r>
    </w:p>
    <w:p w:rsidR="00284DF5" w:rsidRDefault="00284DF5" w:rsidP="00284DF5">
      <w:pPr>
        <w:pStyle w:val="Bezodstpw"/>
        <w:jc w:val="both"/>
        <w:rPr>
          <w:b/>
          <w:sz w:val="26"/>
          <w:szCs w:val="26"/>
          <w:u w:val="single"/>
        </w:rPr>
      </w:pPr>
    </w:p>
    <w:p w:rsidR="00284DF5" w:rsidRDefault="00284DF5" w:rsidP="00284DF5">
      <w:pPr>
        <w:pStyle w:val="Bezodstpw"/>
        <w:jc w:val="both"/>
        <w:rPr>
          <w:b/>
          <w:sz w:val="26"/>
          <w:szCs w:val="26"/>
          <w:u w:val="single"/>
        </w:rPr>
      </w:pPr>
      <w:r>
        <w:rPr>
          <w:b/>
          <w:noProof/>
          <w:sz w:val="26"/>
          <w:szCs w:val="26"/>
          <w:u w:val="single"/>
          <w:lang w:eastAsia="pl-PL"/>
        </w:rPr>
        <w:drawing>
          <wp:inline distT="0" distB="0" distL="0" distR="0" wp14:anchorId="3F3240F5" wp14:editId="05F2CB27">
            <wp:extent cx="5448300" cy="32575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8300" cy="3257550"/>
                    </a:xfrm>
                    <a:prstGeom prst="rect">
                      <a:avLst/>
                    </a:prstGeom>
                    <a:noFill/>
                  </pic:spPr>
                </pic:pic>
              </a:graphicData>
            </a:graphic>
          </wp:inline>
        </w:drawing>
      </w:r>
    </w:p>
    <w:p w:rsidR="00284DF5" w:rsidRDefault="00284DF5" w:rsidP="00746875">
      <w:pPr>
        <w:pStyle w:val="Bezodstpw"/>
        <w:jc w:val="both"/>
        <w:rPr>
          <w:sz w:val="26"/>
          <w:szCs w:val="26"/>
        </w:rPr>
      </w:pPr>
    </w:p>
    <w:p w:rsidR="00746875" w:rsidRDefault="00746875" w:rsidP="00746875">
      <w:pPr>
        <w:shd w:val="clear" w:color="auto" w:fill="FFFF00"/>
        <w:spacing w:after="0" w:line="240" w:lineRule="auto"/>
        <w:jc w:val="center"/>
        <w:rPr>
          <w:rFonts w:eastAsia="Times New Roman" w:cs="Times New Roman"/>
          <w:b/>
          <w:sz w:val="100"/>
          <w:szCs w:val="100"/>
          <w:lang w:eastAsia="pl-PL"/>
        </w:rPr>
      </w:pPr>
      <w:r>
        <w:rPr>
          <w:rFonts w:eastAsia="Times New Roman" w:cs="Times New Roman"/>
          <w:b/>
          <w:sz w:val="100"/>
          <w:szCs w:val="100"/>
          <w:lang w:eastAsia="pl-PL"/>
        </w:rPr>
        <w:lastRenderedPageBreak/>
        <w:t xml:space="preserve">Ile wynosiła średnia procentowa zmiana kursu akcji spółki po wprowadzeniu jej do rubryki </w:t>
      </w:r>
      <w:proofErr w:type="gramStart"/>
      <w:r>
        <w:rPr>
          <w:rFonts w:eastAsia="Times New Roman" w:cs="Times New Roman"/>
          <w:b/>
          <w:sz w:val="100"/>
          <w:szCs w:val="100"/>
          <w:lang w:eastAsia="pl-PL"/>
        </w:rPr>
        <w:t>,,</w:t>
      </w:r>
      <w:proofErr w:type="gramEnd"/>
      <w:r>
        <w:rPr>
          <w:rFonts w:eastAsia="Times New Roman" w:cs="Times New Roman"/>
          <w:b/>
          <w:sz w:val="100"/>
          <w:szCs w:val="100"/>
          <w:lang w:eastAsia="pl-PL"/>
        </w:rPr>
        <w:t>Wykres do przemyślenia” w okresie 12 pierwszych miesięcy po jej wprowadzeniu do tej rubryki ?</w:t>
      </w:r>
    </w:p>
    <w:p w:rsidR="00746875" w:rsidRDefault="00746875" w:rsidP="00746875">
      <w:pPr>
        <w:spacing w:after="0" w:line="240" w:lineRule="auto"/>
        <w:jc w:val="both"/>
        <w:rPr>
          <w:rFonts w:eastAsia="Times New Roman" w:cs="Times New Roman"/>
          <w:b/>
          <w:sz w:val="26"/>
          <w:szCs w:val="26"/>
          <w:lang w:eastAsia="pl-PL"/>
        </w:rPr>
      </w:pPr>
    </w:p>
    <w:p w:rsidR="00746875" w:rsidRDefault="00746875" w:rsidP="00746875">
      <w:pPr>
        <w:spacing w:after="0" w:line="240" w:lineRule="auto"/>
        <w:jc w:val="both"/>
        <w:rPr>
          <w:rFonts w:eastAsia="Times New Roman" w:cs="Times New Roman"/>
          <w:b/>
          <w:sz w:val="26"/>
          <w:szCs w:val="26"/>
          <w:lang w:eastAsia="pl-PL"/>
        </w:rPr>
      </w:pPr>
    </w:p>
    <w:p w:rsidR="00746875" w:rsidRDefault="00746875" w:rsidP="00746875">
      <w:pPr>
        <w:spacing w:after="0" w:line="240" w:lineRule="auto"/>
        <w:jc w:val="center"/>
        <w:rPr>
          <w:rFonts w:eastAsia="Times New Roman" w:cs="Times New Roman"/>
          <w:b/>
          <w:sz w:val="32"/>
          <w:szCs w:val="32"/>
          <w:u w:val="single"/>
          <w:lang w:eastAsia="pl-PL"/>
        </w:rPr>
      </w:pPr>
      <w:r>
        <w:rPr>
          <w:rFonts w:eastAsia="Times New Roman" w:cs="Times New Roman"/>
          <w:b/>
          <w:sz w:val="32"/>
          <w:szCs w:val="32"/>
          <w:u w:val="single"/>
          <w:lang w:eastAsia="pl-PL"/>
        </w:rPr>
        <w:t>Obliczenia według stanu na 30 grudnia 2015 roku</w:t>
      </w:r>
    </w:p>
    <w:p w:rsidR="00746875" w:rsidRDefault="00746875" w:rsidP="00746875">
      <w:pPr>
        <w:spacing w:after="0" w:line="240" w:lineRule="auto"/>
        <w:jc w:val="center"/>
        <w:rPr>
          <w:rFonts w:eastAsia="Times New Roman" w:cs="Times New Roman"/>
          <w:b/>
          <w:sz w:val="32"/>
          <w:szCs w:val="32"/>
          <w:u w:val="single"/>
          <w:lang w:eastAsia="pl-PL"/>
        </w:rPr>
      </w:pPr>
    </w:p>
    <w:p w:rsidR="00746875" w:rsidRDefault="00746875" w:rsidP="00746875">
      <w:pPr>
        <w:spacing w:after="0" w:line="240" w:lineRule="auto"/>
        <w:jc w:val="both"/>
        <w:rPr>
          <w:rFonts w:eastAsia="Times New Roman" w:cs="Times New Roman"/>
          <w:b/>
          <w:sz w:val="26"/>
          <w:szCs w:val="26"/>
          <w:lang w:eastAsia="pl-PL"/>
        </w:rPr>
      </w:pPr>
    </w:p>
    <w:p w:rsidR="00746875" w:rsidRDefault="00746875" w:rsidP="00746875">
      <w:pPr>
        <w:spacing w:after="0" w:line="240" w:lineRule="auto"/>
        <w:jc w:val="both"/>
        <w:rPr>
          <w:rFonts w:eastAsia="Times New Roman" w:cs="Times New Roman"/>
          <w:b/>
          <w:sz w:val="26"/>
          <w:szCs w:val="26"/>
          <w:lang w:eastAsia="pl-PL"/>
        </w:rPr>
      </w:pPr>
      <w:r>
        <w:rPr>
          <w:rFonts w:eastAsia="Times New Roman" w:cs="Times New Roman"/>
          <w:b/>
          <w:sz w:val="26"/>
          <w:szCs w:val="26"/>
          <w:lang w:eastAsia="pl-PL"/>
        </w:rPr>
        <w:lastRenderedPageBreak/>
        <w:t xml:space="preserve">Wprowadzenie </w:t>
      </w:r>
    </w:p>
    <w:p w:rsidR="00746875" w:rsidRDefault="00746875" w:rsidP="00746875">
      <w:pPr>
        <w:spacing w:after="0" w:line="240" w:lineRule="auto"/>
        <w:jc w:val="both"/>
        <w:rPr>
          <w:rFonts w:eastAsia="Times New Roman" w:cs="Times New Roman"/>
          <w:sz w:val="26"/>
          <w:szCs w:val="26"/>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Strona internetowa </w:t>
      </w:r>
      <w:hyperlink r:id="rId15" w:history="1">
        <w:r>
          <w:rPr>
            <w:rStyle w:val="Hipercze"/>
            <w:rFonts w:eastAsia="Times New Roman" w:cs="Times New Roman"/>
            <w:sz w:val="26"/>
            <w:szCs w:val="26"/>
            <w:lang w:eastAsia="pl-PL"/>
          </w:rPr>
          <w:t>http://analizy-rynkowe.pl/</w:t>
        </w:r>
      </w:hyperlink>
      <w:r>
        <w:rPr>
          <w:rFonts w:eastAsia="Times New Roman" w:cs="Times New Roman"/>
          <w:sz w:val="26"/>
          <w:szCs w:val="26"/>
          <w:lang w:eastAsia="pl-PL"/>
        </w:rPr>
        <w:t xml:space="preserve"> prowadzona jest od września 2014 roku. </w:t>
      </w:r>
    </w:p>
    <w:p w:rsidR="00746875" w:rsidRDefault="00746875" w:rsidP="00746875">
      <w:pPr>
        <w:spacing w:after="0" w:line="240" w:lineRule="auto"/>
        <w:jc w:val="both"/>
        <w:rPr>
          <w:rFonts w:eastAsia="Times New Roman" w:cs="Times New Roman"/>
          <w:sz w:val="26"/>
          <w:szCs w:val="26"/>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Co tydzień publikowany jest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Raport Tygodniowy”</w:t>
      </w:r>
    </w:p>
    <w:p w:rsidR="00746875" w:rsidRDefault="00746875" w:rsidP="00746875">
      <w:pPr>
        <w:spacing w:after="0" w:line="240" w:lineRule="auto"/>
        <w:jc w:val="both"/>
        <w:rPr>
          <w:rFonts w:eastAsia="Times New Roman" w:cs="Times New Roman"/>
          <w:sz w:val="26"/>
          <w:szCs w:val="26"/>
          <w:lang w:eastAsia="pl-PL"/>
        </w:rPr>
      </w:pPr>
    </w:p>
    <w:p w:rsidR="00746875" w:rsidRDefault="00746875" w:rsidP="00746875">
      <w:pPr>
        <w:spacing w:after="0" w:line="240" w:lineRule="auto"/>
        <w:jc w:val="both"/>
        <w:rPr>
          <w:rFonts w:eastAsia="Times New Roman" w:cs="Times New Roman"/>
          <w:b/>
          <w:color w:val="FF0000"/>
          <w:sz w:val="26"/>
          <w:szCs w:val="26"/>
          <w:lang w:eastAsia="pl-PL"/>
        </w:rPr>
      </w:pPr>
      <w:r>
        <w:rPr>
          <w:rFonts w:eastAsia="Times New Roman" w:cs="Times New Roman"/>
          <w:sz w:val="26"/>
          <w:szCs w:val="26"/>
          <w:lang w:eastAsia="pl-PL"/>
        </w:rPr>
        <w:t xml:space="preserve">Od czasu do czasu umieszczam wybrane spółki w rubryce </w:t>
      </w:r>
      <w:proofErr w:type="gramStart"/>
      <w:r>
        <w:rPr>
          <w:rFonts w:eastAsia="Times New Roman" w:cs="Times New Roman"/>
          <w:b/>
          <w:color w:val="FF0000"/>
          <w:sz w:val="26"/>
          <w:szCs w:val="26"/>
          <w:lang w:eastAsia="pl-PL"/>
        </w:rPr>
        <w:t>,,</w:t>
      </w:r>
      <w:proofErr w:type="gramEnd"/>
      <w:r>
        <w:rPr>
          <w:rFonts w:eastAsia="Times New Roman" w:cs="Times New Roman"/>
          <w:b/>
          <w:color w:val="FF0000"/>
          <w:sz w:val="26"/>
          <w:szCs w:val="26"/>
          <w:lang w:eastAsia="pl-PL"/>
        </w:rPr>
        <w:t xml:space="preserve">Wykres do przemyślenia”. </w:t>
      </w:r>
    </w:p>
    <w:p w:rsidR="00746875" w:rsidRDefault="00746875" w:rsidP="00746875">
      <w:pPr>
        <w:spacing w:after="0" w:line="240" w:lineRule="auto"/>
        <w:jc w:val="both"/>
        <w:rPr>
          <w:rFonts w:eastAsia="Times New Roman" w:cs="Times New Roman"/>
          <w:sz w:val="26"/>
          <w:szCs w:val="26"/>
          <w:lang w:eastAsia="pl-PL"/>
        </w:rPr>
      </w:pPr>
    </w:p>
    <w:p w:rsidR="00746875" w:rsidRDefault="00746875" w:rsidP="00746875">
      <w:pPr>
        <w:spacing w:after="0" w:line="240" w:lineRule="auto"/>
        <w:jc w:val="both"/>
        <w:rPr>
          <w:rFonts w:eastAsia="Times New Roman" w:cs="Times New Roman"/>
          <w:b/>
          <w:color w:val="FF0000"/>
          <w:sz w:val="26"/>
          <w:szCs w:val="26"/>
          <w:lang w:eastAsia="pl-PL"/>
        </w:rPr>
      </w:pPr>
      <w:r>
        <w:rPr>
          <w:rFonts w:eastAsia="Times New Roman" w:cs="Times New Roman"/>
          <w:sz w:val="26"/>
          <w:szCs w:val="26"/>
          <w:lang w:eastAsia="pl-PL"/>
        </w:rPr>
        <w:t xml:space="preserve">Umieszczane są tam te przykładowe spółki, których kurs </w:t>
      </w:r>
      <w:r>
        <w:rPr>
          <w:rFonts w:eastAsia="Times New Roman" w:cs="Times New Roman"/>
          <w:b/>
          <w:color w:val="FF0000"/>
          <w:sz w:val="26"/>
          <w:szCs w:val="26"/>
          <w:lang w:eastAsia="pl-PL"/>
        </w:rPr>
        <w:t xml:space="preserve">wybił się z formacji podwójnego dna. </w:t>
      </w:r>
    </w:p>
    <w:p w:rsidR="00746875" w:rsidRDefault="00746875" w:rsidP="00746875">
      <w:pPr>
        <w:spacing w:after="0" w:line="240" w:lineRule="auto"/>
        <w:jc w:val="both"/>
        <w:rPr>
          <w:rFonts w:eastAsia="Times New Roman" w:cs="Times New Roman"/>
          <w:sz w:val="26"/>
          <w:szCs w:val="26"/>
          <w:lang w:eastAsia="pl-PL"/>
        </w:rPr>
      </w:pPr>
    </w:p>
    <w:p w:rsidR="00746875" w:rsidRDefault="00746875" w:rsidP="00746875">
      <w:pPr>
        <w:spacing w:after="0" w:line="240" w:lineRule="auto"/>
        <w:jc w:val="both"/>
        <w:rPr>
          <w:rFonts w:eastAsia="Times New Roman" w:cs="Times New Roman"/>
          <w:b/>
          <w:sz w:val="26"/>
          <w:szCs w:val="26"/>
          <w:lang w:eastAsia="pl-PL"/>
        </w:rPr>
      </w:pPr>
      <w:r>
        <w:rPr>
          <w:rFonts w:eastAsia="Times New Roman" w:cs="Times New Roman"/>
          <w:sz w:val="26"/>
          <w:szCs w:val="26"/>
          <w:lang w:eastAsia="pl-PL"/>
        </w:rPr>
        <w:t xml:space="preserve">Formacja podwójnego dna ma </w:t>
      </w:r>
      <w:r>
        <w:rPr>
          <w:rFonts w:eastAsia="Times New Roman" w:cs="Times New Roman"/>
          <w:b/>
          <w:sz w:val="26"/>
          <w:szCs w:val="26"/>
          <w:lang w:eastAsia="pl-PL"/>
        </w:rPr>
        <w:t xml:space="preserve">2 </w:t>
      </w:r>
      <w:proofErr w:type="gramStart"/>
      <w:r>
        <w:rPr>
          <w:rFonts w:eastAsia="Times New Roman" w:cs="Times New Roman"/>
          <w:b/>
          <w:sz w:val="26"/>
          <w:szCs w:val="26"/>
          <w:lang w:eastAsia="pl-PL"/>
        </w:rPr>
        <w:t>,,</w:t>
      </w:r>
      <w:proofErr w:type="gramEnd"/>
      <w:r>
        <w:rPr>
          <w:rFonts w:eastAsia="Times New Roman" w:cs="Times New Roman"/>
          <w:b/>
          <w:sz w:val="26"/>
          <w:szCs w:val="26"/>
          <w:lang w:eastAsia="pl-PL"/>
        </w:rPr>
        <w:t xml:space="preserve">zadania”. </w:t>
      </w:r>
    </w:p>
    <w:p w:rsidR="00746875" w:rsidRDefault="00746875" w:rsidP="00746875">
      <w:pPr>
        <w:spacing w:after="0" w:line="240" w:lineRule="auto"/>
        <w:jc w:val="both"/>
        <w:rPr>
          <w:rFonts w:eastAsia="Times New Roman" w:cs="Times New Roman"/>
          <w:sz w:val="26"/>
          <w:szCs w:val="26"/>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Podstawowym, minimalnym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zadaniem” tej formacji jest jej wypełnienie </w:t>
      </w:r>
    </w:p>
    <w:p w:rsidR="00746875" w:rsidRDefault="00746875" w:rsidP="00746875">
      <w:pPr>
        <w:spacing w:after="0" w:line="240" w:lineRule="auto"/>
        <w:jc w:val="both"/>
        <w:rPr>
          <w:rFonts w:eastAsia="Times New Roman" w:cs="Times New Roman"/>
          <w:sz w:val="26"/>
          <w:szCs w:val="26"/>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Drugim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zadaniem” tej formacji jest doprowadzenie do zmiany trendu ze spadkowego na wzrostowy. </w:t>
      </w:r>
    </w:p>
    <w:p w:rsidR="00746875" w:rsidRDefault="00746875" w:rsidP="00746875">
      <w:pPr>
        <w:spacing w:after="0" w:line="240" w:lineRule="auto"/>
        <w:jc w:val="both"/>
        <w:rPr>
          <w:rFonts w:eastAsia="Times New Roman" w:cs="Times New Roman"/>
          <w:sz w:val="26"/>
          <w:szCs w:val="26"/>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Osobiście wyróżniam </w:t>
      </w:r>
      <w:r>
        <w:rPr>
          <w:rFonts w:eastAsia="Times New Roman" w:cs="Times New Roman"/>
          <w:b/>
          <w:sz w:val="26"/>
          <w:szCs w:val="26"/>
          <w:lang w:eastAsia="pl-PL"/>
        </w:rPr>
        <w:t>typowe oraz nietypowe podwójne dno.</w:t>
      </w:r>
      <w:r>
        <w:rPr>
          <w:rFonts w:eastAsia="Times New Roman" w:cs="Times New Roman"/>
          <w:sz w:val="26"/>
          <w:szCs w:val="26"/>
          <w:lang w:eastAsia="pl-PL"/>
        </w:rPr>
        <w:t xml:space="preserve"> </w:t>
      </w:r>
    </w:p>
    <w:p w:rsidR="00746875" w:rsidRDefault="00746875" w:rsidP="00746875">
      <w:pPr>
        <w:spacing w:after="0" w:line="240" w:lineRule="auto"/>
        <w:jc w:val="both"/>
        <w:rPr>
          <w:rFonts w:eastAsia="Times New Roman" w:cs="Times New Roman"/>
          <w:sz w:val="26"/>
          <w:szCs w:val="26"/>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Typowa formacja podwójnego dna charakteryzuje się tym, że dołki w formacji kształtują się na poziomie identycznym, bądź prawie identycznym. </w:t>
      </w:r>
    </w:p>
    <w:p w:rsidR="00746875" w:rsidRDefault="00746875" w:rsidP="00746875">
      <w:pPr>
        <w:spacing w:after="0" w:line="240" w:lineRule="auto"/>
        <w:jc w:val="both"/>
        <w:rPr>
          <w:rFonts w:eastAsia="Times New Roman" w:cs="Times New Roman"/>
          <w:sz w:val="26"/>
          <w:szCs w:val="26"/>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Natomiast w przypadku nietypowej formacji podwójnego dna kształtują się one na poziomie zupełnie odmiennym.</w:t>
      </w:r>
    </w:p>
    <w:p w:rsidR="00746875" w:rsidRDefault="00746875" w:rsidP="00746875">
      <w:pPr>
        <w:spacing w:after="0" w:line="240" w:lineRule="auto"/>
        <w:jc w:val="both"/>
        <w:rPr>
          <w:rFonts w:eastAsia="Times New Roman" w:cs="Times New Roman"/>
          <w:sz w:val="26"/>
          <w:szCs w:val="26"/>
          <w:lang w:eastAsia="pl-PL"/>
        </w:rPr>
      </w:pPr>
    </w:p>
    <w:p w:rsidR="00746875" w:rsidRDefault="00746875" w:rsidP="00746875">
      <w:pPr>
        <w:spacing w:after="0" w:line="240" w:lineRule="auto"/>
        <w:jc w:val="both"/>
        <w:rPr>
          <w:rFonts w:eastAsia="Times New Roman" w:cs="Times New Roman"/>
          <w:b/>
          <w:sz w:val="26"/>
          <w:szCs w:val="26"/>
          <w:lang w:eastAsia="pl-PL"/>
        </w:rPr>
      </w:pPr>
      <w:r>
        <w:rPr>
          <w:rFonts w:eastAsia="Times New Roman" w:cs="Times New Roman"/>
          <w:sz w:val="26"/>
          <w:szCs w:val="26"/>
          <w:lang w:eastAsia="pl-PL"/>
        </w:rPr>
        <w:t xml:space="preserve">Od pierwszego numeru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postanowiłem, że będę </w:t>
      </w:r>
      <w:r>
        <w:rPr>
          <w:rFonts w:eastAsia="Times New Roman" w:cs="Times New Roman"/>
          <w:b/>
          <w:sz w:val="26"/>
          <w:szCs w:val="26"/>
          <w:lang w:eastAsia="pl-PL"/>
        </w:rPr>
        <w:t>porównywał</w:t>
      </w:r>
      <w:r>
        <w:rPr>
          <w:rFonts w:eastAsia="Times New Roman" w:cs="Times New Roman"/>
          <w:sz w:val="26"/>
          <w:szCs w:val="26"/>
          <w:lang w:eastAsia="pl-PL"/>
        </w:rPr>
        <w:t xml:space="preserve"> zachowanie kursu akcji spółki po wprowadzeniu jej do rubryki ,,Wykres do przemyślenia” </w:t>
      </w:r>
      <w:r>
        <w:rPr>
          <w:rFonts w:eastAsia="Times New Roman" w:cs="Times New Roman"/>
          <w:b/>
          <w:sz w:val="26"/>
          <w:szCs w:val="26"/>
          <w:lang w:eastAsia="pl-PL"/>
        </w:rPr>
        <w:t xml:space="preserve">z zachowaniem indeksu WIG20. </w:t>
      </w:r>
    </w:p>
    <w:p w:rsidR="00746875" w:rsidRDefault="00746875" w:rsidP="00746875">
      <w:pPr>
        <w:spacing w:after="0" w:line="240" w:lineRule="auto"/>
        <w:jc w:val="both"/>
        <w:rPr>
          <w:rFonts w:eastAsia="Times New Roman" w:cs="Times New Roman"/>
          <w:sz w:val="26"/>
          <w:szCs w:val="26"/>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Mam świadomość, że podejście to może budzić kontrowersje, sprzeciw. Dobrze. Tak być musi. </w:t>
      </w:r>
    </w:p>
    <w:p w:rsidR="00746875" w:rsidRDefault="00746875" w:rsidP="00746875">
      <w:pPr>
        <w:spacing w:after="0" w:line="240" w:lineRule="auto"/>
        <w:jc w:val="both"/>
        <w:rPr>
          <w:rFonts w:eastAsia="Times New Roman" w:cs="Times New Roman"/>
          <w:sz w:val="26"/>
          <w:szCs w:val="26"/>
          <w:lang w:eastAsia="pl-PL"/>
        </w:rPr>
      </w:pPr>
    </w:p>
    <w:p w:rsidR="00746875" w:rsidRDefault="00746875" w:rsidP="00746875">
      <w:pPr>
        <w:spacing w:after="0" w:line="240" w:lineRule="auto"/>
        <w:jc w:val="both"/>
        <w:rPr>
          <w:rFonts w:eastAsia="Times New Roman" w:cs="Times New Roman"/>
          <w:b/>
          <w:sz w:val="26"/>
          <w:szCs w:val="26"/>
          <w:lang w:eastAsia="pl-PL"/>
        </w:rPr>
      </w:pPr>
      <w:r>
        <w:rPr>
          <w:rFonts w:eastAsia="Times New Roman" w:cs="Times New Roman"/>
          <w:sz w:val="26"/>
          <w:szCs w:val="26"/>
          <w:lang w:eastAsia="pl-PL"/>
        </w:rPr>
        <w:t xml:space="preserve">Postanowiłem odpowiedzieć na pytanie: </w:t>
      </w:r>
      <w:proofErr w:type="gramStart"/>
      <w:r>
        <w:rPr>
          <w:rFonts w:eastAsia="Times New Roman" w:cs="Times New Roman"/>
          <w:b/>
          <w:sz w:val="26"/>
          <w:szCs w:val="26"/>
          <w:lang w:eastAsia="pl-PL"/>
        </w:rPr>
        <w:t>,,</w:t>
      </w:r>
      <w:proofErr w:type="gramEnd"/>
      <w:r>
        <w:rPr>
          <w:rFonts w:eastAsia="Times New Roman" w:cs="Times New Roman"/>
          <w:b/>
          <w:sz w:val="26"/>
          <w:szCs w:val="26"/>
          <w:lang w:eastAsia="pl-PL"/>
        </w:rPr>
        <w:t>Ile wynosiła średnia procentowa zmiana kursu akcji spółki po wprowadzeniu jej do rubryki ,,Wykres do przemyślenia” w okresie 12 pierwszych miesięcy po jej wprowadzeniu do tej rubryki ?”</w:t>
      </w:r>
    </w:p>
    <w:p w:rsidR="00746875" w:rsidRDefault="00746875" w:rsidP="00746875">
      <w:pPr>
        <w:spacing w:after="0" w:line="240" w:lineRule="auto"/>
        <w:jc w:val="both"/>
        <w:rPr>
          <w:rFonts w:eastAsia="Times New Roman" w:cs="Times New Roman"/>
          <w:sz w:val="26"/>
          <w:szCs w:val="26"/>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W związku z powyższym postanowiłem odpowiedzieć </w:t>
      </w:r>
      <w:r>
        <w:rPr>
          <w:rFonts w:eastAsia="Times New Roman" w:cs="Times New Roman"/>
          <w:b/>
          <w:sz w:val="26"/>
          <w:szCs w:val="26"/>
          <w:lang w:eastAsia="pl-PL"/>
        </w:rPr>
        <w:t>także</w:t>
      </w:r>
      <w:r>
        <w:rPr>
          <w:rFonts w:eastAsia="Times New Roman" w:cs="Times New Roman"/>
          <w:sz w:val="26"/>
          <w:szCs w:val="26"/>
          <w:lang w:eastAsia="pl-PL"/>
        </w:rPr>
        <w:t xml:space="preserve"> na pytanie: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Ile wynosiła średnia procentowa zmiana indeksu WIG 20 w tym okresie ?”</w:t>
      </w:r>
    </w:p>
    <w:p w:rsidR="00746875" w:rsidRDefault="00746875" w:rsidP="00746875">
      <w:pPr>
        <w:spacing w:after="0" w:line="240" w:lineRule="auto"/>
        <w:jc w:val="both"/>
        <w:rPr>
          <w:rFonts w:eastAsia="Times New Roman" w:cs="Times New Roman"/>
          <w:sz w:val="26"/>
          <w:szCs w:val="26"/>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Odpowiedź na te pytania przedstawiłem w tabeli na następnej stronie. </w:t>
      </w:r>
    </w:p>
    <w:p w:rsidR="00746875" w:rsidRDefault="00746875" w:rsidP="00746875">
      <w:pPr>
        <w:spacing w:after="0" w:line="240" w:lineRule="auto"/>
        <w:jc w:val="both"/>
        <w:rPr>
          <w:rFonts w:eastAsia="Times New Roman" w:cs="Times New Roman"/>
          <w:sz w:val="26"/>
          <w:szCs w:val="26"/>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 akcji czterech spółek, których akcje zostały wymienione w pierwszym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8 września 2014 roku w rubryce ,,Wykres do przemyślenia” w okresie od 5 września do 4 września 2015 roku oraz procentowa zmiana indeksu WIG 20 w tym okresie. </w:t>
      </w:r>
    </w:p>
    <w:p w:rsidR="00746875" w:rsidRDefault="00746875" w:rsidP="00746875">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05.09.2014</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04.09.2015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Immobile</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2,04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2,35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+15,2 %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Akcja spółki Lena</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3,99 zł.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4,44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+11,3 %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 xml:space="preserve">spółki  </w:t>
            </w:r>
            <w:proofErr w:type="spellStart"/>
            <w:r>
              <w:rPr>
                <w:rFonts w:eastAsiaTheme="minorEastAsia"/>
                <w:lang w:eastAsia="pl-PL"/>
              </w:rPr>
              <w:t>Netmedia</w:t>
            </w:r>
            <w:proofErr w:type="spellEnd"/>
            <w:proofErr w:type="gramEnd"/>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3,63 zł.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5,64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+55,4 %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Akcja spółki Rafako</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4,25 zł.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6,72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+58,1 %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 xml:space="preserve">    +35,0 %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2 541,42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2 146,47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-15,5 %</w:t>
            </w:r>
          </w:p>
        </w:tc>
      </w:tr>
    </w:tbl>
    <w:p w:rsidR="00746875" w:rsidRDefault="00746875" w:rsidP="00746875">
      <w:pPr>
        <w:spacing w:after="0" w:line="240" w:lineRule="auto"/>
        <w:jc w:val="both"/>
        <w:rPr>
          <w:rFonts w:ascii="Calibri" w:eastAsia="Times New Roman" w:hAnsi="Calibri" w:cs="Times New Roman"/>
          <w:sz w:val="36"/>
          <w:szCs w:val="36"/>
          <w:u w:val="single"/>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wymienione w drugim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15 września 2014 roku w rubryce ,,Wykres do przemyślenia” w okresie od 12 września do 11 września 2015 roku oraz procentowa zmiana indeksu WIG 20 w tym okresie. </w:t>
      </w:r>
    </w:p>
    <w:p w:rsidR="00746875" w:rsidRDefault="00746875" w:rsidP="00746875">
      <w:pPr>
        <w:spacing w:after="0" w:line="240" w:lineRule="auto"/>
        <w:jc w:val="both"/>
        <w:rPr>
          <w:rFonts w:eastAsiaTheme="minorEastAsia"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12.09.2014</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11.09.2015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Akcja spółki Boryszew</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6,50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5,15 zł. </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-20,8 %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 xml:space="preserve">  -20,8 %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2 497,38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2 185,46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-12,5 %</w:t>
            </w:r>
          </w:p>
        </w:tc>
      </w:tr>
    </w:tbl>
    <w:p w:rsidR="00746875" w:rsidRDefault="00746875" w:rsidP="00746875">
      <w:pPr>
        <w:spacing w:after="0" w:line="240" w:lineRule="auto"/>
        <w:jc w:val="both"/>
        <w:rPr>
          <w:rFonts w:eastAsia="Times New Roman" w:cs="Times New Roman"/>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16 września na stronie internetowej </w:t>
      </w:r>
      <w:hyperlink r:id="rId16"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15 września do 15 września 2015 roku oraz procentowa zmiana indeksu WIG 20 w tym okresie. </w:t>
      </w:r>
    </w:p>
    <w:p w:rsidR="00746875" w:rsidRDefault="00746875" w:rsidP="00746875">
      <w:pPr>
        <w:spacing w:after="0" w:line="240" w:lineRule="auto"/>
        <w:jc w:val="both"/>
        <w:rPr>
          <w:rFonts w:eastAsiaTheme="minorEastAsia"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15.09.2014</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15.09.2015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Erbud</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26,50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32,90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24,2 %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 xml:space="preserve">  24,2 %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2 489,77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2 185,88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-12,2 %</w:t>
            </w:r>
          </w:p>
        </w:tc>
      </w:tr>
    </w:tbl>
    <w:p w:rsidR="00746875" w:rsidRDefault="00746875" w:rsidP="00746875">
      <w:pPr>
        <w:spacing w:after="0" w:line="240" w:lineRule="auto"/>
        <w:jc w:val="both"/>
        <w:rPr>
          <w:rFonts w:eastAsia="Times New Roman" w:cs="Times New Roman"/>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wymienione w trzecim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22 września 2014 roku w rubryce ,,Wykres do przemyślenia” w okresie od 19 września 2014 roku do 18 września 2015 roku oraz procentowa zmiana indeksu WIG 20 w tym okresie. </w:t>
      </w:r>
    </w:p>
    <w:p w:rsidR="00746875" w:rsidRDefault="00746875" w:rsidP="00746875">
      <w:pPr>
        <w:spacing w:after="0" w:line="240" w:lineRule="auto"/>
        <w:jc w:val="both"/>
        <w:rPr>
          <w:rFonts w:eastAsiaTheme="minorEastAsia"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19.09.2014</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18.09.2015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Akcja spółki IF Capital</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1,32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0,98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2,3 %</w:t>
            </w:r>
          </w:p>
        </w:tc>
      </w:tr>
      <w:tr w:rsidR="00746875" w:rsidTr="00442981">
        <w:trPr>
          <w:trHeight w:val="310"/>
        </w:trPr>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2,3 %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2 497,38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2 168,19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-13,2 %</w:t>
            </w:r>
          </w:p>
        </w:tc>
      </w:tr>
    </w:tbl>
    <w:p w:rsidR="00746875" w:rsidRDefault="00746875" w:rsidP="00746875">
      <w:pPr>
        <w:spacing w:after="0" w:line="240" w:lineRule="auto"/>
        <w:jc w:val="both"/>
        <w:rPr>
          <w:rFonts w:eastAsiaTheme="minorEastAsia"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umieszczone 25 września na stronie internetowej </w:t>
      </w:r>
      <w:hyperlink r:id="rId17"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24 września 2014 roku do 24 września 2015 roku oraz procentowa zmiana indeksu WIG 20 w tym okresie. </w:t>
      </w:r>
    </w:p>
    <w:p w:rsidR="00746875" w:rsidRDefault="00746875" w:rsidP="00746875">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24.09.2014</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18.09.2015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Akcja spółki Capital Partners</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1,85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2,40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+29,7 %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+29,7 %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2 489,77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2 082,95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-15,8 %</w:t>
            </w:r>
          </w:p>
        </w:tc>
      </w:tr>
    </w:tbl>
    <w:p w:rsidR="00746875" w:rsidRDefault="00746875" w:rsidP="00746875">
      <w:pPr>
        <w:spacing w:after="0" w:line="240" w:lineRule="auto"/>
        <w:jc w:val="both"/>
        <w:rPr>
          <w:rFonts w:eastAsiaTheme="minorEastAsia" w:cs="Times New Roman"/>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 akcji trzech spółek, których akcje zostały wymienione w czwartym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29 września 2014 roku w rubryce ,,Wykres do przemyślenia” w okresie od 30 września 2014 roku do 25 września 2015 roku oraz procentowa zmiana indeksu WIG 20 w tym okresie. </w:t>
      </w:r>
    </w:p>
    <w:p w:rsidR="00746875" w:rsidRDefault="00746875" w:rsidP="00746875">
      <w:pPr>
        <w:spacing w:after="0" w:line="240" w:lineRule="auto"/>
        <w:jc w:val="both"/>
        <w:rPr>
          <w:rFonts w:eastAsia="Times New Roman" w:cs="Times New Roman"/>
          <w:sz w:val="26"/>
          <w:szCs w:val="26"/>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26.09.2014</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25.09.2015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Asseco</w:t>
            </w:r>
            <w:proofErr w:type="spellEnd"/>
            <w:r>
              <w:rPr>
                <w:rFonts w:eastAsiaTheme="minorEastAsia"/>
                <w:lang w:eastAsia="pl-PL"/>
              </w:rPr>
              <w:t xml:space="preserve"> Poland </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45,64 zł.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54,70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+19,9 %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spółki  CD</w:t>
            </w:r>
            <w:proofErr w:type="gramEnd"/>
            <w:r>
              <w:rPr>
                <w:rFonts w:eastAsiaTheme="minorEastAsia"/>
                <w:lang w:eastAsia="pl-PL"/>
              </w:rPr>
              <w:t xml:space="preserve"> Projekt</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16,59 zł.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26,80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+61,5 %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Sygnity</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17,60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8,82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- 49,9 %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 xml:space="preserve"> +10,5%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2484,02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2 168,19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- 15,8 %</w:t>
            </w:r>
          </w:p>
        </w:tc>
      </w:tr>
    </w:tbl>
    <w:p w:rsidR="00746875" w:rsidRDefault="00746875" w:rsidP="00746875">
      <w:pPr>
        <w:spacing w:after="0" w:line="240" w:lineRule="auto"/>
        <w:rPr>
          <w:rFonts w:ascii="Calibri" w:eastAsia="Times New Roman" w:hAnsi="Calibri" w:cs="Times New Roman"/>
          <w:sz w:val="26"/>
          <w:szCs w:val="26"/>
          <w:u w:val="single"/>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wymienione w piątym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6 października 2014 roku w rubryce ,,Wykres do przemyślenia” w okresie od 3 października do 2 października 2015 roku oraz procentowa zmiana indeksu WIG 20 w tym okresie. </w:t>
      </w:r>
    </w:p>
    <w:p w:rsidR="00746875" w:rsidRDefault="00746875" w:rsidP="00746875">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03.10.2014</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02.10.2015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Akcja spółki Stalprodukt</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244,10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278,15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+13,9 %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+13,9 %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2 444,06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2 036,32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-16,7 %</w:t>
            </w:r>
          </w:p>
        </w:tc>
      </w:tr>
    </w:tbl>
    <w:p w:rsidR="00746875" w:rsidRDefault="00746875" w:rsidP="00746875">
      <w:pPr>
        <w:spacing w:after="0" w:line="240" w:lineRule="auto"/>
        <w:rPr>
          <w:rFonts w:ascii="Calibri" w:eastAsia="Times New Roman" w:hAnsi="Calibri" w:cs="Times New Roman"/>
          <w:sz w:val="26"/>
          <w:szCs w:val="26"/>
          <w:u w:val="single"/>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wymienione w szóstym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20 października 2014 roku w rubryce ,,Wykres do przemyślenia” w okresie od 17 września do 16 października 2015 roku oraz procentowa zmiana indeksu WIG 20 w tym okresie. </w:t>
      </w:r>
    </w:p>
    <w:p w:rsidR="00746875" w:rsidRDefault="00746875" w:rsidP="00746875">
      <w:pPr>
        <w:spacing w:after="0" w:line="240" w:lineRule="auto"/>
        <w:jc w:val="both"/>
        <w:rPr>
          <w:rFonts w:eastAsiaTheme="minorEastAsia" w:cs="Times New Roman"/>
          <w:sz w:val="26"/>
          <w:szCs w:val="26"/>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17.10.2014</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16.10.2015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Tauron</w:t>
            </w:r>
            <w:proofErr w:type="spellEnd"/>
            <w:r>
              <w:rPr>
                <w:rFonts w:eastAsiaTheme="minorEastAsia"/>
                <w:lang w:eastAsia="pl-PL"/>
              </w:rPr>
              <w:t xml:space="preserve"> Polska Energia</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5,21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3,23 zł. </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-38,0 %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 xml:space="preserve">  -38,0 %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2 401,13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2 121,94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-11,6 %</w:t>
            </w:r>
          </w:p>
        </w:tc>
      </w:tr>
    </w:tbl>
    <w:p w:rsidR="00746875" w:rsidRDefault="00746875" w:rsidP="00746875">
      <w:pPr>
        <w:spacing w:after="0" w:line="240" w:lineRule="auto"/>
        <w:rPr>
          <w:rFonts w:ascii="Calibri" w:eastAsia="Times New Roman" w:hAnsi="Calibri" w:cs="Times New Roman"/>
          <w:sz w:val="42"/>
          <w:szCs w:val="42"/>
          <w:u w:val="single"/>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umieszczone 22 października na stronie internetowej </w:t>
      </w:r>
      <w:hyperlink r:id="rId18"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21 października do 19 czerwca 2015 roku do 21 października 2015 roku oraz procentowa zmiana indeksu WIG 20 w tym okresie. </w:t>
      </w:r>
    </w:p>
    <w:p w:rsidR="00746875" w:rsidRDefault="00746875" w:rsidP="00746875">
      <w:pPr>
        <w:spacing w:after="0" w:line="240" w:lineRule="auto"/>
        <w:jc w:val="both"/>
        <w:rPr>
          <w:rFonts w:eastAsiaTheme="minorEastAsia" w:cs="Times New Roman"/>
          <w:sz w:val="26"/>
          <w:szCs w:val="26"/>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21.10.2014</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21.10.2015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Elektrotim</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8,70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18,66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+ 114,5 %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lang w:eastAsia="pl-PL"/>
              </w:rPr>
              <w:t>Akcja spółki Relpol</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color w:val="000000" w:themeColor="text1"/>
                <w:lang w:eastAsia="pl-PL"/>
              </w:rPr>
            </w:pPr>
            <w:r>
              <w:rPr>
                <w:rFonts w:eastAsiaTheme="minorEastAsia"/>
                <w:color w:val="000000" w:themeColor="text1"/>
                <w:lang w:eastAsia="pl-PL"/>
              </w:rPr>
              <w:t xml:space="preserve">6,93 zł.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color w:val="000000" w:themeColor="text1"/>
                <w:lang w:eastAsia="pl-PL"/>
              </w:rPr>
            </w:pPr>
            <w:r>
              <w:rPr>
                <w:rFonts w:eastAsiaTheme="minorEastAsia"/>
                <w:color w:val="000000" w:themeColor="text1"/>
                <w:lang w:eastAsia="pl-PL"/>
              </w:rPr>
              <w:t xml:space="preserve">6,70 zł. </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color w:val="000000" w:themeColor="text1"/>
                <w:lang w:eastAsia="pl-PL"/>
              </w:rPr>
            </w:pPr>
            <w:r>
              <w:rPr>
                <w:rFonts w:eastAsiaTheme="minorEastAsia"/>
                <w:color w:val="000000" w:themeColor="text1"/>
                <w:lang w:eastAsia="pl-PL"/>
              </w:rPr>
              <w:t xml:space="preserve">  -3,3 %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single" w:sz="4" w:space="0" w:color="auto"/>
            </w:tcBorders>
          </w:tcPr>
          <w:p w:rsidR="00746875" w:rsidRDefault="00746875" w:rsidP="00442981">
            <w:pPr>
              <w:jc w:val="center"/>
              <w:rPr>
                <w:rFonts w:eastAsiaTheme="minorEastAsia"/>
                <w:lang w:eastAsia="pl-PL"/>
              </w:rPr>
            </w:pPr>
          </w:p>
        </w:tc>
        <w:tc>
          <w:tcPr>
            <w:tcW w:w="2303" w:type="dxa"/>
            <w:tcBorders>
              <w:top w:val="single" w:sz="4" w:space="0" w:color="auto"/>
              <w:left w:val="single" w:sz="4" w:space="0" w:color="auto"/>
              <w:bottom w:val="single" w:sz="4" w:space="0" w:color="auto"/>
              <w:right w:val="single" w:sz="4" w:space="0" w:color="auto"/>
            </w:tcBorders>
          </w:tcPr>
          <w:p w:rsidR="00746875" w:rsidRDefault="00746875" w:rsidP="00442981">
            <w:pPr>
              <w:jc w:val="center"/>
              <w:rPr>
                <w:rFonts w:eastAsiaTheme="minorEastAsia"/>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 xml:space="preserve">   + 55,6 %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2 423,77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2 105,65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-13,1 %</w:t>
            </w:r>
          </w:p>
        </w:tc>
      </w:tr>
    </w:tbl>
    <w:p w:rsidR="00746875" w:rsidRDefault="00746875" w:rsidP="00746875">
      <w:pPr>
        <w:spacing w:after="0" w:line="240" w:lineRule="auto"/>
        <w:jc w:val="both"/>
        <w:rPr>
          <w:rFonts w:eastAsiaTheme="minorEastAsia" w:cs="Times New Roman"/>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wymienione w siódmym numerze </w:t>
      </w:r>
      <w:proofErr w:type="gramStart"/>
      <w:r>
        <w:rPr>
          <w:rFonts w:eastAsia="Times New Roman" w:cs="Times New Roman"/>
          <w:sz w:val="26"/>
          <w:szCs w:val="26"/>
          <w:lang w:eastAsia="pl-PL"/>
        </w:rPr>
        <w:t>,,</w:t>
      </w:r>
      <w:proofErr w:type="gramEnd"/>
      <w:r>
        <w:rPr>
          <w:rFonts w:eastAsia="Times New Roman" w:cs="Times New Roman"/>
          <w:sz w:val="26"/>
          <w:szCs w:val="26"/>
          <w:lang w:eastAsia="pl-PL"/>
        </w:rPr>
        <w:t xml:space="preserve">Raportu Tygodniowego” z 27 października 2014 roku w rubryce ,,Wykres do przemyślenia” w okresie od 24 października 2014 roku do 23 października 2015 roku oraz procentowa zmiana indeksu WIG 20 w tym okresie. </w:t>
      </w:r>
    </w:p>
    <w:p w:rsidR="00746875" w:rsidRDefault="00746875" w:rsidP="00746875">
      <w:pPr>
        <w:spacing w:after="0" w:line="240" w:lineRule="auto"/>
        <w:jc w:val="both"/>
        <w:rPr>
          <w:rFonts w:eastAsia="Times New Roman" w:cs="Times New Roman"/>
          <w:sz w:val="26"/>
          <w:szCs w:val="26"/>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24.10.2014</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23.10.2015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Tesgas</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4,32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3,70 zł. </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-14,4 %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 xml:space="preserve">  -14,4 %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2 401,13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2 107,43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-13,1 %</w:t>
            </w:r>
          </w:p>
        </w:tc>
      </w:tr>
    </w:tbl>
    <w:p w:rsidR="00746875" w:rsidRDefault="00746875" w:rsidP="00746875">
      <w:pPr>
        <w:spacing w:after="0" w:line="240" w:lineRule="auto"/>
        <w:jc w:val="both"/>
        <w:rPr>
          <w:rFonts w:ascii="Calibri" w:eastAsia="Times New Roman" w:hAnsi="Calibri" w:cs="Times New Roman"/>
          <w:sz w:val="30"/>
          <w:szCs w:val="30"/>
          <w:u w:val="single"/>
          <w:lang w:eastAsia="pl-PL"/>
        </w:rPr>
      </w:pPr>
    </w:p>
    <w:p w:rsidR="00746875" w:rsidRDefault="00746875" w:rsidP="00746875">
      <w:pPr>
        <w:spacing w:after="0" w:line="240" w:lineRule="auto"/>
        <w:jc w:val="both"/>
        <w:rPr>
          <w:rFonts w:eastAsia="Times New Roman" w:cs="Times New Roman"/>
          <w:sz w:val="28"/>
          <w:szCs w:val="28"/>
          <w:lang w:eastAsia="pl-PL"/>
        </w:rPr>
      </w:pPr>
      <w:r>
        <w:rPr>
          <w:rFonts w:eastAsia="Times New Roman" w:cs="Times New Roman"/>
          <w:sz w:val="28"/>
          <w:szCs w:val="28"/>
          <w:lang w:eastAsia="pl-PL"/>
        </w:rPr>
        <w:t xml:space="preserve">Tabela: Procentowa zmiana ceny akcji spółki, której akcje zostały wymienione w numerze </w:t>
      </w:r>
      <w:proofErr w:type="gramStart"/>
      <w:r>
        <w:rPr>
          <w:rFonts w:eastAsia="Times New Roman" w:cs="Times New Roman"/>
          <w:sz w:val="28"/>
          <w:szCs w:val="28"/>
          <w:lang w:eastAsia="pl-PL"/>
        </w:rPr>
        <w:t>,,</w:t>
      </w:r>
      <w:proofErr w:type="gramEnd"/>
      <w:r>
        <w:rPr>
          <w:rFonts w:eastAsia="Times New Roman" w:cs="Times New Roman"/>
          <w:sz w:val="28"/>
          <w:szCs w:val="28"/>
          <w:lang w:eastAsia="pl-PL"/>
        </w:rPr>
        <w:t xml:space="preserve">Raportu Tygodniowego” z 3 listopada 2014 roku w rubryce ,,Wykres do przemyślenia” w okresie od 31 października 2014 roku do 30 października 2015 roku oraz procentowa zmiana indeksu WIG 20 w tym okresie. </w:t>
      </w:r>
    </w:p>
    <w:p w:rsidR="00746875" w:rsidRDefault="00746875" w:rsidP="00746875">
      <w:pPr>
        <w:spacing w:after="0" w:line="240" w:lineRule="auto"/>
        <w:jc w:val="both"/>
        <w:rPr>
          <w:rFonts w:eastAsia="Times New Roman" w:cs="Times New Roman"/>
          <w:sz w:val="28"/>
          <w:szCs w:val="28"/>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31.10.2014</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30.10.2015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Akcja spółki Enea</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16,00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12,83 zł. </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-19,8 %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 xml:space="preserve">  -19,8 %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2 463,68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2 060,03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-16,4 %</w:t>
            </w:r>
          </w:p>
        </w:tc>
      </w:tr>
    </w:tbl>
    <w:p w:rsidR="00746875" w:rsidRDefault="00746875" w:rsidP="00746875">
      <w:pPr>
        <w:spacing w:after="0" w:line="240" w:lineRule="auto"/>
        <w:jc w:val="both"/>
        <w:rPr>
          <w:rFonts w:ascii="Calibri" w:eastAsia="Times New Roman" w:hAnsi="Calibri" w:cs="Times New Roman"/>
          <w:sz w:val="26"/>
          <w:szCs w:val="26"/>
          <w:u w:val="single"/>
          <w:lang w:eastAsia="pl-PL"/>
        </w:rPr>
      </w:pPr>
    </w:p>
    <w:p w:rsidR="00746875" w:rsidRDefault="00746875" w:rsidP="00746875">
      <w:pPr>
        <w:spacing w:after="0" w:line="240" w:lineRule="auto"/>
        <w:jc w:val="both"/>
        <w:rPr>
          <w:rFonts w:eastAsia="Times New Roman" w:cs="Times New Roman"/>
          <w:sz w:val="28"/>
          <w:szCs w:val="28"/>
          <w:lang w:eastAsia="pl-PL"/>
        </w:rPr>
      </w:pPr>
      <w:r>
        <w:rPr>
          <w:rFonts w:eastAsia="Times New Roman" w:cs="Times New Roman"/>
          <w:sz w:val="28"/>
          <w:szCs w:val="28"/>
          <w:lang w:eastAsia="pl-PL"/>
        </w:rPr>
        <w:t xml:space="preserve">Tabela: Procentowa zmiana ceny akcji spółki, której akcje zostały wymienione w numerze </w:t>
      </w:r>
      <w:proofErr w:type="gramStart"/>
      <w:r>
        <w:rPr>
          <w:rFonts w:eastAsia="Times New Roman" w:cs="Times New Roman"/>
          <w:sz w:val="28"/>
          <w:szCs w:val="28"/>
          <w:lang w:eastAsia="pl-PL"/>
        </w:rPr>
        <w:t>,,</w:t>
      </w:r>
      <w:proofErr w:type="gramEnd"/>
      <w:r>
        <w:rPr>
          <w:rFonts w:eastAsia="Times New Roman" w:cs="Times New Roman"/>
          <w:sz w:val="28"/>
          <w:szCs w:val="28"/>
          <w:lang w:eastAsia="pl-PL"/>
        </w:rPr>
        <w:t xml:space="preserve">Raportu Tygodniowego” z 1 grudnia 2014 roku w rubryce ,,Wykres do przemyślenia” w okresie od 28 listopada 2014 roku do 27 listopada 2015 roku oraz procentowa zmiana indeksu WIG 20 w tym okresie. </w:t>
      </w:r>
    </w:p>
    <w:p w:rsidR="00746875" w:rsidRDefault="00746875" w:rsidP="00746875">
      <w:pPr>
        <w:spacing w:after="0" w:line="240" w:lineRule="auto"/>
        <w:jc w:val="both"/>
        <w:rPr>
          <w:rFonts w:eastAsiaTheme="minorEastAsia" w:cs="Times New Roman"/>
          <w:sz w:val="26"/>
          <w:szCs w:val="26"/>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28.11.2014</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27.11.2015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Procad</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1,06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1,84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+73,6 %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+73,6 %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2 416,93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1 936,05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-19,9 %</w:t>
            </w:r>
          </w:p>
        </w:tc>
      </w:tr>
    </w:tbl>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umieszczone 2 grudnia na stronie internetowej </w:t>
      </w:r>
      <w:hyperlink r:id="rId19"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1 grudnia 2014 roku do 1 grudnia 2015 roku procentowa zmiana indeksu WIG 20 w tym okresie. </w:t>
      </w:r>
    </w:p>
    <w:p w:rsidR="00746875" w:rsidRDefault="00746875" w:rsidP="00746875">
      <w:pPr>
        <w:spacing w:after="0" w:line="240" w:lineRule="auto"/>
        <w:jc w:val="both"/>
        <w:rPr>
          <w:rFonts w:eastAsiaTheme="minorEastAsia"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01.12.2014</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01.12.2015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spółki PKO BP </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37,65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27,20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-27,8 %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-27,8 %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1 923,94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-20,4 %</w:t>
            </w:r>
          </w:p>
        </w:tc>
      </w:tr>
    </w:tbl>
    <w:p w:rsidR="00746875" w:rsidRDefault="00746875" w:rsidP="00746875">
      <w:pPr>
        <w:spacing w:after="0" w:line="240" w:lineRule="auto"/>
        <w:jc w:val="both"/>
        <w:rPr>
          <w:rFonts w:ascii="Calibri" w:eastAsia="Times New Roman" w:hAnsi="Calibri" w:cs="Times New Roman"/>
          <w:sz w:val="26"/>
          <w:szCs w:val="26"/>
          <w:u w:val="single"/>
          <w:lang w:eastAsia="pl-PL"/>
        </w:rPr>
      </w:pPr>
    </w:p>
    <w:p w:rsidR="00746875" w:rsidRDefault="00746875" w:rsidP="00746875">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wymienione w numerze </w:t>
      </w:r>
      <w:proofErr w:type="gramStart"/>
      <w:r>
        <w:rPr>
          <w:rFonts w:eastAsia="Times New Roman" w:cs="Times New Roman"/>
          <w:lang w:eastAsia="pl-PL"/>
        </w:rPr>
        <w:t>,,</w:t>
      </w:r>
      <w:proofErr w:type="gramEnd"/>
      <w:r>
        <w:rPr>
          <w:rFonts w:eastAsia="Times New Roman" w:cs="Times New Roman"/>
          <w:lang w:eastAsia="pl-PL"/>
        </w:rPr>
        <w:t xml:space="preserve">Raportu Tygodniowego” z 15 grudnia 2014 roku w rubryce ,,Wykres do przemyślenia” w okresie od 12 grudnia 2014 roku do 11 grudnia 2015 roku oraz procentowa zmiana indeksu WIG 20 w tym okresie. </w:t>
      </w:r>
    </w:p>
    <w:p w:rsidR="00746875" w:rsidRDefault="00746875" w:rsidP="00746875">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12.12.2014</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11.12.2015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Mercor</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8,14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8,60 zł. </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+5,7 %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 xml:space="preserve">  +5,7 %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2 360,00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1 757,37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  25,5 %</w:t>
            </w:r>
          </w:p>
        </w:tc>
      </w:tr>
    </w:tbl>
    <w:p w:rsidR="00746875" w:rsidRDefault="00746875" w:rsidP="00746875">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2 stycznia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20"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30 grudnia 2014 roku do 23 grudnia 2015 roku oraz procentowa zmiana indeksu WIG 20 w tym okresie. </w:t>
      </w:r>
    </w:p>
    <w:p w:rsidR="00746875" w:rsidRDefault="00746875" w:rsidP="00746875">
      <w:pPr>
        <w:spacing w:after="0" w:line="240" w:lineRule="auto"/>
        <w:jc w:val="both"/>
        <w:rPr>
          <w:rFonts w:eastAsiaTheme="minorEastAsia"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30.12.2014</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Comarch</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115,50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114,05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-1,3 %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-1,3 %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2 315,94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-19,7  %</w:t>
            </w:r>
          </w:p>
        </w:tc>
      </w:tr>
    </w:tbl>
    <w:p w:rsidR="00746875" w:rsidRDefault="00746875" w:rsidP="00746875">
      <w:pPr>
        <w:spacing w:after="0" w:line="240" w:lineRule="auto"/>
        <w:jc w:val="both"/>
        <w:rPr>
          <w:rFonts w:ascii="Calibri" w:eastAsia="Times New Roman" w:hAnsi="Calibri" w:cs="Times New Roman"/>
          <w:sz w:val="40"/>
          <w:szCs w:val="40"/>
          <w:u w:val="single"/>
          <w:lang w:eastAsia="pl-PL"/>
        </w:rPr>
      </w:pPr>
    </w:p>
    <w:p w:rsidR="00746875" w:rsidRPr="00E06D46" w:rsidRDefault="00746875" w:rsidP="00746875">
      <w:pPr>
        <w:spacing w:after="0" w:line="240" w:lineRule="auto"/>
        <w:jc w:val="both"/>
        <w:rPr>
          <w:rFonts w:ascii="Calibri" w:eastAsia="Times New Roman" w:hAnsi="Calibri" w:cs="Times New Roman"/>
          <w:sz w:val="50"/>
          <w:szCs w:val="50"/>
          <w:u w:val="single"/>
          <w:lang w:eastAsia="pl-PL"/>
        </w:rPr>
      </w:pPr>
      <w:r w:rsidRPr="00E06D46">
        <w:rPr>
          <w:rFonts w:ascii="Calibri" w:eastAsia="Times New Roman" w:hAnsi="Calibri" w:cs="Times New Roman"/>
          <w:sz w:val="50"/>
          <w:szCs w:val="50"/>
          <w:u w:val="single"/>
          <w:lang w:eastAsia="pl-PL"/>
        </w:rPr>
        <w:t>Wniosek końcowy z powyższych rozważań brzmi następująco:</w:t>
      </w:r>
    </w:p>
    <w:p w:rsidR="00746875" w:rsidRPr="00E06D46" w:rsidRDefault="00746875" w:rsidP="00746875">
      <w:pPr>
        <w:spacing w:after="0" w:line="240" w:lineRule="auto"/>
        <w:jc w:val="both"/>
        <w:rPr>
          <w:rFonts w:ascii="Calibri" w:eastAsia="Times New Roman" w:hAnsi="Calibri" w:cs="Times New Roman"/>
          <w:color w:val="FF0000"/>
          <w:sz w:val="40"/>
          <w:szCs w:val="40"/>
          <w:u w:val="single"/>
          <w:lang w:eastAsia="pl-PL"/>
        </w:rPr>
      </w:pPr>
    </w:p>
    <w:p w:rsidR="00746875" w:rsidRPr="00E06D46" w:rsidRDefault="00746875" w:rsidP="00746875">
      <w:pPr>
        <w:spacing w:after="0" w:line="240" w:lineRule="auto"/>
        <w:jc w:val="both"/>
        <w:rPr>
          <w:rFonts w:ascii="Calibri" w:eastAsia="Times New Roman" w:hAnsi="Calibri" w:cs="Times New Roman"/>
          <w:b/>
          <w:color w:val="000000" w:themeColor="text1"/>
          <w:sz w:val="44"/>
          <w:szCs w:val="44"/>
          <w:u w:val="single"/>
          <w:lang w:eastAsia="pl-PL"/>
        </w:rPr>
      </w:pPr>
      <w:r w:rsidRPr="00E06D46">
        <w:rPr>
          <w:rFonts w:ascii="Calibri" w:eastAsia="Times New Roman" w:hAnsi="Calibri" w:cs="Times New Roman"/>
          <w:color w:val="000000"/>
          <w:sz w:val="44"/>
          <w:szCs w:val="44"/>
          <w:lang w:eastAsia="pl-PL"/>
        </w:rPr>
        <w:t xml:space="preserve">Średnia procentowa zmiana kursu akcji spółki po wprowadzeniu jej do rubryki </w:t>
      </w:r>
      <w:proofErr w:type="gramStart"/>
      <w:r w:rsidRPr="00E06D46">
        <w:rPr>
          <w:rFonts w:ascii="Calibri" w:eastAsia="Times New Roman" w:hAnsi="Calibri" w:cs="Times New Roman"/>
          <w:b/>
          <w:color w:val="FF0000"/>
          <w:sz w:val="44"/>
          <w:szCs w:val="44"/>
          <w:lang w:eastAsia="pl-PL"/>
        </w:rPr>
        <w:t>,,</w:t>
      </w:r>
      <w:proofErr w:type="gramEnd"/>
      <w:r w:rsidRPr="00E06D46">
        <w:rPr>
          <w:rFonts w:ascii="Calibri" w:eastAsia="Times New Roman" w:hAnsi="Calibri" w:cs="Times New Roman"/>
          <w:b/>
          <w:color w:val="FF0000"/>
          <w:sz w:val="44"/>
          <w:szCs w:val="44"/>
          <w:lang w:eastAsia="pl-PL"/>
        </w:rPr>
        <w:t>Wykres do przemyślenia”</w:t>
      </w:r>
      <w:r w:rsidRPr="00E06D46">
        <w:rPr>
          <w:rFonts w:ascii="Calibri" w:eastAsia="Times New Roman" w:hAnsi="Calibri" w:cs="Times New Roman"/>
          <w:color w:val="000000"/>
          <w:sz w:val="44"/>
          <w:szCs w:val="44"/>
          <w:lang w:eastAsia="pl-PL"/>
        </w:rPr>
        <w:t xml:space="preserve"> w okresie 12 pierwszych miesięcy po jej wprowadzeniu do tej rubryki wynosiła </w:t>
      </w:r>
      <w:r w:rsidRPr="00E06D46">
        <w:rPr>
          <w:rFonts w:ascii="Calibri" w:eastAsia="Times New Roman" w:hAnsi="Calibri" w:cs="Times New Roman"/>
          <w:b/>
          <w:color w:val="FF0000"/>
          <w:sz w:val="44"/>
          <w:szCs w:val="44"/>
          <w:lang w:eastAsia="pl-PL"/>
        </w:rPr>
        <w:t>plus 14,8 %.</w:t>
      </w:r>
      <w:r w:rsidRPr="00E06D46">
        <w:rPr>
          <w:rFonts w:ascii="Calibri" w:eastAsia="Times New Roman" w:hAnsi="Calibri" w:cs="Times New Roman"/>
          <w:color w:val="FF0000"/>
          <w:sz w:val="44"/>
          <w:szCs w:val="44"/>
          <w:lang w:eastAsia="pl-PL"/>
        </w:rPr>
        <w:t xml:space="preserve"> </w:t>
      </w:r>
      <w:r w:rsidRPr="00E06D46">
        <w:rPr>
          <w:rFonts w:ascii="Calibri" w:eastAsia="Times New Roman" w:hAnsi="Calibri" w:cs="Times New Roman"/>
          <w:color w:val="000000" w:themeColor="text1"/>
          <w:sz w:val="44"/>
          <w:szCs w:val="44"/>
          <w:lang w:eastAsia="pl-PL"/>
        </w:rPr>
        <w:t xml:space="preserve">Średnia procentowa zmiana indeksu </w:t>
      </w:r>
      <w:r w:rsidRPr="00E06D46">
        <w:rPr>
          <w:rFonts w:ascii="Calibri" w:eastAsia="Times New Roman" w:hAnsi="Calibri" w:cs="Times New Roman"/>
          <w:color w:val="000000" w:themeColor="text1"/>
          <w:sz w:val="44"/>
          <w:szCs w:val="44"/>
          <w:u w:val="single"/>
          <w:lang w:eastAsia="pl-PL"/>
        </w:rPr>
        <w:t xml:space="preserve">WIG20 </w:t>
      </w:r>
      <w:r w:rsidRPr="00E06D46">
        <w:rPr>
          <w:rFonts w:ascii="Calibri" w:eastAsia="Times New Roman" w:hAnsi="Calibri" w:cs="Times New Roman"/>
          <w:color w:val="000000" w:themeColor="text1"/>
          <w:sz w:val="44"/>
          <w:szCs w:val="44"/>
          <w:lang w:eastAsia="pl-PL"/>
        </w:rPr>
        <w:t xml:space="preserve">w tym okresie wynosiła </w:t>
      </w:r>
      <w:r w:rsidRPr="00E06D46">
        <w:rPr>
          <w:rFonts w:ascii="Calibri" w:eastAsia="Times New Roman" w:hAnsi="Calibri" w:cs="Times New Roman"/>
          <w:b/>
          <w:color w:val="000000" w:themeColor="text1"/>
          <w:sz w:val="44"/>
          <w:szCs w:val="44"/>
          <w:u w:val="single"/>
          <w:lang w:eastAsia="pl-PL"/>
        </w:rPr>
        <w:t xml:space="preserve">minus 15,8 %. </w:t>
      </w:r>
    </w:p>
    <w:p w:rsidR="00746875" w:rsidRDefault="00746875" w:rsidP="00746875">
      <w:pPr>
        <w:shd w:val="clear" w:color="auto" w:fill="FFFF00"/>
        <w:spacing w:after="0" w:line="240" w:lineRule="auto"/>
        <w:jc w:val="center"/>
        <w:rPr>
          <w:rFonts w:eastAsia="Times New Roman" w:cs="Times New Roman"/>
          <w:b/>
          <w:sz w:val="96"/>
          <w:szCs w:val="96"/>
          <w:lang w:eastAsia="pl-PL"/>
        </w:rPr>
      </w:pPr>
      <w:r>
        <w:rPr>
          <w:rFonts w:eastAsia="Times New Roman" w:cs="Times New Roman"/>
          <w:b/>
          <w:sz w:val="96"/>
          <w:szCs w:val="96"/>
          <w:lang w:eastAsia="pl-PL"/>
        </w:rPr>
        <w:lastRenderedPageBreak/>
        <w:t xml:space="preserve">Spółki dla których nie można jeszcze obliczyć procentowej zmiany kursu akcji po wprowadzeniu jej do rubryki </w:t>
      </w:r>
      <w:proofErr w:type="gramStart"/>
      <w:r>
        <w:rPr>
          <w:rFonts w:eastAsia="Times New Roman" w:cs="Times New Roman"/>
          <w:b/>
          <w:sz w:val="96"/>
          <w:szCs w:val="96"/>
          <w:lang w:eastAsia="pl-PL"/>
        </w:rPr>
        <w:t>,,</w:t>
      </w:r>
      <w:proofErr w:type="gramEnd"/>
      <w:r>
        <w:rPr>
          <w:rFonts w:eastAsia="Times New Roman" w:cs="Times New Roman"/>
          <w:b/>
          <w:sz w:val="96"/>
          <w:szCs w:val="96"/>
          <w:lang w:eastAsia="pl-PL"/>
        </w:rPr>
        <w:t xml:space="preserve">Wykres do przemyślenia” w okresie 12 pierwszych miesięcy po jej wprowadzeniu do tej rubryki </w:t>
      </w:r>
    </w:p>
    <w:p w:rsidR="00746875" w:rsidRDefault="00746875" w:rsidP="00746875">
      <w:pPr>
        <w:spacing w:after="0" w:line="240" w:lineRule="auto"/>
        <w:jc w:val="both"/>
        <w:rPr>
          <w:rFonts w:eastAsia="Times New Roman" w:cs="Times New Roman"/>
          <w:b/>
          <w:sz w:val="26"/>
          <w:szCs w:val="26"/>
          <w:lang w:eastAsia="pl-PL"/>
        </w:rPr>
      </w:pPr>
    </w:p>
    <w:p w:rsidR="00746875" w:rsidRDefault="00746875" w:rsidP="00746875">
      <w:pPr>
        <w:spacing w:after="0" w:line="240" w:lineRule="auto"/>
        <w:jc w:val="both"/>
        <w:rPr>
          <w:rFonts w:eastAsia="Times New Roman" w:cs="Times New Roman"/>
          <w:b/>
          <w:sz w:val="26"/>
          <w:szCs w:val="26"/>
          <w:lang w:eastAsia="pl-PL"/>
        </w:rPr>
      </w:pPr>
    </w:p>
    <w:p w:rsidR="00746875" w:rsidRDefault="00746875" w:rsidP="00746875">
      <w:pPr>
        <w:spacing w:after="0" w:line="240" w:lineRule="auto"/>
        <w:jc w:val="center"/>
        <w:rPr>
          <w:rFonts w:eastAsia="Times New Roman" w:cs="Times New Roman"/>
          <w:b/>
          <w:sz w:val="32"/>
          <w:szCs w:val="32"/>
          <w:u w:val="single"/>
          <w:lang w:eastAsia="pl-PL"/>
        </w:rPr>
      </w:pPr>
      <w:r>
        <w:rPr>
          <w:rFonts w:eastAsia="Times New Roman" w:cs="Times New Roman"/>
          <w:b/>
          <w:sz w:val="32"/>
          <w:szCs w:val="32"/>
          <w:u w:val="single"/>
          <w:lang w:eastAsia="pl-PL"/>
        </w:rPr>
        <w:t>Obliczenia według stanu na 30 grudnia 2015 roku</w:t>
      </w:r>
    </w:p>
    <w:p w:rsidR="00746875" w:rsidRDefault="00746875" w:rsidP="00746875">
      <w:pPr>
        <w:spacing w:after="0" w:line="240" w:lineRule="auto"/>
        <w:jc w:val="both"/>
        <w:rPr>
          <w:rFonts w:eastAsiaTheme="minorEastAsia" w:cs="Times New Roman"/>
          <w:lang w:eastAsia="pl-PL"/>
        </w:rPr>
      </w:pPr>
      <w:r>
        <w:rPr>
          <w:rFonts w:eastAsia="Times New Roman" w:cs="Times New Roman"/>
          <w:lang w:eastAsia="pl-PL"/>
        </w:rPr>
        <w:lastRenderedPageBreak/>
        <w:t xml:space="preserve">Tabela: Procentowa zmiana ceny akcji spółki, której akcje zostały umieszczone 12 stycznia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21"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9 stycznia do 30 grudnia 2015 roku oraz procentowa zmiana indeksu WIG 20 w tym okresie. </w:t>
      </w:r>
    </w:p>
    <w:p w:rsidR="00746875" w:rsidRDefault="00746875" w:rsidP="00746875">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09.01.2015</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Akcja spółki Muza</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3,34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2,85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-14,7 %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-14,7 %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-23,1 %</w:t>
            </w:r>
          </w:p>
        </w:tc>
      </w:tr>
    </w:tbl>
    <w:p w:rsidR="00746875" w:rsidRDefault="00746875" w:rsidP="00746875">
      <w:pPr>
        <w:spacing w:after="0" w:line="240" w:lineRule="auto"/>
        <w:jc w:val="both"/>
        <w:rPr>
          <w:rFonts w:eastAsiaTheme="minorEastAsia" w:cs="Times New Roman"/>
          <w:lang w:eastAsia="pl-PL"/>
        </w:rPr>
      </w:pPr>
    </w:p>
    <w:p w:rsidR="00746875" w:rsidRDefault="00746875" w:rsidP="00746875">
      <w:pPr>
        <w:spacing w:after="0" w:line="240" w:lineRule="auto"/>
        <w:jc w:val="both"/>
        <w:rPr>
          <w:rFonts w:eastAsiaTheme="minorEastAsia" w:cs="Times New Roman"/>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30 stycznia 2015 roku </w:t>
      </w:r>
      <w:proofErr w:type="gramStart"/>
      <w:r>
        <w:rPr>
          <w:rFonts w:eastAsia="Times New Roman" w:cs="Times New Roman"/>
          <w:sz w:val="26"/>
          <w:szCs w:val="26"/>
          <w:lang w:eastAsia="pl-PL"/>
        </w:rPr>
        <w:t>na  stronie</w:t>
      </w:r>
      <w:proofErr w:type="gramEnd"/>
      <w:r>
        <w:rPr>
          <w:rFonts w:eastAsia="Times New Roman" w:cs="Times New Roman"/>
          <w:sz w:val="26"/>
          <w:szCs w:val="26"/>
          <w:lang w:eastAsia="pl-PL"/>
        </w:rPr>
        <w:t xml:space="preserve"> internetowej </w:t>
      </w:r>
      <w:hyperlink r:id="rId22"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29 stycznia </w:t>
      </w:r>
      <w:r>
        <w:rPr>
          <w:rFonts w:eastAsia="Times New Roman" w:cs="Times New Roman"/>
          <w:lang w:eastAsia="pl-PL"/>
        </w:rPr>
        <w:t xml:space="preserve">do 30grudnia 2015 roku </w:t>
      </w:r>
      <w:r>
        <w:rPr>
          <w:rFonts w:eastAsia="Times New Roman" w:cs="Times New Roman"/>
          <w:sz w:val="26"/>
          <w:szCs w:val="26"/>
          <w:lang w:eastAsia="pl-PL"/>
        </w:rPr>
        <w:t xml:space="preserve">oraz procentowa zmiana indeksu WIG 20 w tym okresie. </w:t>
      </w:r>
    </w:p>
    <w:p w:rsidR="00746875" w:rsidRDefault="00746875" w:rsidP="00746875">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29.01.2015</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Akcja spółki Lubawa</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1,11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0,83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-25,2 %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-25,2 %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-23,1 %</w:t>
            </w:r>
          </w:p>
        </w:tc>
      </w:tr>
    </w:tbl>
    <w:p w:rsidR="00746875" w:rsidRDefault="00746875" w:rsidP="00746875">
      <w:pPr>
        <w:spacing w:after="0" w:line="240" w:lineRule="auto"/>
        <w:jc w:val="both"/>
        <w:rPr>
          <w:rFonts w:eastAsia="Times New Roman" w:cs="Times New Roman"/>
          <w:lang w:eastAsia="pl-PL"/>
        </w:rPr>
      </w:pPr>
    </w:p>
    <w:p w:rsidR="00746875" w:rsidRDefault="00746875" w:rsidP="00746875">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10 lutego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23"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9 lutego do 30 grudnia 2015 roku oraz procentowa zmiana indeksu WIG 20 w tym okresie. </w:t>
      </w: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09.02.2015</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Atrem</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4,50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3,82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-15,1 %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-15,1 %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2 417,11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-20,5%</w:t>
            </w:r>
          </w:p>
        </w:tc>
      </w:tr>
    </w:tbl>
    <w:p w:rsidR="00746875" w:rsidRDefault="00746875" w:rsidP="00746875">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3 marca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24"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2 marca do 23 grudnia 2015 roku oraz procentowa zmiana indeksu WIG 20 w tym okresie. </w:t>
      </w:r>
    </w:p>
    <w:p w:rsidR="00746875" w:rsidRDefault="00746875" w:rsidP="00746875">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02.03.2015</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Akcja spółki Mostostal Warszawa</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7,57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13,00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+71,7 %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+71,7 %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2 358,25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-21,2 %</w:t>
            </w:r>
          </w:p>
        </w:tc>
      </w:tr>
    </w:tbl>
    <w:p w:rsidR="00746875" w:rsidRDefault="00746875" w:rsidP="00746875">
      <w:pPr>
        <w:spacing w:after="0" w:line="240" w:lineRule="auto"/>
        <w:jc w:val="both"/>
        <w:rPr>
          <w:rFonts w:eastAsiaTheme="minorEastAsia" w:cs="Times New Roman"/>
          <w:b/>
          <w:lang w:eastAsia="pl-PL"/>
        </w:rPr>
      </w:pPr>
    </w:p>
    <w:p w:rsidR="00746875" w:rsidRDefault="00746875" w:rsidP="00746875">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9 kwietnia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25"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8 kwietnia do 30 grudnia 2015 roku oraz procentowa zmiana indeksu WIG 20 w tym okresie. </w:t>
      </w:r>
    </w:p>
    <w:p w:rsidR="00746875" w:rsidRDefault="00746875" w:rsidP="00746875">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08.04.2015</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Akcja spółki Ceramika Nowa Gala</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1,25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1,22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-2,4 %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-2,4%</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2 424,82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-23,3 %</w:t>
            </w:r>
          </w:p>
        </w:tc>
      </w:tr>
    </w:tbl>
    <w:p w:rsidR="00746875" w:rsidRDefault="00746875" w:rsidP="00746875">
      <w:pPr>
        <w:spacing w:after="0" w:line="240" w:lineRule="auto"/>
        <w:jc w:val="both"/>
        <w:rPr>
          <w:rFonts w:eastAsiaTheme="minorEastAsia" w:cs="Times New Roman"/>
          <w:sz w:val="34"/>
          <w:szCs w:val="34"/>
          <w:lang w:eastAsia="pl-PL"/>
        </w:rPr>
      </w:pPr>
    </w:p>
    <w:p w:rsidR="00746875" w:rsidRDefault="00746875" w:rsidP="00746875">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5 maja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26"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4 maja do 30 grudnia 2015 roku oraz procentowa zmiana indeksu WIG 20 w tym okresie. </w:t>
      </w: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04.05.2015</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Akcja spółki Polnord</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11,10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14,37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+29,5  %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+29,5  %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2 523,09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-26,3 %</w:t>
            </w:r>
          </w:p>
        </w:tc>
      </w:tr>
    </w:tbl>
    <w:p w:rsidR="00746875" w:rsidRDefault="00746875" w:rsidP="00746875">
      <w:pPr>
        <w:spacing w:after="0" w:line="240" w:lineRule="auto"/>
        <w:jc w:val="both"/>
        <w:rPr>
          <w:rFonts w:eastAsia="Times New Roman" w:cs="Times New Roman"/>
          <w:lang w:eastAsia="pl-PL"/>
        </w:rPr>
      </w:pPr>
    </w:p>
    <w:p w:rsidR="00746875" w:rsidRDefault="00746875" w:rsidP="00746875">
      <w:pPr>
        <w:spacing w:after="0" w:line="240" w:lineRule="auto"/>
        <w:jc w:val="both"/>
        <w:rPr>
          <w:rFonts w:eastAsia="Times New Roman" w:cs="Times New Roman"/>
          <w:lang w:eastAsia="pl-PL"/>
        </w:rPr>
      </w:pPr>
      <w:r>
        <w:rPr>
          <w:rFonts w:eastAsia="Times New Roman" w:cs="Times New Roman"/>
          <w:lang w:eastAsia="pl-PL"/>
        </w:rPr>
        <w:t xml:space="preserve">Tabela: Procentowa zmiana cen akcji trzech spółek, których akcje zostały umieszczone w dniu 1 lipca na stronie internetowej </w:t>
      </w:r>
      <w:hyperlink r:id="rId27" w:history="1">
        <w:r>
          <w:rPr>
            <w:rStyle w:val="Hipercze"/>
            <w:rFonts w:eastAsia="Times New Roman" w:cs="Times New Roman"/>
            <w:lang w:eastAsia="pl-PL"/>
          </w:rPr>
          <w:t>http://analizy-rynkowe.pl/</w:t>
        </w:r>
      </w:hyperlink>
      <w:r>
        <w:rPr>
          <w:rFonts w:eastAsia="Times New Roman" w:cs="Times New Roman"/>
          <w:lang w:eastAsia="pl-PL"/>
        </w:rPr>
        <w:t xml:space="preserve"> w rubryce </w:t>
      </w:r>
      <w:proofErr w:type="gramStart"/>
      <w:r>
        <w:rPr>
          <w:rFonts w:eastAsia="Times New Roman" w:cs="Times New Roman"/>
          <w:lang w:eastAsia="pl-PL"/>
        </w:rPr>
        <w:t>,,</w:t>
      </w:r>
      <w:proofErr w:type="gramEnd"/>
      <w:r>
        <w:rPr>
          <w:rFonts w:eastAsia="Times New Roman" w:cs="Times New Roman"/>
          <w:lang w:eastAsia="pl-PL"/>
        </w:rPr>
        <w:t xml:space="preserve">Wykres do przemyślenia” w okresie od 30 czerwca 2015 roku do 30 grudnia 2015 roku oraz procentowa zmiana indeksu WIG 20 w tym okresie. </w:t>
      </w: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30.06.2015</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Akcja spółki TIM</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9,49 zł.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9,00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-5,2 %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w:t>
            </w:r>
            <w:proofErr w:type="gramStart"/>
            <w:r>
              <w:rPr>
                <w:rFonts w:eastAsiaTheme="minorEastAsia"/>
                <w:lang w:eastAsia="pl-PL"/>
              </w:rPr>
              <w:t xml:space="preserve">spółki  </w:t>
            </w:r>
            <w:proofErr w:type="spellStart"/>
            <w:r>
              <w:rPr>
                <w:rFonts w:eastAsiaTheme="minorEastAsia"/>
                <w:lang w:eastAsia="pl-PL"/>
              </w:rPr>
              <w:t>Unima</w:t>
            </w:r>
            <w:proofErr w:type="spellEnd"/>
            <w:proofErr w:type="gramEnd"/>
            <w:r>
              <w:rPr>
                <w:rFonts w:eastAsiaTheme="minorEastAsia"/>
                <w:lang w:eastAsia="pl-PL"/>
              </w:rPr>
              <w:t xml:space="preserve"> 2000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2,58 zł.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2,21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-14,3 %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Variant</w:t>
            </w:r>
            <w:proofErr w:type="spellEnd"/>
            <w:r>
              <w:rPr>
                <w:rFonts w:eastAsiaTheme="minorEastAsia"/>
                <w:lang w:eastAsia="pl-PL"/>
              </w:rPr>
              <w:t xml:space="preserve"> </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1,77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1,68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-5,1  %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-8,2  %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2317,84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-19,8 %</w:t>
            </w:r>
          </w:p>
        </w:tc>
      </w:tr>
    </w:tbl>
    <w:p w:rsidR="00746875" w:rsidRDefault="00746875" w:rsidP="00746875">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21 lipca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28"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21 lipca do 30 grudnia 2015 roku oraz procentowa zmiana indeksu WIG 20 w tym okresie. </w:t>
      </w:r>
    </w:p>
    <w:p w:rsidR="00746875" w:rsidRDefault="00746875" w:rsidP="00746875">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21.07.2015</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spółki Ropczyce </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20,80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21,65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4,1 %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4,1 %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2 444,63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-17,2  %</w:t>
            </w:r>
          </w:p>
        </w:tc>
      </w:tr>
    </w:tbl>
    <w:p w:rsidR="00746875" w:rsidRDefault="00746875" w:rsidP="00746875">
      <w:pPr>
        <w:spacing w:after="0" w:line="240" w:lineRule="auto"/>
        <w:jc w:val="both"/>
        <w:rPr>
          <w:rFonts w:eastAsia="Times New Roman" w:cs="Times New Roman"/>
          <w:lang w:eastAsia="pl-PL"/>
        </w:rPr>
      </w:pPr>
    </w:p>
    <w:p w:rsidR="00746875" w:rsidRDefault="00746875" w:rsidP="00746875">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23 lipca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29"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22 lipca do 30 grudnia 2015 roku oraz procentowa zmiana indeksu WIG 20 w tym okresie. </w:t>
      </w:r>
    </w:p>
    <w:p w:rsidR="00746875" w:rsidRDefault="00746875" w:rsidP="00746875">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22.07.2015</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Akcja spółki Eurocash</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41,26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48,50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+17,5 %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+17,5%</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2 185,83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-14,9 %</w:t>
            </w:r>
          </w:p>
        </w:tc>
      </w:tr>
    </w:tbl>
    <w:p w:rsidR="00746875" w:rsidRDefault="00746875" w:rsidP="00746875">
      <w:pPr>
        <w:spacing w:after="0" w:line="240" w:lineRule="auto"/>
        <w:jc w:val="both"/>
        <w:rPr>
          <w:rFonts w:eastAsia="Times New Roman" w:cs="Times New Roman"/>
          <w:lang w:eastAsia="pl-PL"/>
        </w:rPr>
      </w:pPr>
    </w:p>
    <w:p w:rsidR="00746875" w:rsidRDefault="00746875" w:rsidP="00746875">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23 lipca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30"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2 do 30 grudnia 2015 roku oraz procentowa zmiana indeksu WIG 20 w tym okresie. </w:t>
      </w:r>
    </w:p>
    <w:p w:rsidR="00746875" w:rsidRDefault="00746875" w:rsidP="00746875">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02.09.2015</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Akcja spółki Agora</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11,20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12,60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12,5 %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 xml:space="preserve">  12,5 %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2 107,58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-11,8%</w:t>
            </w:r>
          </w:p>
        </w:tc>
      </w:tr>
    </w:tbl>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umieszczone 23 lipca 2015 roku </w:t>
      </w:r>
      <w:proofErr w:type="gramStart"/>
      <w:r>
        <w:rPr>
          <w:rFonts w:eastAsia="Times New Roman" w:cs="Times New Roman"/>
          <w:sz w:val="26"/>
          <w:szCs w:val="26"/>
          <w:lang w:eastAsia="pl-PL"/>
        </w:rPr>
        <w:t>na  stronie</w:t>
      </w:r>
      <w:proofErr w:type="gramEnd"/>
      <w:r>
        <w:rPr>
          <w:rFonts w:eastAsia="Times New Roman" w:cs="Times New Roman"/>
          <w:sz w:val="26"/>
          <w:szCs w:val="26"/>
          <w:lang w:eastAsia="pl-PL"/>
        </w:rPr>
        <w:t xml:space="preserve"> internetowej </w:t>
      </w:r>
      <w:hyperlink r:id="rId31"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3 </w:t>
      </w:r>
      <w:r>
        <w:rPr>
          <w:rFonts w:eastAsia="Times New Roman" w:cs="Times New Roman"/>
          <w:lang w:eastAsia="pl-PL"/>
        </w:rPr>
        <w:t xml:space="preserve">do 30 grudnia 2015 roku </w:t>
      </w:r>
      <w:r>
        <w:rPr>
          <w:rFonts w:eastAsia="Times New Roman" w:cs="Times New Roman"/>
          <w:sz w:val="26"/>
          <w:szCs w:val="26"/>
          <w:lang w:eastAsia="pl-PL"/>
        </w:rPr>
        <w:t xml:space="preserve">oraz procentowa zmiana indeksu WIG 20 w tym okresie. </w:t>
      </w:r>
    </w:p>
    <w:p w:rsidR="00746875" w:rsidRDefault="00746875" w:rsidP="00746875">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03.09.2015</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Akcja spółki BZWBK</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309,00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284,00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-8,1 %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 xml:space="preserve"> -8,1 %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2 155,07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-13,7 %</w:t>
            </w:r>
          </w:p>
        </w:tc>
      </w:tr>
    </w:tbl>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9 października na stronie internetowej </w:t>
      </w:r>
      <w:hyperlink r:id="rId32"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8 października </w:t>
      </w:r>
      <w:r>
        <w:rPr>
          <w:rFonts w:eastAsia="Times New Roman" w:cs="Times New Roman"/>
          <w:lang w:eastAsia="pl-PL"/>
        </w:rPr>
        <w:t xml:space="preserve">do 30 grudnia 2015 roku </w:t>
      </w:r>
      <w:r>
        <w:rPr>
          <w:rFonts w:eastAsia="Times New Roman" w:cs="Times New Roman"/>
          <w:sz w:val="26"/>
          <w:szCs w:val="26"/>
          <w:lang w:eastAsia="pl-PL"/>
        </w:rPr>
        <w:t xml:space="preserve">oraz procentowa zmiana indeksu WIG 20 w tym okresie. </w:t>
      </w: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08.10.2015</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Netmedia</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5,69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5,89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+3,5 %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lang w:eastAsia="pl-PL"/>
              </w:rPr>
              <w:t>Akcja spółki Stalprodukt</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color w:val="000000" w:themeColor="text1"/>
                <w:lang w:eastAsia="pl-PL"/>
              </w:rPr>
            </w:pPr>
            <w:r>
              <w:rPr>
                <w:rFonts w:eastAsiaTheme="minorEastAsia"/>
                <w:color w:val="000000" w:themeColor="text1"/>
                <w:lang w:eastAsia="pl-PL"/>
              </w:rPr>
              <w:t xml:space="preserve">312,70 zł.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color w:val="000000" w:themeColor="text1"/>
                <w:lang w:eastAsia="pl-PL"/>
              </w:rPr>
            </w:pPr>
            <w:r>
              <w:rPr>
                <w:rFonts w:eastAsiaTheme="minorEastAsia"/>
                <w:color w:val="000000" w:themeColor="text1"/>
                <w:lang w:eastAsia="pl-PL"/>
              </w:rPr>
              <w:t xml:space="preserve">299,00 zł. </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color w:val="000000" w:themeColor="text1"/>
                <w:lang w:eastAsia="pl-PL"/>
              </w:rPr>
            </w:pPr>
            <w:r>
              <w:rPr>
                <w:rFonts w:eastAsiaTheme="minorEastAsia"/>
                <w:color w:val="000000" w:themeColor="text1"/>
                <w:lang w:eastAsia="pl-PL"/>
              </w:rPr>
              <w:t xml:space="preserve">  -4,4 %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single" w:sz="4" w:space="0" w:color="auto"/>
            </w:tcBorders>
          </w:tcPr>
          <w:p w:rsidR="00746875" w:rsidRDefault="00746875" w:rsidP="00442981">
            <w:pPr>
              <w:jc w:val="center"/>
              <w:rPr>
                <w:rFonts w:eastAsiaTheme="minorEastAsia"/>
                <w:lang w:eastAsia="pl-PL"/>
              </w:rPr>
            </w:pPr>
          </w:p>
        </w:tc>
        <w:tc>
          <w:tcPr>
            <w:tcW w:w="2303" w:type="dxa"/>
            <w:tcBorders>
              <w:top w:val="single" w:sz="4" w:space="0" w:color="auto"/>
              <w:left w:val="single" w:sz="4" w:space="0" w:color="auto"/>
              <w:bottom w:val="single" w:sz="4" w:space="0" w:color="auto"/>
              <w:right w:val="single" w:sz="4" w:space="0" w:color="auto"/>
            </w:tcBorders>
          </w:tcPr>
          <w:p w:rsidR="00746875" w:rsidRDefault="00746875" w:rsidP="00442981">
            <w:pPr>
              <w:jc w:val="center"/>
              <w:rPr>
                <w:rFonts w:eastAsiaTheme="minorEastAsia"/>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-0,4 %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2 126,48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-12,6 %</w:t>
            </w:r>
          </w:p>
        </w:tc>
      </w:tr>
    </w:tbl>
    <w:p w:rsidR="00746875" w:rsidRDefault="00746875" w:rsidP="00746875">
      <w:pPr>
        <w:spacing w:after="0" w:line="240" w:lineRule="auto"/>
        <w:jc w:val="both"/>
        <w:rPr>
          <w:rFonts w:eastAsia="Times New Roman" w:cs="Times New Roman"/>
          <w:lang w:eastAsia="pl-PL"/>
        </w:rPr>
      </w:pPr>
      <w:r>
        <w:rPr>
          <w:rFonts w:eastAsia="Times New Roman" w:cs="Times New Roman"/>
          <w:sz w:val="26"/>
          <w:szCs w:val="26"/>
          <w:lang w:eastAsia="pl-PL"/>
        </w:rPr>
        <w:t xml:space="preserve">Tabela: Procentowa zmiana ceny akcji spółki, której akcje zostały umieszczone 14 października 2015 roku </w:t>
      </w:r>
      <w:proofErr w:type="gramStart"/>
      <w:r>
        <w:rPr>
          <w:rFonts w:eastAsia="Times New Roman" w:cs="Times New Roman"/>
          <w:sz w:val="26"/>
          <w:szCs w:val="26"/>
          <w:lang w:eastAsia="pl-PL"/>
        </w:rPr>
        <w:t>na  stronie</w:t>
      </w:r>
      <w:proofErr w:type="gramEnd"/>
      <w:r>
        <w:rPr>
          <w:rFonts w:eastAsia="Times New Roman" w:cs="Times New Roman"/>
          <w:sz w:val="26"/>
          <w:szCs w:val="26"/>
          <w:lang w:eastAsia="pl-PL"/>
        </w:rPr>
        <w:t xml:space="preserve"> internetowej </w:t>
      </w:r>
      <w:hyperlink r:id="rId33"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13 października </w:t>
      </w:r>
      <w:r>
        <w:rPr>
          <w:rFonts w:eastAsia="Times New Roman" w:cs="Times New Roman"/>
          <w:lang w:eastAsia="pl-PL"/>
        </w:rPr>
        <w:t xml:space="preserve">do 30 grudnia 2015 roku </w:t>
      </w:r>
      <w:r>
        <w:rPr>
          <w:rFonts w:eastAsia="Times New Roman" w:cs="Times New Roman"/>
          <w:sz w:val="26"/>
          <w:szCs w:val="26"/>
          <w:lang w:eastAsia="pl-PL"/>
        </w:rPr>
        <w:t xml:space="preserve">oraz procentowa zmiana indeksu WIG 20 w tym okresie. </w:t>
      </w: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13.10.2015</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Akcja spółki Cyfrowy Polsat</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24,93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20,88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-16,2 %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 xml:space="preserve">  -16,2 %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2 123,43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-12,4 %</w:t>
            </w:r>
          </w:p>
        </w:tc>
      </w:tr>
    </w:tbl>
    <w:p w:rsidR="00746875" w:rsidRDefault="00746875" w:rsidP="00746875">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17 października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34"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13 października do 30 grudnia 2015 roku oraz procentowa zmiana indeksu WIG 20 w tym okresie. </w:t>
      </w: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16.10.2015</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Akcja spółki Dębica</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85,40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96,80</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+13,3 %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 xml:space="preserve">  +13,3 %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2 121,94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-12,4 %</w:t>
            </w:r>
          </w:p>
        </w:tc>
      </w:tr>
    </w:tbl>
    <w:p w:rsidR="00746875" w:rsidRDefault="00746875" w:rsidP="00746875">
      <w:pPr>
        <w:spacing w:after="0" w:line="240" w:lineRule="auto"/>
        <w:jc w:val="both"/>
        <w:rPr>
          <w:rFonts w:eastAsia="Times New Roman" w:cs="Times New Roman"/>
          <w:lang w:eastAsia="pl-PL"/>
        </w:rPr>
      </w:pPr>
      <w:r>
        <w:rPr>
          <w:rFonts w:eastAsia="Times New Roman" w:cs="Times New Roman"/>
          <w:lang w:eastAsia="pl-PL"/>
        </w:rPr>
        <w:t xml:space="preserve">Tabela: Procentowa zmiana ceny akcji spółki, której akcje zostały umieszczone 4 listopada 2015 roku </w:t>
      </w:r>
      <w:proofErr w:type="gramStart"/>
      <w:r>
        <w:rPr>
          <w:rFonts w:eastAsia="Times New Roman" w:cs="Times New Roman"/>
          <w:lang w:eastAsia="pl-PL"/>
        </w:rPr>
        <w:t>na  stronie</w:t>
      </w:r>
      <w:proofErr w:type="gramEnd"/>
      <w:r>
        <w:rPr>
          <w:rFonts w:eastAsia="Times New Roman" w:cs="Times New Roman"/>
          <w:lang w:eastAsia="pl-PL"/>
        </w:rPr>
        <w:t xml:space="preserve"> internetowej </w:t>
      </w:r>
      <w:hyperlink r:id="rId35" w:history="1">
        <w:r>
          <w:rPr>
            <w:rStyle w:val="Hipercze"/>
            <w:rFonts w:eastAsia="Times New Roman" w:cs="Times New Roman"/>
            <w:lang w:eastAsia="pl-PL"/>
          </w:rPr>
          <w:t>www.analizy-rynkowe.pl</w:t>
        </w:r>
      </w:hyperlink>
      <w:r>
        <w:rPr>
          <w:rFonts w:eastAsia="Times New Roman" w:cs="Times New Roman"/>
          <w:lang w:eastAsia="pl-PL"/>
        </w:rPr>
        <w:t xml:space="preserve"> w </w:t>
      </w:r>
      <w:proofErr w:type="gramStart"/>
      <w:r>
        <w:rPr>
          <w:rFonts w:eastAsia="Times New Roman" w:cs="Times New Roman"/>
          <w:lang w:eastAsia="pl-PL"/>
        </w:rPr>
        <w:t>rubryce  ,,Wykres</w:t>
      </w:r>
      <w:proofErr w:type="gramEnd"/>
      <w:r>
        <w:rPr>
          <w:rFonts w:eastAsia="Times New Roman" w:cs="Times New Roman"/>
          <w:lang w:eastAsia="pl-PL"/>
        </w:rPr>
        <w:t xml:space="preserve"> do przemyślenia” w okresie od 3 do 30 grudnia 2015 roku oraz procentowa zmiana indeksu WIG 20 w tym okresie. </w:t>
      </w: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03.11.2015</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spółki Alta </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2,19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2,52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15,1 %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 xml:space="preserve">  15,1 %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2 061,38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-9,8 %</w:t>
            </w:r>
          </w:p>
        </w:tc>
      </w:tr>
    </w:tbl>
    <w:p w:rsidR="00746875" w:rsidRDefault="00746875" w:rsidP="00746875">
      <w:pPr>
        <w:spacing w:after="0" w:line="240" w:lineRule="auto"/>
        <w:jc w:val="both"/>
        <w:rPr>
          <w:rFonts w:eastAsia="Times New Roman" w:cs="Times New Roman"/>
          <w:sz w:val="26"/>
          <w:szCs w:val="26"/>
          <w:lang w:eastAsia="pl-PL"/>
        </w:rPr>
      </w:pPr>
    </w:p>
    <w:p w:rsidR="00746875" w:rsidRDefault="00746875" w:rsidP="00746875">
      <w:pPr>
        <w:spacing w:after="0" w:line="240" w:lineRule="auto"/>
        <w:jc w:val="both"/>
        <w:rPr>
          <w:rFonts w:eastAsia="Times New Roman" w:cs="Times New Roman"/>
          <w:sz w:val="26"/>
          <w:szCs w:val="26"/>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lastRenderedPageBreak/>
        <w:t xml:space="preserve">Tabela: Procentowa zmiana ceny akcji spółki, której akcje zostały umieszczone 30 listopada 2015 roku </w:t>
      </w:r>
      <w:proofErr w:type="gramStart"/>
      <w:r>
        <w:rPr>
          <w:rFonts w:eastAsia="Times New Roman" w:cs="Times New Roman"/>
          <w:sz w:val="26"/>
          <w:szCs w:val="26"/>
          <w:lang w:eastAsia="pl-PL"/>
        </w:rPr>
        <w:t>na  stronie</w:t>
      </w:r>
      <w:proofErr w:type="gramEnd"/>
      <w:r>
        <w:rPr>
          <w:rFonts w:eastAsia="Times New Roman" w:cs="Times New Roman"/>
          <w:sz w:val="26"/>
          <w:szCs w:val="26"/>
          <w:lang w:eastAsia="pl-PL"/>
        </w:rPr>
        <w:t xml:space="preserve"> internetowej </w:t>
      </w:r>
      <w:hyperlink r:id="rId36"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30 listopada do 30 grudnia 2015 roku oraz procentowa zmiana indeksu WIG 20 w tym okresie. </w:t>
      </w:r>
    </w:p>
    <w:p w:rsidR="00746875" w:rsidRDefault="00746875" w:rsidP="00746875">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30.11.2015</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Asseco</w:t>
            </w:r>
            <w:proofErr w:type="spellEnd"/>
            <w:r>
              <w:rPr>
                <w:rFonts w:eastAsiaTheme="minorEastAsia"/>
                <w:lang w:eastAsia="pl-PL"/>
              </w:rPr>
              <w:t xml:space="preserve"> Poland</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58,06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56,80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-2,2 %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 xml:space="preserve">  -2,2 %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1 936,05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-4,0 %</w:t>
            </w:r>
          </w:p>
        </w:tc>
      </w:tr>
    </w:tbl>
    <w:p w:rsidR="00746875" w:rsidRDefault="00746875" w:rsidP="00746875">
      <w:pPr>
        <w:spacing w:after="0" w:line="240" w:lineRule="auto"/>
        <w:jc w:val="both"/>
        <w:rPr>
          <w:rFonts w:eastAsia="Times New Roman" w:cs="Times New Roman"/>
          <w:sz w:val="32"/>
          <w:szCs w:val="32"/>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30 listopada 2015 roku </w:t>
      </w:r>
      <w:proofErr w:type="gramStart"/>
      <w:r>
        <w:rPr>
          <w:rFonts w:eastAsia="Times New Roman" w:cs="Times New Roman"/>
          <w:sz w:val="26"/>
          <w:szCs w:val="26"/>
          <w:lang w:eastAsia="pl-PL"/>
        </w:rPr>
        <w:t>na  stronie</w:t>
      </w:r>
      <w:proofErr w:type="gramEnd"/>
      <w:r>
        <w:rPr>
          <w:rFonts w:eastAsia="Times New Roman" w:cs="Times New Roman"/>
          <w:sz w:val="26"/>
          <w:szCs w:val="26"/>
          <w:lang w:eastAsia="pl-PL"/>
        </w:rPr>
        <w:t xml:space="preserve"> internetowej </w:t>
      </w:r>
      <w:hyperlink r:id="rId37"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30 listopada do 30 grudnia 2015 roku oraz procentowa zmiana indeksu WIG 20 w tym okresie. </w:t>
      </w:r>
    </w:p>
    <w:p w:rsidR="00746875" w:rsidRDefault="00746875" w:rsidP="00746875">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04.12.2015</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spółki </w:t>
            </w:r>
            <w:proofErr w:type="spellStart"/>
            <w:r>
              <w:rPr>
                <w:rFonts w:eastAsiaTheme="minorEastAsia"/>
                <w:lang w:eastAsia="pl-PL"/>
              </w:rPr>
              <w:t>PeKaO</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139,80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143,50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+2,6 %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 xml:space="preserve">  +2,6 %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1 868,24 pkt. </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0,6 %</w:t>
            </w:r>
          </w:p>
        </w:tc>
      </w:tr>
    </w:tbl>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30 listopada 2015 roku </w:t>
      </w:r>
      <w:proofErr w:type="gramStart"/>
      <w:r>
        <w:rPr>
          <w:rFonts w:eastAsia="Times New Roman" w:cs="Times New Roman"/>
          <w:sz w:val="26"/>
          <w:szCs w:val="26"/>
          <w:lang w:eastAsia="pl-PL"/>
        </w:rPr>
        <w:t>na  stronie</w:t>
      </w:r>
      <w:proofErr w:type="gramEnd"/>
      <w:r>
        <w:rPr>
          <w:rFonts w:eastAsia="Times New Roman" w:cs="Times New Roman"/>
          <w:sz w:val="26"/>
          <w:szCs w:val="26"/>
          <w:lang w:eastAsia="pl-PL"/>
        </w:rPr>
        <w:t xml:space="preserve"> internetowej </w:t>
      </w:r>
      <w:hyperlink r:id="rId38"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30 listopada do 30 grudnia 2015 roku oraz procentowa zmiana indeksu WIG 20 w tym okresie. </w:t>
      </w:r>
    </w:p>
    <w:p w:rsidR="00746875" w:rsidRDefault="00746875" w:rsidP="00746875">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04.12.2015</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Akcja spółki LC </w:t>
            </w:r>
            <w:proofErr w:type="spellStart"/>
            <w:r>
              <w:rPr>
                <w:rFonts w:eastAsiaTheme="minorEastAsia"/>
                <w:lang w:eastAsia="pl-PL"/>
              </w:rPr>
              <w:t>Corp</w:t>
            </w:r>
            <w:proofErr w:type="spellEnd"/>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1,62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1,78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+9,9%</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 xml:space="preserve">  +9,9 %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1 868,24 pkt.</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-0,5 %</w:t>
            </w:r>
          </w:p>
        </w:tc>
      </w:tr>
    </w:tbl>
    <w:p w:rsidR="00746875" w:rsidRDefault="00746875" w:rsidP="00746875">
      <w:pPr>
        <w:spacing w:after="0" w:line="240" w:lineRule="auto"/>
        <w:jc w:val="both"/>
        <w:rPr>
          <w:rFonts w:eastAsia="Times New Roman" w:cs="Times New Roman"/>
          <w:sz w:val="36"/>
          <w:szCs w:val="36"/>
          <w:lang w:eastAsia="pl-PL"/>
        </w:rPr>
      </w:pPr>
    </w:p>
    <w:p w:rsidR="00746875" w:rsidRDefault="00746875" w:rsidP="00746875">
      <w:pPr>
        <w:spacing w:after="0" w:line="240" w:lineRule="auto"/>
        <w:jc w:val="both"/>
        <w:rPr>
          <w:rFonts w:eastAsia="Times New Roman" w:cs="Times New Roman"/>
          <w:sz w:val="26"/>
          <w:szCs w:val="26"/>
          <w:lang w:eastAsia="pl-PL"/>
        </w:rPr>
      </w:pPr>
      <w:r>
        <w:rPr>
          <w:rFonts w:eastAsia="Times New Roman" w:cs="Times New Roman"/>
          <w:sz w:val="26"/>
          <w:szCs w:val="26"/>
          <w:lang w:eastAsia="pl-PL"/>
        </w:rPr>
        <w:t xml:space="preserve">Tabela: Procentowa zmiana ceny akcji spółki, której akcje zostały umieszczone 30 listopada 2015 roku </w:t>
      </w:r>
      <w:proofErr w:type="gramStart"/>
      <w:r>
        <w:rPr>
          <w:rFonts w:eastAsia="Times New Roman" w:cs="Times New Roman"/>
          <w:sz w:val="26"/>
          <w:szCs w:val="26"/>
          <w:lang w:eastAsia="pl-PL"/>
        </w:rPr>
        <w:t>na  stronie</w:t>
      </w:r>
      <w:proofErr w:type="gramEnd"/>
      <w:r>
        <w:rPr>
          <w:rFonts w:eastAsia="Times New Roman" w:cs="Times New Roman"/>
          <w:sz w:val="26"/>
          <w:szCs w:val="26"/>
          <w:lang w:eastAsia="pl-PL"/>
        </w:rPr>
        <w:t xml:space="preserve"> internetowej </w:t>
      </w:r>
      <w:hyperlink r:id="rId39" w:history="1">
        <w:r>
          <w:rPr>
            <w:rStyle w:val="Hipercze"/>
            <w:rFonts w:eastAsia="Times New Roman" w:cs="Times New Roman"/>
            <w:sz w:val="26"/>
            <w:szCs w:val="26"/>
            <w:lang w:eastAsia="pl-PL"/>
          </w:rPr>
          <w:t>www.analizy-rynkowe.pl</w:t>
        </w:r>
      </w:hyperlink>
      <w:r>
        <w:rPr>
          <w:rFonts w:eastAsia="Times New Roman" w:cs="Times New Roman"/>
          <w:sz w:val="26"/>
          <w:szCs w:val="26"/>
          <w:lang w:eastAsia="pl-PL"/>
        </w:rPr>
        <w:t xml:space="preserve"> w </w:t>
      </w:r>
      <w:proofErr w:type="gramStart"/>
      <w:r>
        <w:rPr>
          <w:rFonts w:eastAsia="Times New Roman" w:cs="Times New Roman"/>
          <w:sz w:val="26"/>
          <w:szCs w:val="26"/>
          <w:lang w:eastAsia="pl-PL"/>
        </w:rPr>
        <w:t>rubryce  ,,Wykres</w:t>
      </w:r>
      <w:proofErr w:type="gramEnd"/>
      <w:r>
        <w:rPr>
          <w:rFonts w:eastAsia="Times New Roman" w:cs="Times New Roman"/>
          <w:sz w:val="26"/>
          <w:szCs w:val="26"/>
          <w:lang w:eastAsia="pl-PL"/>
        </w:rPr>
        <w:t xml:space="preserve"> do przemyślenia” w okresie od 30 listopada do 30 grudnia 2015 roku oraz procentowa zmiana indeksu WIG 20 w tym okresie. </w:t>
      </w:r>
    </w:p>
    <w:p w:rsidR="00746875" w:rsidRDefault="00746875" w:rsidP="00746875">
      <w:pPr>
        <w:spacing w:after="0" w:line="240" w:lineRule="auto"/>
        <w:jc w:val="both"/>
        <w:rPr>
          <w:rFonts w:eastAsia="Times New Roman" w:cs="Times New Roman"/>
          <w:lang w:eastAsia="pl-PL"/>
        </w:rPr>
      </w:pPr>
    </w:p>
    <w:tbl>
      <w:tblPr>
        <w:tblStyle w:val="Tabela-Siatka1"/>
        <w:tblW w:w="0" w:type="auto"/>
        <w:tblLook w:val="04A0" w:firstRow="1" w:lastRow="0" w:firstColumn="1" w:lastColumn="0" w:noHBand="0" w:noVBand="1"/>
      </w:tblPr>
      <w:tblGrid>
        <w:gridCol w:w="3402"/>
        <w:gridCol w:w="2302"/>
        <w:gridCol w:w="2303"/>
        <w:gridCol w:w="1134"/>
      </w:tblGrid>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Instrument finansowy</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Poziom – 23.12.2015</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lang w:eastAsia="pl-PL"/>
              </w:rPr>
            </w:pPr>
            <w:r>
              <w:rPr>
                <w:rFonts w:eastAsiaTheme="minorEastAsia"/>
                <w:lang w:eastAsia="pl-PL"/>
              </w:rPr>
              <w:t>Poziom – 30.12.2015</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Zmiana (w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Akcja spółki P.A. Nova</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21,50 zł.</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22,99 zł.</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6,9%</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Średnio</w:t>
            </w:r>
          </w:p>
        </w:tc>
        <w:tc>
          <w:tcPr>
            <w:tcW w:w="2302" w:type="dxa"/>
            <w:tcBorders>
              <w:top w:val="single" w:sz="4" w:space="0" w:color="auto"/>
              <w:left w:val="single" w:sz="4" w:space="0" w:color="auto"/>
              <w:bottom w:val="single" w:sz="4" w:space="0" w:color="auto"/>
              <w:right w:val="nil"/>
            </w:tcBorders>
          </w:tcPr>
          <w:p w:rsidR="00746875" w:rsidRDefault="00746875" w:rsidP="00442981">
            <w:pPr>
              <w:jc w:val="center"/>
              <w:rPr>
                <w:rFonts w:eastAsiaTheme="minorEastAsia"/>
                <w:b/>
                <w:color w:val="FF0000"/>
                <w:lang w:eastAsia="pl-PL"/>
              </w:rPr>
            </w:pPr>
          </w:p>
        </w:tc>
        <w:tc>
          <w:tcPr>
            <w:tcW w:w="2303" w:type="dxa"/>
            <w:tcBorders>
              <w:top w:val="single" w:sz="4" w:space="0" w:color="auto"/>
              <w:left w:val="nil"/>
              <w:bottom w:val="single" w:sz="4" w:space="0" w:color="auto"/>
              <w:right w:val="single" w:sz="4" w:space="0" w:color="auto"/>
            </w:tcBorders>
          </w:tcPr>
          <w:p w:rsidR="00746875" w:rsidRDefault="00746875" w:rsidP="00442981">
            <w:pPr>
              <w:jc w:val="center"/>
              <w:rPr>
                <w:rFonts w:eastAsiaTheme="minorEastAsia"/>
                <w:b/>
                <w:color w:val="FF0000"/>
                <w:lang w:eastAsia="pl-PL"/>
              </w:rPr>
            </w:pP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color w:val="FF0000"/>
                <w:lang w:eastAsia="pl-PL"/>
              </w:rPr>
            </w:pPr>
            <w:r>
              <w:rPr>
                <w:rFonts w:eastAsiaTheme="minorEastAsia"/>
                <w:b/>
                <w:color w:val="FF0000"/>
                <w:lang w:eastAsia="pl-PL"/>
              </w:rPr>
              <w:t xml:space="preserve">    6,9 %</w:t>
            </w:r>
          </w:p>
        </w:tc>
      </w:tr>
      <w:tr w:rsidR="00746875" w:rsidTr="00442981">
        <w:tc>
          <w:tcPr>
            <w:tcW w:w="34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WIG 20</w:t>
            </w:r>
          </w:p>
        </w:tc>
        <w:tc>
          <w:tcPr>
            <w:tcW w:w="2302"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1 879,75 pkt.</w:t>
            </w:r>
          </w:p>
        </w:tc>
        <w:tc>
          <w:tcPr>
            <w:tcW w:w="2303"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b/>
                <w:lang w:eastAsia="pl-PL"/>
              </w:rPr>
            </w:pPr>
            <w:r>
              <w:rPr>
                <w:rFonts w:eastAsiaTheme="minorEastAsia"/>
                <w:lang w:eastAsia="pl-PL"/>
              </w:rPr>
              <w:t>1 859,15 pkt.</w:t>
            </w:r>
          </w:p>
        </w:tc>
        <w:tc>
          <w:tcPr>
            <w:tcW w:w="1134" w:type="dxa"/>
            <w:tcBorders>
              <w:top w:val="single" w:sz="4" w:space="0" w:color="auto"/>
              <w:left w:val="single" w:sz="4" w:space="0" w:color="auto"/>
              <w:bottom w:val="single" w:sz="4" w:space="0" w:color="auto"/>
              <w:right w:val="single" w:sz="4" w:space="0" w:color="auto"/>
            </w:tcBorders>
            <w:hideMark/>
          </w:tcPr>
          <w:p w:rsidR="00746875" w:rsidRDefault="00746875" w:rsidP="00442981">
            <w:pPr>
              <w:jc w:val="center"/>
              <w:rPr>
                <w:rFonts w:eastAsiaTheme="minorEastAsia"/>
                <w:lang w:eastAsia="pl-PL"/>
              </w:rPr>
            </w:pPr>
            <w:r>
              <w:rPr>
                <w:rFonts w:eastAsiaTheme="minorEastAsia"/>
                <w:lang w:eastAsia="pl-PL"/>
              </w:rPr>
              <w:t xml:space="preserve"> -1,1 %</w:t>
            </w:r>
          </w:p>
        </w:tc>
      </w:tr>
    </w:tbl>
    <w:p w:rsidR="00746875" w:rsidRDefault="00746875" w:rsidP="00746875">
      <w:pPr>
        <w:spacing w:after="0" w:line="240" w:lineRule="auto"/>
        <w:jc w:val="both"/>
        <w:rPr>
          <w:rFonts w:eastAsia="Times New Roman" w:cs="Times New Roman"/>
          <w:sz w:val="36"/>
          <w:szCs w:val="36"/>
          <w:lang w:eastAsia="pl-PL"/>
        </w:rPr>
      </w:pPr>
    </w:p>
    <w:p w:rsidR="00746875" w:rsidRDefault="00746875" w:rsidP="00746875">
      <w:pPr>
        <w:spacing w:after="0" w:line="240" w:lineRule="auto"/>
        <w:jc w:val="both"/>
        <w:rPr>
          <w:rFonts w:eastAsia="Times New Roman" w:cs="Times New Roman"/>
          <w:sz w:val="36"/>
          <w:szCs w:val="36"/>
          <w:lang w:eastAsia="pl-PL"/>
        </w:rPr>
      </w:pPr>
    </w:p>
    <w:p w:rsidR="00746875" w:rsidRDefault="00746875" w:rsidP="00746875">
      <w:pPr>
        <w:spacing w:after="0" w:line="240" w:lineRule="auto"/>
        <w:jc w:val="both"/>
        <w:rPr>
          <w:rFonts w:eastAsia="Times New Roman" w:cs="Times New Roman"/>
          <w:sz w:val="36"/>
          <w:szCs w:val="36"/>
          <w:lang w:eastAsia="pl-PL"/>
        </w:rPr>
      </w:pPr>
    </w:p>
    <w:p w:rsidR="00746875" w:rsidRPr="00CC0FA2" w:rsidRDefault="00746875" w:rsidP="00746875">
      <w:pPr>
        <w:spacing w:after="0" w:line="240" w:lineRule="auto"/>
        <w:jc w:val="both"/>
        <w:rPr>
          <w:rFonts w:eastAsia="Times New Roman" w:cs="Times New Roman"/>
          <w:sz w:val="32"/>
          <w:szCs w:val="32"/>
          <w:u w:val="single"/>
          <w:lang w:eastAsia="pl-PL"/>
        </w:rPr>
      </w:pPr>
      <w:r w:rsidRPr="00CC0FA2">
        <w:rPr>
          <w:rFonts w:eastAsia="Times New Roman" w:cs="Times New Roman"/>
          <w:sz w:val="32"/>
          <w:szCs w:val="32"/>
          <w:lang w:eastAsia="pl-PL"/>
        </w:rPr>
        <w:lastRenderedPageBreak/>
        <w:t xml:space="preserve">Spółek, </w:t>
      </w:r>
      <w:r w:rsidRPr="00CC0FA2">
        <w:rPr>
          <w:rFonts w:eastAsia="Times New Roman" w:cs="Times New Roman"/>
          <w:sz w:val="32"/>
          <w:szCs w:val="32"/>
          <w:u w:val="single"/>
          <w:lang w:eastAsia="pl-PL"/>
        </w:rPr>
        <w:t>dla których nie można jeszcze obliczyć</w:t>
      </w:r>
      <w:r w:rsidRPr="00CC0FA2">
        <w:rPr>
          <w:rFonts w:eastAsia="Times New Roman" w:cs="Times New Roman"/>
          <w:sz w:val="32"/>
          <w:szCs w:val="32"/>
          <w:lang w:eastAsia="pl-PL"/>
        </w:rPr>
        <w:t xml:space="preserve"> procentowej zmiany kursu akcji po wprowadzeniu jej do rubryki </w:t>
      </w:r>
      <w:proofErr w:type="gramStart"/>
      <w:r w:rsidRPr="00CC0FA2">
        <w:rPr>
          <w:rFonts w:eastAsia="Times New Roman" w:cs="Times New Roman"/>
          <w:sz w:val="32"/>
          <w:szCs w:val="32"/>
          <w:lang w:eastAsia="pl-PL"/>
        </w:rPr>
        <w:t>,,</w:t>
      </w:r>
      <w:proofErr w:type="gramEnd"/>
      <w:r w:rsidRPr="00CC0FA2">
        <w:rPr>
          <w:rFonts w:eastAsia="Times New Roman" w:cs="Times New Roman"/>
          <w:sz w:val="32"/>
          <w:szCs w:val="32"/>
          <w:lang w:eastAsia="pl-PL"/>
        </w:rPr>
        <w:t xml:space="preserve">Wykres do przemyślenia” w okresie 12 pierwszych miesięcy po jej wprowadzeniu do tej rubryki </w:t>
      </w:r>
      <w:r w:rsidRPr="00CC0FA2">
        <w:rPr>
          <w:rFonts w:eastAsia="Times New Roman" w:cs="Times New Roman"/>
          <w:sz w:val="32"/>
          <w:szCs w:val="32"/>
          <w:u w:val="single"/>
          <w:lang w:eastAsia="pl-PL"/>
        </w:rPr>
        <w:t xml:space="preserve">jest </w:t>
      </w:r>
      <w:r w:rsidRPr="00CC0FA2">
        <w:rPr>
          <w:rFonts w:eastAsia="Times New Roman" w:cs="Times New Roman"/>
          <w:b/>
          <w:sz w:val="32"/>
          <w:szCs w:val="32"/>
          <w:u w:val="single"/>
          <w:lang w:eastAsia="pl-PL"/>
        </w:rPr>
        <w:t>23</w:t>
      </w:r>
    </w:p>
    <w:p w:rsidR="00746875" w:rsidRPr="00CC0FA2" w:rsidRDefault="00746875" w:rsidP="00746875">
      <w:pPr>
        <w:spacing w:after="0" w:line="240" w:lineRule="auto"/>
        <w:jc w:val="both"/>
        <w:rPr>
          <w:rFonts w:eastAsia="Times New Roman" w:cs="Times New Roman"/>
          <w:sz w:val="20"/>
          <w:szCs w:val="20"/>
          <w:u w:val="single"/>
          <w:lang w:eastAsia="pl-PL"/>
        </w:rPr>
      </w:pPr>
    </w:p>
    <w:p w:rsidR="00746875" w:rsidRDefault="00746875" w:rsidP="00746875">
      <w:pPr>
        <w:spacing w:after="0" w:line="240" w:lineRule="auto"/>
        <w:jc w:val="both"/>
        <w:rPr>
          <w:rFonts w:eastAsia="Times New Roman" w:cs="Times New Roman"/>
          <w:sz w:val="36"/>
          <w:szCs w:val="36"/>
          <w:lang w:eastAsia="pl-PL"/>
        </w:rPr>
      </w:pPr>
      <w:r>
        <w:rPr>
          <w:rFonts w:eastAsia="Times New Roman" w:cs="Times New Roman"/>
          <w:sz w:val="36"/>
          <w:szCs w:val="36"/>
          <w:lang w:eastAsia="pl-PL"/>
        </w:rPr>
        <w:t xml:space="preserve">W odniesieniu do tej grupy </w:t>
      </w:r>
      <w:r>
        <w:rPr>
          <w:rFonts w:eastAsia="Times New Roman" w:cs="Times New Roman"/>
          <w:b/>
          <w:sz w:val="36"/>
          <w:szCs w:val="36"/>
          <w:u w:val="single"/>
          <w:lang w:eastAsia="pl-PL"/>
        </w:rPr>
        <w:t>23 spółek</w:t>
      </w:r>
      <w:r>
        <w:rPr>
          <w:rFonts w:eastAsia="Times New Roman" w:cs="Times New Roman"/>
          <w:sz w:val="36"/>
          <w:szCs w:val="36"/>
          <w:lang w:eastAsia="pl-PL"/>
        </w:rPr>
        <w:t xml:space="preserve"> można sformułować następujący wniosek: </w:t>
      </w:r>
    </w:p>
    <w:p w:rsidR="00746875" w:rsidRPr="0063102E" w:rsidRDefault="00746875" w:rsidP="00746875">
      <w:pPr>
        <w:spacing w:after="0" w:line="240" w:lineRule="auto"/>
        <w:jc w:val="both"/>
        <w:rPr>
          <w:rFonts w:eastAsia="Times New Roman" w:cs="Times New Roman"/>
          <w:sz w:val="140"/>
          <w:szCs w:val="140"/>
          <w:u w:val="single"/>
          <w:lang w:eastAsia="pl-PL"/>
        </w:rPr>
      </w:pPr>
      <w:r w:rsidRPr="0063102E">
        <w:rPr>
          <w:rFonts w:eastAsia="Times New Roman" w:cs="Times New Roman"/>
          <w:sz w:val="140"/>
          <w:szCs w:val="140"/>
          <w:u w:val="single"/>
          <w:lang w:eastAsia="pl-PL"/>
        </w:rPr>
        <w:t xml:space="preserve">Wniosek </w:t>
      </w:r>
    </w:p>
    <w:p w:rsidR="00746875" w:rsidRDefault="00746875" w:rsidP="00746875">
      <w:pPr>
        <w:spacing w:after="0" w:line="240" w:lineRule="auto"/>
        <w:jc w:val="both"/>
        <w:rPr>
          <w:rFonts w:eastAsia="Times New Roman" w:cs="Times New Roman"/>
          <w:sz w:val="100"/>
          <w:szCs w:val="100"/>
          <w:lang w:eastAsia="pl-PL"/>
        </w:rPr>
      </w:pPr>
    </w:p>
    <w:p w:rsidR="00746875" w:rsidRDefault="00746875" w:rsidP="00746875">
      <w:pPr>
        <w:spacing w:after="0" w:line="240" w:lineRule="auto"/>
        <w:jc w:val="both"/>
        <w:rPr>
          <w:rFonts w:eastAsia="Times New Roman" w:cs="Times New Roman"/>
          <w:sz w:val="62"/>
          <w:szCs w:val="62"/>
          <w:lang w:eastAsia="pl-PL"/>
        </w:rPr>
      </w:pPr>
      <w:r>
        <w:rPr>
          <w:rFonts w:eastAsia="Times New Roman" w:cs="Times New Roman"/>
          <w:sz w:val="62"/>
          <w:szCs w:val="62"/>
          <w:lang w:eastAsia="pl-PL"/>
        </w:rPr>
        <w:t xml:space="preserve">Warto zauważyć, że </w:t>
      </w:r>
    </w:p>
    <w:p w:rsidR="00746875" w:rsidRDefault="00746875" w:rsidP="00746875">
      <w:pPr>
        <w:spacing w:after="0" w:line="240" w:lineRule="auto"/>
        <w:jc w:val="both"/>
        <w:rPr>
          <w:rFonts w:eastAsia="Times New Roman" w:cs="Times New Roman"/>
          <w:sz w:val="62"/>
          <w:szCs w:val="62"/>
          <w:lang w:eastAsia="pl-PL"/>
        </w:rPr>
      </w:pPr>
    </w:p>
    <w:p w:rsidR="00746875" w:rsidRDefault="00746875" w:rsidP="00746875">
      <w:pPr>
        <w:spacing w:after="0" w:line="240" w:lineRule="auto"/>
        <w:jc w:val="both"/>
        <w:rPr>
          <w:rFonts w:eastAsia="Times New Roman" w:cs="Times New Roman"/>
          <w:b/>
          <w:sz w:val="62"/>
          <w:szCs w:val="62"/>
          <w:lang w:eastAsia="pl-PL"/>
        </w:rPr>
      </w:pPr>
      <w:r>
        <w:rPr>
          <w:rFonts w:eastAsia="Times New Roman" w:cs="Times New Roman"/>
          <w:b/>
          <w:color w:val="000000" w:themeColor="text1"/>
          <w:sz w:val="62"/>
          <w:szCs w:val="62"/>
          <w:lang w:eastAsia="pl-PL"/>
        </w:rPr>
        <w:t xml:space="preserve">spośród </w:t>
      </w:r>
      <w:r>
        <w:rPr>
          <w:rFonts w:eastAsia="Times New Roman" w:cs="Times New Roman"/>
          <w:b/>
          <w:color w:val="000000" w:themeColor="text1"/>
          <w:sz w:val="62"/>
          <w:szCs w:val="62"/>
          <w:u w:val="single"/>
          <w:lang w:eastAsia="pl-PL"/>
        </w:rPr>
        <w:t xml:space="preserve">23 </w:t>
      </w:r>
      <w:proofErr w:type="gramStart"/>
      <w:r>
        <w:rPr>
          <w:rFonts w:eastAsia="Times New Roman" w:cs="Times New Roman"/>
          <w:b/>
          <w:color w:val="000000" w:themeColor="text1"/>
          <w:sz w:val="62"/>
          <w:szCs w:val="62"/>
          <w:u w:val="single"/>
          <w:lang w:eastAsia="pl-PL"/>
        </w:rPr>
        <w:t>spółek</w:t>
      </w:r>
      <w:r>
        <w:rPr>
          <w:rFonts w:eastAsia="Times New Roman" w:cs="Times New Roman"/>
          <w:sz w:val="62"/>
          <w:szCs w:val="62"/>
          <w:lang w:eastAsia="pl-PL"/>
        </w:rPr>
        <w:t xml:space="preserve"> (których</w:t>
      </w:r>
      <w:proofErr w:type="gramEnd"/>
      <w:r>
        <w:rPr>
          <w:rFonts w:eastAsia="Times New Roman" w:cs="Times New Roman"/>
          <w:sz w:val="62"/>
          <w:szCs w:val="62"/>
          <w:lang w:eastAsia="pl-PL"/>
        </w:rPr>
        <w:t xml:space="preserve"> lista </w:t>
      </w:r>
      <w:r>
        <w:rPr>
          <w:rFonts w:eastAsia="Times New Roman" w:cs="Times New Roman"/>
          <w:b/>
          <w:sz w:val="62"/>
          <w:szCs w:val="62"/>
          <w:lang w:eastAsia="pl-PL"/>
        </w:rPr>
        <w:t xml:space="preserve">opublikowana jest na str. 13-16) </w:t>
      </w:r>
    </w:p>
    <w:p w:rsidR="00746875" w:rsidRDefault="00746875" w:rsidP="00746875">
      <w:pPr>
        <w:spacing w:after="0" w:line="240" w:lineRule="auto"/>
        <w:jc w:val="both"/>
        <w:rPr>
          <w:rFonts w:eastAsia="Times New Roman" w:cs="Times New Roman"/>
          <w:sz w:val="62"/>
          <w:szCs w:val="62"/>
          <w:lang w:eastAsia="pl-PL"/>
        </w:rPr>
      </w:pPr>
    </w:p>
    <w:p w:rsidR="00746875" w:rsidRDefault="00746875" w:rsidP="00746875">
      <w:pPr>
        <w:spacing w:after="0" w:line="240" w:lineRule="auto"/>
        <w:jc w:val="both"/>
        <w:rPr>
          <w:rFonts w:eastAsia="Times New Roman" w:cs="Times New Roman"/>
          <w:b/>
          <w:sz w:val="62"/>
          <w:szCs w:val="62"/>
          <w:lang w:eastAsia="pl-PL"/>
        </w:rPr>
      </w:pPr>
      <w:proofErr w:type="gramStart"/>
      <w:r>
        <w:rPr>
          <w:rFonts w:eastAsia="Times New Roman" w:cs="Times New Roman"/>
          <w:b/>
          <w:sz w:val="62"/>
          <w:szCs w:val="62"/>
          <w:lang w:eastAsia="pl-PL"/>
        </w:rPr>
        <w:t>kursy</w:t>
      </w:r>
      <w:proofErr w:type="gramEnd"/>
      <w:r>
        <w:rPr>
          <w:rFonts w:eastAsia="Times New Roman" w:cs="Times New Roman"/>
          <w:b/>
          <w:sz w:val="62"/>
          <w:szCs w:val="62"/>
          <w:lang w:eastAsia="pl-PL"/>
        </w:rPr>
        <w:t xml:space="preserve"> akcji </w:t>
      </w:r>
      <w:r>
        <w:rPr>
          <w:rFonts w:eastAsia="Times New Roman" w:cs="Times New Roman"/>
          <w:b/>
          <w:color w:val="FF0000"/>
          <w:sz w:val="62"/>
          <w:szCs w:val="62"/>
          <w:lang w:eastAsia="pl-PL"/>
        </w:rPr>
        <w:t>21 spółek</w:t>
      </w:r>
      <w:r>
        <w:rPr>
          <w:rFonts w:eastAsia="Times New Roman" w:cs="Times New Roman"/>
          <w:sz w:val="62"/>
          <w:szCs w:val="62"/>
          <w:lang w:eastAsia="pl-PL"/>
        </w:rPr>
        <w:t xml:space="preserve"> od momentu owego zakwalifikowania do tej rubryki do dnia 30 grudnia 2015 roku zachowywały się </w:t>
      </w:r>
      <w:r>
        <w:rPr>
          <w:rFonts w:eastAsia="Times New Roman" w:cs="Times New Roman"/>
          <w:b/>
          <w:color w:val="FF0000"/>
          <w:sz w:val="62"/>
          <w:szCs w:val="62"/>
          <w:u w:val="single"/>
          <w:lang w:eastAsia="pl-PL"/>
        </w:rPr>
        <w:t>lepiej</w:t>
      </w:r>
      <w:r>
        <w:rPr>
          <w:rFonts w:eastAsia="Times New Roman" w:cs="Times New Roman"/>
          <w:b/>
          <w:color w:val="FF0000"/>
          <w:sz w:val="62"/>
          <w:szCs w:val="62"/>
          <w:lang w:eastAsia="pl-PL"/>
        </w:rPr>
        <w:t xml:space="preserve"> od indeksu WIG20</w:t>
      </w:r>
      <w:r>
        <w:rPr>
          <w:rFonts w:eastAsia="Times New Roman" w:cs="Times New Roman"/>
          <w:b/>
          <w:sz w:val="62"/>
          <w:szCs w:val="62"/>
          <w:lang w:eastAsia="pl-PL"/>
        </w:rPr>
        <w:t xml:space="preserve"> a 2 </w:t>
      </w:r>
      <w:r>
        <w:rPr>
          <w:rFonts w:eastAsia="Times New Roman" w:cs="Times New Roman"/>
          <w:b/>
          <w:sz w:val="62"/>
          <w:szCs w:val="62"/>
          <w:u w:val="single"/>
          <w:lang w:eastAsia="pl-PL"/>
        </w:rPr>
        <w:t xml:space="preserve">gorzej </w:t>
      </w:r>
      <w:r>
        <w:rPr>
          <w:rFonts w:eastAsia="Times New Roman" w:cs="Times New Roman"/>
          <w:b/>
          <w:sz w:val="62"/>
          <w:szCs w:val="62"/>
          <w:lang w:eastAsia="pl-PL"/>
        </w:rPr>
        <w:t xml:space="preserve">od indeksu WIG20 </w:t>
      </w:r>
    </w:p>
    <w:p w:rsidR="00746875" w:rsidRDefault="00746875" w:rsidP="00746875">
      <w:pPr>
        <w:spacing w:after="0" w:line="240" w:lineRule="auto"/>
        <w:jc w:val="both"/>
        <w:rPr>
          <w:rFonts w:eastAsia="Times New Roman" w:cs="Times New Roman"/>
          <w:color w:val="FF0000"/>
          <w:sz w:val="66"/>
          <w:szCs w:val="66"/>
          <w:lang w:eastAsia="pl-PL"/>
        </w:rPr>
      </w:pPr>
      <w:proofErr w:type="gramStart"/>
      <w:r>
        <w:rPr>
          <w:rFonts w:eastAsia="Times New Roman" w:cs="Times New Roman"/>
          <w:sz w:val="66"/>
          <w:szCs w:val="66"/>
          <w:lang w:eastAsia="pl-PL"/>
        </w:rPr>
        <w:lastRenderedPageBreak/>
        <w:t xml:space="preserve">Uwaga ! – </w:t>
      </w:r>
      <w:proofErr w:type="gramEnd"/>
      <w:r>
        <w:rPr>
          <w:rFonts w:eastAsia="Times New Roman" w:cs="Times New Roman"/>
          <w:sz w:val="66"/>
          <w:szCs w:val="66"/>
          <w:lang w:eastAsia="pl-PL"/>
        </w:rPr>
        <w:t xml:space="preserve">na poprzedniej stronie przedstawiłem wyniki badań dotyczących zachowania kursów akcji tych spółek, które znalazły się w rubryce </w:t>
      </w:r>
      <w:proofErr w:type="gramStart"/>
      <w:r>
        <w:rPr>
          <w:rFonts w:eastAsia="Times New Roman" w:cs="Times New Roman"/>
          <w:sz w:val="66"/>
          <w:szCs w:val="66"/>
          <w:lang w:eastAsia="pl-PL"/>
        </w:rPr>
        <w:t>,,</w:t>
      </w:r>
      <w:proofErr w:type="gramEnd"/>
      <w:r>
        <w:rPr>
          <w:rFonts w:eastAsia="Times New Roman" w:cs="Times New Roman"/>
          <w:sz w:val="66"/>
          <w:szCs w:val="66"/>
          <w:lang w:eastAsia="pl-PL"/>
        </w:rPr>
        <w:t xml:space="preserve">Wykres do przemyślenia” </w:t>
      </w:r>
      <w:r>
        <w:rPr>
          <w:rFonts w:eastAsia="Times New Roman" w:cs="Times New Roman"/>
          <w:b/>
          <w:color w:val="FF0000"/>
          <w:sz w:val="66"/>
          <w:szCs w:val="66"/>
          <w:u w:val="single"/>
          <w:lang w:eastAsia="pl-PL"/>
        </w:rPr>
        <w:t>na przestrzeni ostatnich 12 miesięcy.</w:t>
      </w:r>
    </w:p>
    <w:p w:rsidR="00746875" w:rsidRDefault="00746875" w:rsidP="00746875">
      <w:pPr>
        <w:spacing w:after="0" w:line="240" w:lineRule="auto"/>
        <w:jc w:val="both"/>
        <w:rPr>
          <w:rFonts w:eastAsia="Times New Roman" w:cs="Times New Roman"/>
          <w:sz w:val="66"/>
          <w:szCs w:val="66"/>
          <w:lang w:eastAsia="pl-PL"/>
        </w:rPr>
      </w:pPr>
    </w:p>
    <w:p w:rsidR="00746875" w:rsidRDefault="00746875" w:rsidP="00746875">
      <w:pPr>
        <w:spacing w:after="0" w:line="240" w:lineRule="auto"/>
        <w:jc w:val="both"/>
        <w:rPr>
          <w:rFonts w:eastAsia="Times New Roman" w:cs="Times New Roman"/>
          <w:sz w:val="66"/>
          <w:szCs w:val="66"/>
          <w:lang w:eastAsia="pl-PL"/>
        </w:rPr>
      </w:pPr>
      <w:r>
        <w:rPr>
          <w:rFonts w:eastAsia="Times New Roman" w:cs="Times New Roman"/>
          <w:sz w:val="66"/>
          <w:szCs w:val="66"/>
          <w:lang w:eastAsia="pl-PL"/>
        </w:rPr>
        <w:t xml:space="preserve">Spółki te będę starał się na prowadzonej przeze mnie stronie </w:t>
      </w:r>
      <w:proofErr w:type="gramStart"/>
      <w:r>
        <w:rPr>
          <w:rFonts w:eastAsia="Times New Roman" w:cs="Times New Roman"/>
          <w:sz w:val="66"/>
          <w:szCs w:val="66"/>
          <w:lang w:eastAsia="pl-PL"/>
        </w:rPr>
        <w:t xml:space="preserve">internetowej  </w:t>
      </w:r>
      <w:hyperlink r:id="rId40" w:history="1">
        <w:proofErr w:type="gramEnd"/>
        <w:r>
          <w:rPr>
            <w:rStyle w:val="Hipercze"/>
            <w:rFonts w:eastAsia="Times New Roman" w:cs="Times New Roman"/>
            <w:sz w:val="66"/>
            <w:szCs w:val="66"/>
            <w:lang w:eastAsia="pl-PL"/>
          </w:rPr>
          <w:t>http://analizy-rynkowe.pl/</w:t>
        </w:r>
      </w:hyperlink>
      <w:r>
        <w:rPr>
          <w:rFonts w:eastAsia="Times New Roman" w:cs="Times New Roman"/>
          <w:sz w:val="66"/>
          <w:szCs w:val="66"/>
          <w:lang w:eastAsia="pl-PL"/>
        </w:rPr>
        <w:t xml:space="preserve"> </w:t>
      </w:r>
      <w:r>
        <w:rPr>
          <w:rFonts w:eastAsia="Times New Roman" w:cs="Times New Roman"/>
          <w:b/>
          <w:color w:val="FF0000"/>
          <w:sz w:val="66"/>
          <w:szCs w:val="66"/>
          <w:u w:val="single"/>
          <w:lang w:eastAsia="pl-PL"/>
        </w:rPr>
        <w:t>otaczać szczególną opieką intelektualną</w:t>
      </w:r>
      <w:r>
        <w:rPr>
          <w:rFonts w:eastAsia="Times New Roman" w:cs="Times New Roman"/>
          <w:color w:val="FF0000"/>
          <w:sz w:val="66"/>
          <w:szCs w:val="66"/>
          <w:lang w:eastAsia="pl-PL"/>
        </w:rPr>
        <w:t xml:space="preserve"> </w:t>
      </w:r>
      <w:r>
        <w:rPr>
          <w:rFonts w:eastAsia="Times New Roman" w:cs="Times New Roman"/>
          <w:sz w:val="66"/>
          <w:szCs w:val="66"/>
          <w:lang w:eastAsia="pl-PL"/>
        </w:rPr>
        <w:t xml:space="preserve">to znaczy analizy publikowane na tej stronie będą w znacznej mierzy dotyczyć właśnie tych spółek. </w:t>
      </w:r>
    </w:p>
    <w:p w:rsidR="00746875" w:rsidRDefault="00746875" w:rsidP="00746875">
      <w:pPr>
        <w:spacing w:after="0" w:line="240" w:lineRule="auto"/>
        <w:jc w:val="both"/>
        <w:rPr>
          <w:rFonts w:eastAsia="Times New Roman" w:cs="Times New Roman"/>
          <w:sz w:val="66"/>
          <w:szCs w:val="66"/>
          <w:lang w:eastAsia="pl-PL"/>
        </w:rPr>
      </w:pPr>
    </w:p>
    <w:p w:rsidR="00746875" w:rsidRDefault="00746875" w:rsidP="00746875">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104"/>
          <w:szCs w:val="104"/>
          <w:lang w:eastAsia="pl-PL"/>
        </w:rPr>
      </w:pPr>
      <w:r>
        <w:rPr>
          <w:rFonts w:eastAsia="Times New Roman" w:cs="Times New Roman"/>
          <w:b/>
          <w:color w:val="FFFFFF" w:themeColor="background1"/>
          <w:sz w:val="104"/>
          <w:szCs w:val="104"/>
          <w:lang w:eastAsia="pl-PL"/>
        </w:rPr>
        <w:lastRenderedPageBreak/>
        <w:t>Generalny wniosek:</w:t>
      </w:r>
    </w:p>
    <w:p w:rsidR="00746875" w:rsidRDefault="00746875" w:rsidP="00746875">
      <w:pPr>
        <w:pBdr>
          <w:top w:val="single" w:sz="4" w:space="1" w:color="auto"/>
          <w:left w:val="single" w:sz="4" w:space="4" w:color="auto"/>
          <w:bottom w:val="single" w:sz="4" w:space="1" w:color="auto"/>
          <w:right w:val="single" w:sz="4" w:space="4" w:color="auto"/>
        </w:pBdr>
        <w:shd w:val="clear" w:color="auto" w:fill="92D050"/>
        <w:spacing w:after="0" w:line="240" w:lineRule="auto"/>
        <w:jc w:val="center"/>
        <w:rPr>
          <w:rFonts w:eastAsia="Times New Roman" w:cs="Times New Roman"/>
          <w:b/>
          <w:color w:val="FFFFFF" w:themeColor="background1"/>
          <w:sz w:val="104"/>
          <w:szCs w:val="104"/>
          <w:lang w:eastAsia="pl-PL"/>
        </w:rPr>
      </w:pPr>
      <w:r>
        <w:rPr>
          <w:rFonts w:eastAsia="Times New Roman" w:cs="Times New Roman"/>
          <w:b/>
          <w:color w:val="FFFFFF" w:themeColor="background1"/>
          <w:sz w:val="104"/>
          <w:szCs w:val="104"/>
          <w:lang w:eastAsia="pl-PL"/>
        </w:rPr>
        <w:t xml:space="preserve">kursy akcji spółki po wprowadzeniu jej do rubryki </w:t>
      </w:r>
      <w:proofErr w:type="gramStart"/>
      <w:r>
        <w:rPr>
          <w:rFonts w:eastAsia="Times New Roman" w:cs="Times New Roman"/>
          <w:b/>
          <w:color w:val="FFFFFF" w:themeColor="background1"/>
          <w:sz w:val="104"/>
          <w:szCs w:val="104"/>
          <w:lang w:eastAsia="pl-PL"/>
        </w:rPr>
        <w:t>,,</w:t>
      </w:r>
      <w:proofErr w:type="gramEnd"/>
      <w:r>
        <w:rPr>
          <w:rFonts w:eastAsia="Times New Roman" w:cs="Times New Roman"/>
          <w:b/>
          <w:color w:val="FFFFFF" w:themeColor="background1"/>
          <w:sz w:val="104"/>
          <w:szCs w:val="104"/>
          <w:lang w:eastAsia="pl-PL"/>
        </w:rPr>
        <w:t>Wykres do przemyślenia” zasadniczo rzecz biorąc wykazują relatywną przewagę nad indeksem WIG20</w:t>
      </w:r>
    </w:p>
    <w:p w:rsidR="00746875" w:rsidRDefault="00746875" w:rsidP="00746875">
      <w:pPr>
        <w:rPr>
          <w:rFonts w:eastAsia="Times New Roman" w:cs="Times New Roman"/>
          <w:lang w:eastAsia="pl-PL"/>
        </w:rPr>
      </w:pPr>
    </w:p>
    <w:p w:rsidR="00746875" w:rsidRDefault="00746875" w:rsidP="00746875">
      <w:pPr>
        <w:rPr>
          <w:rFonts w:eastAsia="Times New Roman" w:cs="Times New Roman"/>
          <w:lang w:eastAsia="pl-PL"/>
        </w:rPr>
      </w:pPr>
    </w:p>
    <w:p w:rsidR="00746875" w:rsidRDefault="00746875" w:rsidP="00746875">
      <w:pPr>
        <w:spacing w:after="0" w:line="240" w:lineRule="auto"/>
        <w:jc w:val="both"/>
        <w:rPr>
          <w:rFonts w:eastAsia="Times New Roman" w:cs="Times New Roman"/>
          <w:b/>
          <w:lang w:eastAsia="pl-PL"/>
        </w:rPr>
      </w:pPr>
      <w:r>
        <w:rPr>
          <w:rFonts w:eastAsia="Times New Roman" w:cs="Times New Roman"/>
          <w:b/>
          <w:lang w:eastAsia="pl-PL"/>
        </w:rPr>
        <w:lastRenderedPageBreak/>
        <w:t>Wnioski końcowe</w:t>
      </w:r>
    </w:p>
    <w:p w:rsidR="00746875" w:rsidRDefault="00746875" w:rsidP="00746875">
      <w:pPr>
        <w:spacing w:after="0" w:line="240" w:lineRule="auto"/>
        <w:jc w:val="both"/>
        <w:rPr>
          <w:rFonts w:eastAsia="Times New Roman" w:cs="Times New Roman"/>
          <w:lang w:eastAsia="pl-PL"/>
        </w:rPr>
      </w:pPr>
    </w:p>
    <w:p w:rsidR="00746875" w:rsidRDefault="00746875" w:rsidP="00746875">
      <w:pPr>
        <w:numPr>
          <w:ilvl w:val="0"/>
          <w:numId w:val="2"/>
        </w:numPr>
        <w:spacing w:after="0" w:line="240" w:lineRule="auto"/>
        <w:contextualSpacing/>
        <w:jc w:val="both"/>
        <w:rPr>
          <w:rFonts w:eastAsia="Times New Roman" w:cs="Times New Roman"/>
          <w:b/>
          <w:color w:val="FF0000"/>
          <w:lang w:eastAsia="pl-PL"/>
        </w:rPr>
      </w:pPr>
      <w:r>
        <w:rPr>
          <w:rFonts w:eastAsia="Times New Roman" w:cs="Times New Roman"/>
          <w:color w:val="000000" w:themeColor="text1"/>
          <w:lang w:eastAsia="pl-PL"/>
        </w:rPr>
        <w:t xml:space="preserve">Kurs </w:t>
      </w:r>
      <w:r>
        <w:rPr>
          <w:rFonts w:eastAsia="Times New Roman" w:cs="Times New Roman"/>
          <w:lang w:eastAsia="pl-PL"/>
        </w:rPr>
        <w:t xml:space="preserve">dolara amerykańskiego (w złotych) przebił 52-tygodniowe maksimum, co było spowodowane zaprezentowaniem bardzo dobrych danych o sytuacji na rynku pracy w USA w piątek 6 listopada. Dzięki temu nastąpiło wybicie z nietypowej formacji podwójnego dna, co powinno skutkować wzrostem kursu dolara amerykańskiego </w:t>
      </w:r>
      <w:r>
        <w:rPr>
          <w:rFonts w:eastAsia="Times New Roman" w:cs="Times New Roman"/>
          <w:b/>
          <w:color w:val="FF0000"/>
          <w:lang w:eastAsia="pl-PL"/>
        </w:rPr>
        <w:t xml:space="preserve">do 4,4252 zł. </w:t>
      </w:r>
    </w:p>
    <w:p w:rsidR="00746875" w:rsidRDefault="00746875" w:rsidP="00746875">
      <w:pPr>
        <w:spacing w:after="0" w:line="240" w:lineRule="auto"/>
        <w:contextualSpacing/>
        <w:jc w:val="both"/>
        <w:rPr>
          <w:rFonts w:eastAsia="Times New Roman" w:cs="Times New Roman"/>
          <w:b/>
          <w:color w:val="FF0000"/>
          <w:lang w:eastAsia="pl-PL"/>
        </w:rPr>
      </w:pPr>
    </w:p>
    <w:p w:rsidR="00746875" w:rsidRDefault="00746875" w:rsidP="00746875">
      <w:pPr>
        <w:numPr>
          <w:ilvl w:val="0"/>
          <w:numId w:val="2"/>
        </w:numPr>
        <w:spacing w:after="0" w:line="240" w:lineRule="auto"/>
        <w:contextualSpacing/>
        <w:jc w:val="both"/>
        <w:rPr>
          <w:rFonts w:eastAsia="Times New Roman" w:cs="Times New Roman"/>
          <w:color w:val="000000" w:themeColor="text1"/>
          <w:lang w:eastAsia="pl-PL"/>
        </w:rPr>
      </w:pPr>
      <w:r>
        <w:rPr>
          <w:rFonts w:eastAsia="Times New Roman" w:cs="Times New Roman"/>
          <w:lang w:eastAsia="pl-PL"/>
        </w:rPr>
        <w:t xml:space="preserve">Kurs euro (w złotych) od końca kwietnia 2015 roku znajduje się w trendzie wzrostowym. Generalnie rzecz biorąc powyższy proces (będący mówiąc inaczej synonimem osłabienia złotego wobec euro) wynikał prawdopodobnie z odpływu kapitału zagranicznego z wschodzących rynków finansowych. Na wykresie kursu euro (w złotych) doszło do wybicia z formacji nietypowej formacji podwójnego dna, dzięki czemu doszło do wzrostu kursu euro (w złotych) do </w:t>
      </w:r>
      <w:r>
        <w:rPr>
          <w:rFonts w:eastAsia="Times New Roman" w:cs="Times New Roman"/>
          <w:b/>
          <w:color w:val="FF0000"/>
          <w:lang w:eastAsia="pl-PL"/>
        </w:rPr>
        <w:t>4,3607 zł</w:t>
      </w:r>
      <w:r>
        <w:rPr>
          <w:rFonts w:eastAsia="Times New Roman" w:cs="Times New Roman"/>
          <w:lang w:eastAsia="pl-PL"/>
        </w:rPr>
        <w:t xml:space="preserve">. Dojście do oporu (szczyt z 26 grudnia 2014 roku) może spowodować pewne osłabienie kursu euro (w złotych). </w:t>
      </w:r>
    </w:p>
    <w:p w:rsidR="00746875" w:rsidRDefault="00746875" w:rsidP="00746875">
      <w:pPr>
        <w:spacing w:after="0" w:line="240" w:lineRule="auto"/>
        <w:contextualSpacing/>
        <w:jc w:val="both"/>
        <w:rPr>
          <w:rFonts w:eastAsia="Times New Roman" w:cs="Times New Roman"/>
          <w:b/>
          <w:u w:val="single"/>
          <w:lang w:eastAsia="pl-PL"/>
        </w:rPr>
      </w:pPr>
    </w:p>
    <w:p w:rsidR="00746875" w:rsidRPr="006D3CF5" w:rsidRDefault="00746875" w:rsidP="00746875">
      <w:pPr>
        <w:numPr>
          <w:ilvl w:val="0"/>
          <w:numId w:val="4"/>
        </w:numPr>
        <w:spacing w:after="0" w:line="240" w:lineRule="auto"/>
        <w:contextualSpacing/>
        <w:jc w:val="both"/>
        <w:rPr>
          <w:rFonts w:eastAsia="Times New Roman" w:cs="Times New Roman"/>
          <w:u w:val="single"/>
          <w:lang w:eastAsia="pl-PL"/>
        </w:rPr>
      </w:pPr>
      <w:r w:rsidRPr="006D3CF5">
        <w:rPr>
          <w:rFonts w:eastAsia="Times New Roman" w:cs="Times New Roman"/>
          <w:color w:val="000000" w:themeColor="text1"/>
          <w:lang w:eastAsia="pl-PL"/>
        </w:rPr>
        <w:t xml:space="preserve">Indeks dużych spółek WIG20 odbił się od linii poprowadzonej przez dołki z marca 1995 roku i lutego 2009 roku. Na stworzonym w oparciu o dane miesięczne wykresie świecowym ukształtowała się </w:t>
      </w:r>
      <w:r w:rsidRPr="00CC6A1A">
        <w:rPr>
          <w:rFonts w:eastAsia="Times New Roman" w:cs="Times New Roman"/>
          <w:b/>
          <w:color w:val="000000" w:themeColor="text1"/>
          <w:lang w:eastAsia="pl-PL"/>
        </w:rPr>
        <w:t>formacja młota. Z drugiej strony</w:t>
      </w:r>
      <w:r w:rsidRPr="006D3CF5">
        <w:rPr>
          <w:rFonts w:eastAsia="Times New Roman" w:cs="Times New Roman"/>
          <w:color w:val="000000" w:themeColor="text1"/>
          <w:lang w:eastAsia="pl-PL"/>
        </w:rPr>
        <w:t xml:space="preserve"> warto zauważyć, że na wykresie stworzonym w oparciu o dane dzienne mamy do czynienia z sytuacją nieco niepokojącą. Po pierwsze oscylator stochastyczny wszedł do strefy wykupienia. Po drugie układ i kierunek średnich ruchomych jest typowy dla bessy. Zarówno średnia ruchoma z 45 sesji, jak również ze 100 sesji oraz 200 sesji znajdują się w trendzie spadkowym. Po trzecie z badań Stowarzyszenia inwestorów Indywidualnych wynika, że inwestorzy indywidualni stali się optymistami. Zgodnie z zasadą </w:t>
      </w:r>
      <w:proofErr w:type="gramStart"/>
      <w:r w:rsidRPr="006D3CF5">
        <w:rPr>
          <w:rFonts w:eastAsia="Times New Roman" w:cs="Times New Roman"/>
          <w:color w:val="000000" w:themeColor="text1"/>
          <w:lang w:eastAsia="pl-PL"/>
        </w:rPr>
        <w:t>,,</w:t>
      </w:r>
      <w:proofErr w:type="gramEnd"/>
      <w:r w:rsidRPr="006D3CF5">
        <w:rPr>
          <w:rFonts w:eastAsia="Times New Roman" w:cs="Times New Roman"/>
          <w:color w:val="000000" w:themeColor="text1"/>
          <w:lang w:eastAsia="pl-PL"/>
        </w:rPr>
        <w:t>kupuj pesymizm, sprzedawaj optymizm” może oznaczać to możliwość pojawienie się w krótkim okresie spadków indeksu WIG20.</w:t>
      </w:r>
    </w:p>
    <w:p w:rsidR="00746875" w:rsidRDefault="00746875" w:rsidP="00746875">
      <w:pPr>
        <w:spacing w:after="0" w:line="240" w:lineRule="auto"/>
        <w:contextualSpacing/>
        <w:jc w:val="both"/>
        <w:rPr>
          <w:rFonts w:eastAsia="Times New Roman" w:cs="Times New Roman"/>
          <w:b/>
          <w:u w:val="single"/>
          <w:lang w:eastAsia="pl-PL"/>
        </w:rPr>
      </w:pPr>
    </w:p>
    <w:p w:rsidR="00746875" w:rsidRDefault="00746875" w:rsidP="00746875">
      <w:pPr>
        <w:numPr>
          <w:ilvl w:val="0"/>
          <w:numId w:val="4"/>
        </w:numPr>
        <w:spacing w:after="0" w:line="240" w:lineRule="auto"/>
        <w:contextualSpacing/>
        <w:jc w:val="both"/>
        <w:rPr>
          <w:rFonts w:eastAsia="Times New Roman" w:cs="Times New Roman"/>
          <w:b/>
          <w:lang w:eastAsia="pl-PL"/>
        </w:rPr>
      </w:pPr>
      <w:r>
        <w:rPr>
          <w:rFonts w:eastAsia="Times New Roman" w:cs="Times New Roman"/>
          <w:lang w:eastAsia="pl-PL"/>
        </w:rPr>
        <w:t xml:space="preserve">Rozpoczął się styczeń 2016 roku. W tej sytuacji powstaje pytanie: czy znów pojawi się efekt małych spółek na GPW w </w:t>
      </w:r>
      <w:proofErr w:type="gramStart"/>
      <w:r>
        <w:rPr>
          <w:rFonts w:eastAsia="Times New Roman" w:cs="Times New Roman"/>
          <w:lang w:eastAsia="pl-PL"/>
        </w:rPr>
        <w:t xml:space="preserve">Warszawie ? </w:t>
      </w:r>
      <w:proofErr w:type="gramEnd"/>
      <w:r>
        <w:rPr>
          <w:rFonts w:eastAsia="Times New Roman" w:cs="Times New Roman"/>
          <w:b/>
          <w:lang w:eastAsia="pl-PL"/>
        </w:rPr>
        <w:t>Efekt małych spółek polega na stosunkowo silnym zachowaniu segmentu akcji małych spółek w stosunku do segmentu akcji innych spółek w styczniu.</w:t>
      </w:r>
      <w:r>
        <w:rPr>
          <w:rFonts w:eastAsia="Times New Roman" w:cs="Times New Roman"/>
          <w:lang w:eastAsia="pl-PL"/>
        </w:rPr>
        <w:t xml:space="preserve"> W przypadku polskiego rynku akcji jego istotą jest na przykład występowanie wyższej stopy zwrotu w przypadku indeksu małych spółek (sWIG80) niż w przypadku indeksu spółek dużych (WIG20). O ile do 2002 było w tej mierze bardzo różnie (raz lepszy w styczniu był pierwszy indeks, raz drugi) to od 2003 r. mamy już do czynienia z sytuacją wręcz zdumiewającą, gdyż </w:t>
      </w:r>
      <w:r>
        <w:rPr>
          <w:rFonts w:eastAsia="Times New Roman" w:cs="Times New Roman"/>
          <w:b/>
          <w:lang w:eastAsia="pl-PL"/>
        </w:rPr>
        <w:t>w każdym roku okresu 2003-2015 zachowanie indeksu małych spółek (sWIG80) w styczniu było lepsze niż zachowanie indeksu spółek dużych (WIG20).</w:t>
      </w:r>
    </w:p>
    <w:p w:rsidR="00746875" w:rsidRDefault="00746875" w:rsidP="00746875">
      <w:pPr>
        <w:spacing w:after="0" w:line="240" w:lineRule="auto"/>
        <w:jc w:val="both"/>
        <w:rPr>
          <w:rFonts w:eastAsia="Times New Roman" w:cs="Times New Roman"/>
          <w:lang w:eastAsia="pl-PL"/>
        </w:rPr>
      </w:pPr>
    </w:p>
    <w:p w:rsidR="00746875" w:rsidRDefault="00746875" w:rsidP="00746875">
      <w:pPr>
        <w:spacing w:after="0" w:line="240" w:lineRule="auto"/>
        <w:jc w:val="both"/>
        <w:rPr>
          <w:rFonts w:eastAsia="Times New Roman" w:cs="Times New Roman"/>
          <w:lang w:eastAsia="pl-PL"/>
        </w:rPr>
      </w:pPr>
      <w:r>
        <w:rPr>
          <w:rFonts w:eastAsia="Times New Roman" w:cs="Times New Roman"/>
          <w:lang w:eastAsia="pl-PL"/>
        </w:rPr>
        <w:t>Opracował: Sławomir Kłusek, 4 stycznia 2016 roku</w:t>
      </w:r>
    </w:p>
    <w:p w:rsidR="00746875" w:rsidRDefault="00746875" w:rsidP="00746875">
      <w:pPr>
        <w:spacing w:after="0" w:line="240" w:lineRule="auto"/>
        <w:jc w:val="both"/>
        <w:rPr>
          <w:rFonts w:eastAsia="Times New Roman" w:cs="Times New Roman"/>
          <w:lang w:eastAsia="pl-PL"/>
        </w:rPr>
      </w:pPr>
    </w:p>
    <w:p w:rsidR="00746875" w:rsidRDefault="00746875" w:rsidP="00746875">
      <w:pPr>
        <w:spacing w:after="0" w:line="240" w:lineRule="auto"/>
        <w:jc w:val="both"/>
        <w:rPr>
          <w:rFonts w:eastAsia="Times New Roman" w:cs="Times New Roman"/>
          <w:lang w:eastAsia="pl-PL"/>
        </w:rPr>
      </w:pPr>
      <w:r>
        <w:rPr>
          <w:rFonts w:eastAsia="Times New Roman" w:cs="Times New Roman"/>
          <w:lang w:eastAsia="pl-PL"/>
        </w:rPr>
        <w:t xml:space="preserve">Powyższy raport stanowi wyłącznie wyraz osobistych opinii autora. </w:t>
      </w:r>
    </w:p>
    <w:p w:rsidR="00746875" w:rsidRDefault="00746875" w:rsidP="00746875">
      <w:pPr>
        <w:spacing w:after="0" w:line="240" w:lineRule="auto"/>
        <w:jc w:val="both"/>
        <w:rPr>
          <w:rFonts w:eastAsia="Times New Roman" w:cs="Times New Roman"/>
          <w:lang w:eastAsia="pl-PL"/>
        </w:rPr>
      </w:pPr>
    </w:p>
    <w:p w:rsidR="00746875" w:rsidRDefault="00746875" w:rsidP="00746875">
      <w:pPr>
        <w:spacing w:after="0" w:line="240" w:lineRule="auto"/>
        <w:jc w:val="both"/>
        <w:rPr>
          <w:rFonts w:eastAsia="Times New Roman" w:cs="Times New Roman"/>
          <w:lang w:eastAsia="pl-PL"/>
        </w:rPr>
      </w:pPr>
      <w:r>
        <w:rPr>
          <w:rFonts w:eastAsia="Times New Roman" w:cs="Times New Roman"/>
          <w:lang w:eastAsia="pl-PL"/>
        </w:rPr>
        <w:t xml:space="preserve">Treści zawarte na stronie internetowej </w:t>
      </w:r>
      <w:hyperlink r:id="rId41" w:history="1">
        <w:r>
          <w:rPr>
            <w:rStyle w:val="Hipercze"/>
            <w:rFonts w:eastAsia="Times New Roman" w:cs="Times New Roman"/>
            <w:lang w:eastAsia="pl-PL"/>
          </w:rPr>
          <w:t>www.analizy-rynkowe.pl</w:t>
        </w:r>
      </w:hyperlink>
      <w:r>
        <w:rPr>
          <w:rFonts w:eastAsia="Times New Roman" w:cs="Times New Roman"/>
          <w:lang w:eastAsia="pl-PL"/>
        </w:rPr>
        <w:t xml:space="preserve"> nie stanowią "rekomendacji" w rozumieniu przepisów Rozporządzenia Ministra Finansów z dnia 19 października 2005 r. w sprawie informacji stanowiących rekomendacje dotyczące instrumentów finansowych, lub ich emitentów (</w:t>
      </w:r>
      <w:proofErr w:type="spellStart"/>
      <w:r>
        <w:rPr>
          <w:rFonts w:eastAsia="Times New Roman" w:cs="Times New Roman"/>
          <w:lang w:eastAsia="pl-PL"/>
        </w:rPr>
        <w:t>Dz.U</w:t>
      </w:r>
      <w:proofErr w:type="spellEnd"/>
      <w:r>
        <w:rPr>
          <w:rFonts w:eastAsia="Times New Roman" w:cs="Times New Roman"/>
          <w:lang w:eastAsia="pl-PL"/>
        </w:rPr>
        <w:t xml:space="preserve">. </w:t>
      </w:r>
      <w:proofErr w:type="gramStart"/>
      <w:r>
        <w:rPr>
          <w:rFonts w:eastAsia="Times New Roman" w:cs="Times New Roman"/>
          <w:lang w:eastAsia="pl-PL"/>
        </w:rPr>
        <w:t>z</w:t>
      </w:r>
      <w:proofErr w:type="gramEnd"/>
      <w:r>
        <w:rPr>
          <w:rFonts w:eastAsia="Times New Roman" w:cs="Times New Roman"/>
          <w:lang w:eastAsia="pl-PL"/>
        </w:rPr>
        <w:t xml:space="preserve"> 2005 r. Nr 206, poz. 1715).</w:t>
      </w:r>
    </w:p>
    <w:p w:rsidR="00746875" w:rsidRDefault="00746875" w:rsidP="00746875">
      <w:pPr>
        <w:spacing w:after="0" w:line="240" w:lineRule="auto"/>
        <w:jc w:val="both"/>
        <w:rPr>
          <w:rFonts w:eastAsia="Times New Roman" w:cs="Times New Roman"/>
          <w:lang w:eastAsia="pl-PL"/>
        </w:rPr>
      </w:pPr>
    </w:p>
    <w:p w:rsidR="00746875" w:rsidRDefault="00746875" w:rsidP="00746875">
      <w:pPr>
        <w:spacing w:after="0" w:line="240" w:lineRule="auto"/>
        <w:jc w:val="both"/>
        <w:rPr>
          <w:rStyle w:val="Hipercze"/>
          <w:rFonts w:eastAsia="Times New Roman" w:cs="Times New Roman"/>
          <w:lang w:eastAsia="pl-PL"/>
        </w:rPr>
      </w:pPr>
      <w:r>
        <w:rPr>
          <w:rFonts w:eastAsia="Times New Roman" w:cs="Times New Roman"/>
          <w:lang w:eastAsia="pl-PL"/>
        </w:rPr>
        <w:t xml:space="preserve">Autor nie ponosi odpowiedzialności za jakiekolwiek decyzje inwestycyjne podjęte na podstawie treści zawartych na stronie internetowej </w:t>
      </w:r>
      <w:hyperlink r:id="rId42" w:history="1">
        <w:r>
          <w:rPr>
            <w:rStyle w:val="Hipercze"/>
            <w:rFonts w:eastAsia="Times New Roman" w:cs="Times New Roman"/>
            <w:lang w:eastAsia="pl-PL"/>
          </w:rPr>
          <w:t>www.analizy-rynkowe.pl</w:t>
        </w:r>
      </w:hyperlink>
    </w:p>
    <w:sectPr w:rsidR="00746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4DEE"/>
    <w:multiLevelType w:val="hybridMultilevel"/>
    <w:tmpl w:val="CBFE8794"/>
    <w:lvl w:ilvl="0" w:tplc="BB8469FE">
      <w:numFmt w:val="bullet"/>
      <w:lvlText w:val=""/>
      <w:lvlJc w:val="left"/>
      <w:pPr>
        <w:ind w:left="720" w:hanging="360"/>
      </w:pPr>
      <w:rPr>
        <w:rFonts w:ascii="Wingdings" w:eastAsia="Times New Roman" w:hAnsi="Wingdings" w:hint="default"/>
        <w:b w:val="0"/>
        <w:color w:val="000000" w:themeColor="text1"/>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nsid w:val="76893AAB"/>
    <w:multiLevelType w:val="hybridMultilevel"/>
    <w:tmpl w:val="CA48B87A"/>
    <w:lvl w:ilvl="0" w:tplc="5AD895C2">
      <w:numFmt w:val="bullet"/>
      <w:lvlText w:val=""/>
      <w:lvlJc w:val="left"/>
      <w:pPr>
        <w:ind w:left="720" w:hanging="360"/>
      </w:pPr>
      <w:rPr>
        <w:rFonts w:ascii="Wingdings" w:eastAsiaTheme="minorEastAsia"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60"/>
    <w:rsid w:val="00284DF5"/>
    <w:rsid w:val="003B551F"/>
    <w:rsid w:val="003F75C7"/>
    <w:rsid w:val="004921EA"/>
    <w:rsid w:val="004B1AC1"/>
    <w:rsid w:val="00510B4F"/>
    <w:rsid w:val="0054704A"/>
    <w:rsid w:val="00596CB8"/>
    <w:rsid w:val="0063102E"/>
    <w:rsid w:val="006B4EB4"/>
    <w:rsid w:val="006D3CF5"/>
    <w:rsid w:val="00746875"/>
    <w:rsid w:val="00A95B53"/>
    <w:rsid w:val="00B64460"/>
    <w:rsid w:val="00BC1495"/>
    <w:rsid w:val="00BF3EF7"/>
    <w:rsid w:val="00CA17A4"/>
    <w:rsid w:val="00CB1332"/>
    <w:rsid w:val="00CC0FA2"/>
    <w:rsid w:val="00CC6A1A"/>
    <w:rsid w:val="00D45238"/>
    <w:rsid w:val="00DD5587"/>
    <w:rsid w:val="00E06D46"/>
    <w:rsid w:val="00EB1CDD"/>
    <w:rsid w:val="00EB68D4"/>
    <w:rsid w:val="00F4130D"/>
    <w:rsid w:val="00FA0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3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64460"/>
    <w:pPr>
      <w:spacing w:after="0" w:line="240" w:lineRule="auto"/>
    </w:pPr>
  </w:style>
  <w:style w:type="paragraph" w:styleId="Tekstdymka">
    <w:name w:val="Balloon Text"/>
    <w:basedOn w:val="Normalny"/>
    <w:link w:val="TekstdymkaZnak"/>
    <w:uiPriority w:val="99"/>
    <w:semiHidden/>
    <w:unhideWhenUsed/>
    <w:rsid w:val="00510B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0B4F"/>
    <w:rPr>
      <w:rFonts w:ascii="Tahoma" w:hAnsi="Tahoma" w:cs="Tahoma"/>
      <w:sz w:val="16"/>
      <w:szCs w:val="16"/>
    </w:rPr>
  </w:style>
  <w:style w:type="character" w:styleId="Hipercze">
    <w:name w:val="Hyperlink"/>
    <w:basedOn w:val="Domylnaczcionkaakapitu"/>
    <w:uiPriority w:val="99"/>
    <w:unhideWhenUsed/>
    <w:rsid w:val="00F4130D"/>
    <w:rPr>
      <w:color w:val="0000FF" w:themeColor="hyperlink"/>
      <w:u w:val="single"/>
    </w:rPr>
  </w:style>
  <w:style w:type="table" w:styleId="Tabela-Siatka">
    <w:name w:val="Table Grid"/>
    <w:basedOn w:val="Standardowy"/>
    <w:uiPriority w:val="59"/>
    <w:rsid w:val="00F41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E06D46"/>
    <w:rPr>
      <w:color w:val="800080" w:themeColor="followedHyperlink"/>
      <w:u w:val="single"/>
    </w:rPr>
  </w:style>
  <w:style w:type="paragraph" w:styleId="NormalnyWeb">
    <w:name w:val="Normal (Web)"/>
    <w:basedOn w:val="Normalny"/>
    <w:uiPriority w:val="99"/>
    <w:semiHidden/>
    <w:unhideWhenUsed/>
    <w:rsid w:val="00E06D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06D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6D46"/>
    <w:rPr>
      <w:sz w:val="20"/>
      <w:szCs w:val="20"/>
    </w:rPr>
  </w:style>
  <w:style w:type="paragraph" w:styleId="Akapitzlist">
    <w:name w:val="List Paragraph"/>
    <w:basedOn w:val="Normalny"/>
    <w:uiPriority w:val="34"/>
    <w:qFormat/>
    <w:rsid w:val="00E06D46"/>
    <w:pPr>
      <w:ind w:left="720"/>
      <w:contextualSpacing/>
    </w:pPr>
    <w:rPr>
      <w:rFonts w:eastAsia="Times New Roman" w:cs="Times New Roman"/>
    </w:rPr>
  </w:style>
  <w:style w:type="character" w:styleId="Odwoanieprzypisukocowego">
    <w:name w:val="endnote reference"/>
    <w:basedOn w:val="Domylnaczcionkaakapitu"/>
    <w:uiPriority w:val="99"/>
    <w:semiHidden/>
    <w:unhideWhenUsed/>
    <w:rsid w:val="00E06D46"/>
    <w:rPr>
      <w:vertAlign w:val="superscript"/>
    </w:rPr>
  </w:style>
  <w:style w:type="table" w:customStyle="1" w:styleId="Tabela-Siatka1">
    <w:name w:val="Tabela - Siatka1"/>
    <w:basedOn w:val="Standardowy"/>
    <w:uiPriority w:val="59"/>
    <w:rsid w:val="00E06D4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3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64460"/>
    <w:pPr>
      <w:spacing w:after="0" w:line="240" w:lineRule="auto"/>
    </w:pPr>
  </w:style>
  <w:style w:type="paragraph" w:styleId="Tekstdymka">
    <w:name w:val="Balloon Text"/>
    <w:basedOn w:val="Normalny"/>
    <w:link w:val="TekstdymkaZnak"/>
    <w:uiPriority w:val="99"/>
    <w:semiHidden/>
    <w:unhideWhenUsed/>
    <w:rsid w:val="00510B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0B4F"/>
    <w:rPr>
      <w:rFonts w:ascii="Tahoma" w:hAnsi="Tahoma" w:cs="Tahoma"/>
      <w:sz w:val="16"/>
      <w:szCs w:val="16"/>
    </w:rPr>
  </w:style>
  <w:style w:type="character" w:styleId="Hipercze">
    <w:name w:val="Hyperlink"/>
    <w:basedOn w:val="Domylnaczcionkaakapitu"/>
    <w:uiPriority w:val="99"/>
    <w:unhideWhenUsed/>
    <w:rsid w:val="00F4130D"/>
    <w:rPr>
      <w:color w:val="0000FF" w:themeColor="hyperlink"/>
      <w:u w:val="single"/>
    </w:rPr>
  </w:style>
  <w:style w:type="table" w:styleId="Tabela-Siatka">
    <w:name w:val="Table Grid"/>
    <w:basedOn w:val="Standardowy"/>
    <w:uiPriority w:val="59"/>
    <w:rsid w:val="00F41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E06D46"/>
    <w:rPr>
      <w:color w:val="800080" w:themeColor="followedHyperlink"/>
      <w:u w:val="single"/>
    </w:rPr>
  </w:style>
  <w:style w:type="paragraph" w:styleId="NormalnyWeb">
    <w:name w:val="Normal (Web)"/>
    <w:basedOn w:val="Normalny"/>
    <w:uiPriority w:val="99"/>
    <w:semiHidden/>
    <w:unhideWhenUsed/>
    <w:rsid w:val="00E06D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06D4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06D46"/>
    <w:rPr>
      <w:sz w:val="20"/>
      <w:szCs w:val="20"/>
    </w:rPr>
  </w:style>
  <w:style w:type="paragraph" w:styleId="Akapitzlist">
    <w:name w:val="List Paragraph"/>
    <w:basedOn w:val="Normalny"/>
    <w:uiPriority w:val="34"/>
    <w:qFormat/>
    <w:rsid w:val="00E06D46"/>
    <w:pPr>
      <w:ind w:left="720"/>
      <w:contextualSpacing/>
    </w:pPr>
    <w:rPr>
      <w:rFonts w:eastAsia="Times New Roman" w:cs="Times New Roman"/>
    </w:rPr>
  </w:style>
  <w:style w:type="character" w:styleId="Odwoanieprzypisukocowego">
    <w:name w:val="endnote reference"/>
    <w:basedOn w:val="Domylnaczcionkaakapitu"/>
    <w:uiPriority w:val="99"/>
    <w:semiHidden/>
    <w:unhideWhenUsed/>
    <w:rsid w:val="00E06D46"/>
    <w:rPr>
      <w:vertAlign w:val="superscript"/>
    </w:rPr>
  </w:style>
  <w:style w:type="table" w:customStyle="1" w:styleId="Tabela-Siatka1">
    <w:name w:val="Tabela - Siatka1"/>
    <w:basedOn w:val="Standardowy"/>
    <w:uiPriority w:val="59"/>
    <w:rsid w:val="00E06D46"/>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4970">
      <w:bodyDiv w:val="1"/>
      <w:marLeft w:val="0"/>
      <w:marRight w:val="0"/>
      <w:marTop w:val="0"/>
      <w:marBottom w:val="0"/>
      <w:divBdr>
        <w:top w:val="none" w:sz="0" w:space="0" w:color="auto"/>
        <w:left w:val="none" w:sz="0" w:space="0" w:color="auto"/>
        <w:bottom w:val="none" w:sz="0" w:space="0" w:color="auto"/>
        <w:right w:val="none" w:sz="0" w:space="0" w:color="auto"/>
      </w:divBdr>
    </w:div>
    <w:div w:id="585379373">
      <w:bodyDiv w:val="1"/>
      <w:marLeft w:val="0"/>
      <w:marRight w:val="0"/>
      <w:marTop w:val="0"/>
      <w:marBottom w:val="0"/>
      <w:divBdr>
        <w:top w:val="none" w:sz="0" w:space="0" w:color="auto"/>
        <w:left w:val="none" w:sz="0" w:space="0" w:color="auto"/>
        <w:bottom w:val="none" w:sz="0" w:space="0" w:color="auto"/>
        <w:right w:val="none" w:sz="0" w:space="0" w:color="auto"/>
      </w:divBdr>
    </w:div>
    <w:div w:id="87026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tooq.pl/" TargetMode="External"/><Relationship Id="rId18" Type="http://schemas.openxmlformats.org/officeDocument/2006/relationships/hyperlink" Target="http://www.analizy-rynkowe.pl" TargetMode="External"/><Relationship Id="rId26" Type="http://schemas.openxmlformats.org/officeDocument/2006/relationships/hyperlink" Target="http://www.analizy-rynkowe.pl" TargetMode="External"/><Relationship Id="rId39" Type="http://schemas.openxmlformats.org/officeDocument/2006/relationships/hyperlink" Target="http://www.analizy-rynkowe.pl" TargetMode="External"/><Relationship Id="rId3" Type="http://schemas.openxmlformats.org/officeDocument/2006/relationships/styles" Target="styles.xml"/><Relationship Id="rId21" Type="http://schemas.openxmlformats.org/officeDocument/2006/relationships/hyperlink" Target="http://www.analizy-rynkowe.pl" TargetMode="External"/><Relationship Id="rId34" Type="http://schemas.openxmlformats.org/officeDocument/2006/relationships/hyperlink" Target="http://www.analizy-rynkowe.pl" TargetMode="External"/><Relationship Id="rId42" Type="http://schemas.openxmlformats.org/officeDocument/2006/relationships/hyperlink" Target="http://www.analizy-rynkowe.pl" TargetMode="External"/><Relationship Id="rId7" Type="http://schemas.openxmlformats.org/officeDocument/2006/relationships/image" Target="media/image1.gif"/><Relationship Id="rId12" Type="http://schemas.openxmlformats.org/officeDocument/2006/relationships/hyperlink" Target="http://analizy-rynkowe.pl/rozpoczynam-kolejny-eksperyment-tym-razem-bedzie-to-eksperyment-efekt-przelomu-roku/" TargetMode="External"/><Relationship Id="rId17" Type="http://schemas.openxmlformats.org/officeDocument/2006/relationships/hyperlink" Target="http://www.analizy-rynkowe.pl" TargetMode="External"/><Relationship Id="rId25" Type="http://schemas.openxmlformats.org/officeDocument/2006/relationships/hyperlink" Target="http://www.analizy-rynkowe.pl" TargetMode="External"/><Relationship Id="rId33" Type="http://schemas.openxmlformats.org/officeDocument/2006/relationships/hyperlink" Target="http://www.analizy-rynkowe.pl" TargetMode="External"/><Relationship Id="rId38" Type="http://schemas.openxmlformats.org/officeDocument/2006/relationships/hyperlink" Target="http://www.analizy-rynkowe.pl" TargetMode="External"/><Relationship Id="rId2" Type="http://schemas.openxmlformats.org/officeDocument/2006/relationships/numbering" Target="numbering.xml"/><Relationship Id="rId16" Type="http://schemas.openxmlformats.org/officeDocument/2006/relationships/hyperlink" Target="http://www.analizy-rynkowe.pl" TargetMode="External"/><Relationship Id="rId20" Type="http://schemas.openxmlformats.org/officeDocument/2006/relationships/hyperlink" Target="http://www.analizy-rynkowe.pl" TargetMode="External"/><Relationship Id="rId29" Type="http://schemas.openxmlformats.org/officeDocument/2006/relationships/hyperlink" Target="http://www.analizy-rynkowe.pl" TargetMode="External"/><Relationship Id="rId41" Type="http://schemas.openxmlformats.org/officeDocument/2006/relationships/hyperlink" Target="http://www.analizy-rynkowe.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alizy-rynkowe.pl/" TargetMode="External"/><Relationship Id="rId24" Type="http://schemas.openxmlformats.org/officeDocument/2006/relationships/hyperlink" Target="http://www.analizy-rynkowe.pl" TargetMode="External"/><Relationship Id="rId32" Type="http://schemas.openxmlformats.org/officeDocument/2006/relationships/hyperlink" Target="http://www.analizy-rynkowe.pl" TargetMode="External"/><Relationship Id="rId37" Type="http://schemas.openxmlformats.org/officeDocument/2006/relationships/hyperlink" Target="http://www.analizy-rynkowe.pl" TargetMode="External"/><Relationship Id="rId40" Type="http://schemas.openxmlformats.org/officeDocument/2006/relationships/hyperlink" Target="http://analizy-rynkowe.pl/" TargetMode="External"/><Relationship Id="rId5" Type="http://schemas.openxmlformats.org/officeDocument/2006/relationships/settings" Target="settings.xml"/><Relationship Id="rId15" Type="http://schemas.openxmlformats.org/officeDocument/2006/relationships/hyperlink" Target="http://analizy-rynkowe.pl/" TargetMode="External"/><Relationship Id="rId23" Type="http://schemas.openxmlformats.org/officeDocument/2006/relationships/hyperlink" Target="http://www.analizy-rynkowe.pl" TargetMode="External"/><Relationship Id="rId28" Type="http://schemas.openxmlformats.org/officeDocument/2006/relationships/hyperlink" Target="http://www.analizy-rynkowe.pl" TargetMode="External"/><Relationship Id="rId36" Type="http://schemas.openxmlformats.org/officeDocument/2006/relationships/hyperlink" Target="http://www.analizy-rynkowe.pl" TargetMode="External"/><Relationship Id="rId10" Type="http://schemas.openxmlformats.org/officeDocument/2006/relationships/image" Target="media/image4.gif"/><Relationship Id="rId19" Type="http://schemas.openxmlformats.org/officeDocument/2006/relationships/hyperlink" Target="http://www.analizy-rynkowe.pl" TargetMode="External"/><Relationship Id="rId31" Type="http://schemas.openxmlformats.org/officeDocument/2006/relationships/hyperlink" Target="http://www.analizy-rynkowe.p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gif"/><Relationship Id="rId14" Type="http://schemas.openxmlformats.org/officeDocument/2006/relationships/image" Target="media/image5.gif"/><Relationship Id="rId22" Type="http://schemas.openxmlformats.org/officeDocument/2006/relationships/hyperlink" Target="http://www.analizy-rynkowe.pl" TargetMode="External"/><Relationship Id="rId27" Type="http://schemas.openxmlformats.org/officeDocument/2006/relationships/hyperlink" Target="http://analizy-rynkowe.pl/" TargetMode="External"/><Relationship Id="rId30" Type="http://schemas.openxmlformats.org/officeDocument/2006/relationships/hyperlink" Target="http://www.analizy-rynkowe.pl" TargetMode="External"/><Relationship Id="rId35" Type="http://schemas.openxmlformats.org/officeDocument/2006/relationships/hyperlink" Target="http://www.analizy-rynkowe.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F1D1B-F4D0-42C2-9BBB-57AFB868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4378</Words>
  <Characters>26274</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2</cp:revision>
  <dcterms:created xsi:type="dcterms:W3CDTF">2016-01-03T11:57:00Z</dcterms:created>
  <dcterms:modified xsi:type="dcterms:W3CDTF">2016-01-03T11:57:00Z</dcterms:modified>
</cp:coreProperties>
</file>