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372DA2" w:rsidRDefault="00372DA2" w:rsidP="00372DA2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372DA2" w:rsidRDefault="00372DA2" w:rsidP="00372DA2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372DA2" w:rsidRDefault="00372DA2" w:rsidP="00372DA2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372DA2" w:rsidRDefault="00372DA2" w:rsidP="00372DA2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372DA2" w:rsidRDefault="00372DA2" w:rsidP="00372DA2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372DA2" w:rsidRDefault="00372DA2" w:rsidP="00372DA2">
      <w:pPr>
        <w:spacing w:after="0" w:line="240" w:lineRule="auto"/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372DA2" w:rsidRDefault="00372DA2" w:rsidP="00372DA2">
      <w:pPr>
        <w:spacing w:after="0" w:line="240" w:lineRule="auto"/>
        <w:jc w:val="center"/>
        <w:rPr>
          <w:rFonts w:eastAsiaTheme="minorEastAsia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2DA2" w:rsidRDefault="00372DA2" w:rsidP="00372DA2">
      <w:pPr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372DA2" w:rsidRDefault="00372DA2" w:rsidP="00372DA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2DA2" w:rsidRDefault="00372DA2" w:rsidP="00372DA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1 lutego 2016 roku</w:t>
      </w:r>
    </w:p>
    <w:p w:rsidR="00372DA2" w:rsidRDefault="00372DA2" w:rsidP="003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USD/PLN – perspektywa długoterminowa, kurs z 29 stycznia 2016 roku = 4,0800</w:t>
      </w:r>
    </w:p>
    <w:p w:rsidR="00372DA2" w:rsidRDefault="00372DA2" w:rsidP="00372DA2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64BD1F4B" wp14:editId="46665EE1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DA2" w:rsidRDefault="00372DA2" w:rsidP="00372DA2">
      <w:pPr>
        <w:spacing w:after="0" w:line="240" w:lineRule="auto"/>
        <w:jc w:val="both"/>
        <w:rPr>
          <w:rFonts w:eastAsiaTheme="minorEastAsia"/>
          <w:b/>
          <w:color w:val="FF0000"/>
          <w:lang w:eastAsia="pl-PL"/>
        </w:rPr>
      </w:pPr>
      <w:r>
        <w:rPr>
          <w:rFonts w:eastAsiaTheme="minorEastAsia"/>
          <w:lang w:eastAsia="pl-PL"/>
        </w:rPr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Theme="minorEastAsia"/>
          <w:b/>
          <w:color w:val="FF0000"/>
          <w:lang w:eastAsia="pl-PL"/>
        </w:rPr>
        <w:t xml:space="preserve">do 4,4252 zł. </w:t>
      </w:r>
    </w:p>
    <w:p w:rsidR="00372DA2" w:rsidRDefault="00372DA2" w:rsidP="003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EUR/PLN – perspektywa średniookresowa, kurs z 29 stycznia 2016 roku = 4,4199</w:t>
      </w:r>
    </w:p>
    <w:p w:rsidR="00372DA2" w:rsidRDefault="00372DA2" w:rsidP="00372DA2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6052C763" wp14:editId="62B7FF26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79A" w:rsidRDefault="00372DA2" w:rsidP="00372DA2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  <w:r>
        <w:rPr>
          <w:rFonts w:eastAsiaTheme="minorEastAsia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>
        <w:rPr>
          <w:rFonts w:eastAsiaTheme="minorEastAsia"/>
          <w:color w:val="000000" w:themeColor="text1"/>
          <w:lang w:eastAsia="pl-PL"/>
        </w:rPr>
        <w:t xml:space="preserve">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Theme="minorEastAsia"/>
          <w:b/>
          <w:color w:val="FF0000"/>
          <w:lang w:eastAsia="pl-PL"/>
        </w:rPr>
        <w:t>4,5644</w:t>
      </w:r>
      <w:r>
        <w:rPr>
          <w:rFonts w:eastAsiaTheme="minorEastAsia"/>
          <w:color w:val="FF0000"/>
          <w:lang w:eastAsia="pl-PL"/>
        </w:rPr>
        <w:t xml:space="preserve"> </w:t>
      </w:r>
      <w:r>
        <w:rPr>
          <w:rFonts w:eastAsiaTheme="minorEastAsia"/>
          <w:color w:val="000000" w:themeColor="text1"/>
          <w:lang w:eastAsia="pl-PL"/>
        </w:rPr>
        <w:t xml:space="preserve">(szczyt z 13 grudnia 2011 roku). </w:t>
      </w:r>
    </w:p>
    <w:p w:rsidR="00372DA2" w:rsidRPr="00A27612" w:rsidRDefault="00372DA2" w:rsidP="00372DA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A27612">
        <w:rPr>
          <w:sz w:val="26"/>
          <w:szCs w:val="26"/>
        </w:rPr>
        <w:lastRenderedPageBreak/>
        <w:t>Popyt na polskie akcje odżył</w:t>
      </w:r>
    </w:p>
    <w:p w:rsidR="00372DA2" w:rsidRDefault="00372DA2" w:rsidP="00372DA2">
      <w:pPr>
        <w:pStyle w:val="Bezodstpw"/>
        <w:jc w:val="center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Popyt na polskie akcje w poprzednim tygodniu zwiększył się. W rezultacie indeks WIG20 zyskał na wartości 3,1 % a WIG wzrósł o 2,9 %. </w:t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Pr="00EB61D1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Poprawa sytuacji na giełdzie warszawskiej miała swoje źródło </w:t>
      </w:r>
      <w:r w:rsidRPr="00EB61D1">
        <w:rPr>
          <w:b/>
          <w:sz w:val="26"/>
          <w:szCs w:val="26"/>
          <w:u w:val="single"/>
        </w:rPr>
        <w:t xml:space="preserve">w poprawie sytuacji na zagranicznych rynkach akcji. </w:t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Nadzieje związane z pojawieniem się oczekiwań na kontynuowanie ilościowego luzowania polityki pieniężnej doprowadziły do wzrostu popytu na akcje na największych rynkach akcji: w USA, Japonii, czy też na przykład w Niemczech. </w:t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wykresie indeksu amerykańskiego S&amp;P500 można dostrzec uaktywnienie strony popytowej w pobliżu ważnego wsparcia. </w:t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  <w:r w:rsidRPr="00A27612">
        <w:rPr>
          <w:b/>
          <w:sz w:val="26"/>
          <w:szCs w:val="26"/>
          <w:u w:val="single"/>
        </w:rPr>
        <w:t>S&amp;P 500</w:t>
      </w:r>
    </w:p>
    <w:p w:rsidR="00372DA2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</w:p>
    <w:p w:rsidR="00372DA2" w:rsidRPr="00A27612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1E5C90C2" wp14:editId="602A13C7">
            <wp:extent cx="5419725" cy="32575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Warto zauważyć, że do wzrostów na giełdzie nowojorskiej doszło w sytuacji, gdy pojawiły się szanse na łagodzenie polityki pieniężnej w strefie euro i w Japonii.</w:t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czym to może </w:t>
      </w:r>
      <w:proofErr w:type="gramStart"/>
      <w:r>
        <w:rPr>
          <w:sz w:val="26"/>
          <w:szCs w:val="26"/>
        </w:rPr>
        <w:t xml:space="preserve">świadczyć ? </w:t>
      </w:r>
      <w:proofErr w:type="gramEnd"/>
      <w:r>
        <w:rPr>
          <w:sz w:val="26"/>
          <w:szCs w:val="26"/>
        </w:rPr>
        <w:t xml:space="preserve">Moim zdaniem m.in. o tym, że istotną rolę w kształtowaniu sytuacji na światowych rynkach akcji odgrywa nie tylko amerykański bank centralny, lecz także banki: ze strefy euro i Japonii. </w:t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Pr="00761A90" w:rsidRDefault="00372DA2" w:rsidP="00372DA2">
      <w:pPr>
        <w:pStyle w:val="Bezodstpw"/>
        <w:jc w:val="both"/>
        <w:rPr>
          <w:sz w:val="26"/>
          <w:szCs w:val="26"/>
        </w:rPr>
      </w:pPr>
      <w:r>
        <w:t xml:space="preserve">Oczywiście roli polityki amerykańskiej nie należy lekceważyć. Warto przy okazji zauważyć, że nowo wybrany członek Rady Polityki Pieniężnej prof. Eryk Łon z Uniwersytetu Ekonomicznego w Poznaniu </w:t>
      </w:r>
      <w:r w:rsidRPr="00761A90">
        <w:rPr>
          <w:sz w:val="26"/>
          <w:szCs w:val="26"/>
        </w:rPr>
        <w:lastRenderedPageBreak/>
        <w:t xml:space="preserve">jest autorem książki </w:t>
      </w:r>
      <w:proofErr w:type="gramStart"/>
      <w:r w:rsidRPr="00761A90">
        <w:rPr>
          <w:sz w:val="26"/>
          <w:szCs w:val="26"/>
        </w:rPr>
        <w:t>,,</w:t>
      </w:r>
      <w:proofErr w:type="gramEnd"/>
      <w:r w:rsidRPr="00761A90">
        <w:rPr>
          <w:sz w:val="26"/>
          <w:szCs w:val="26"/>
        </w:rPr>
        <w:t>Powiązania amerykańskiej polityki budżetowej i pieniężnej z sytuacją na dojrzałych i wschodzących rynkach akcji, Wydawnictwo SIN, Sopot 2011”.</w:t>
      </w:r>
    </w:p>
    <w:p w:rsidR="00372DA2" w:rsidRPr="00761A90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  <w:hyperlink r:id="rId9" w:history="1">
        <w:r w:rsidRPr="005355D7">
          <w:rPr>
            <w:rStyle w:val="Hipercze"/>
            <w:sz w:val="26"/>
            <w:szCs w:val="26"/>
          </w:rPr>
          <w:t>http://ue.poznan.pl/pl/uniwersytet,c13/wydzialy,c18/wydzial-ekonomii,c19/katedra-finansow-publicznych,c2955/kadra,c2957/pracownicy-naukowo-dydaktyczni,c2965/dr-hab-eryk-lon-prof-nadzw-uep,a21074.html</w:t>
        </w:r>
      </w:hyperlink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Teraz przejdźmy do wykresu indeksu japońskiego NIKKEI225. </w:t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  <w:r w:rsidRPr="00761A90">
        <w:rPr>
          <w:b/>
          <w:sz w:val="26"/>
          <w:szCs w:val="26"/>
          <w:u w:val="single"/>
        </w:rPr>
        <w:t>NIKKEI225</w:t>
      </w:r>
    </w:p>
    <w:p w:rsidR="00372DA2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</w:p>
    <w:p w:rsidR="00372DA2" w:rsidRPr="00761A90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4945A710" wp14:editId="1026EEA0">
            <wp:extent cx="5429250" cy="3257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Czy dojdzie do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spalenia” formacji podwójnego szczytu </w:t>
      </w:r>
    </w:p>
    <w:p w:rsidR="00372DA2" w:rsidRPr="00761A90" w:rsidRDefault="00372DA2" w:rsidP="00372DA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proofErr w:type="gramStart"/>
      <w:r>
        <w:rPr>
          <w:sz w:val="26"/>
          <w:szCs w:val="26"/>
        </w:rPr>
        <w:t>wykresach:  S</w:t>
      </w:r>
      <w:proofErr w:type="gramEnd"/>
      <w:r>
        <w:rPr>
          <w:sz w:val="26"/>
          <w:szCs w:val="26"/>
        </w:rPr>
        <w:t>&amp;P500 oraz NIKKEI225 ?</w:t>
      </w:r>
    </w:p>
    <w:p w:rsidR="00372DA2" w:rsidRDefault="00372DA2" w:rsidP="00372DA2">
      <w:pPr>
        <w:pStyle w:val="Bezodstpw"/>
        <w:jc w:val="center"/>
        <w:rPr>
          <w:sz w:val="26"/>
          <w:szCs w:val="26"/>
        </w:rPr>
      </w:pPr>
    </w:p>
    <w:p w:rsidR="00372DA2" w:rsidRPr="00DF0BCB" w:rsidRDefault="00372DA2" w:rsidP="00372DA2">
      <w:pPr>
        <w:pStyle w:val="Bezodstpw"/>
        <w:jc w:val="both"/>
        <w:rPr>
          <w:sz w:val="26"/>
          <w:szCs w:val="26"/>
        </w:rPr>
      </w:pPr>
      <w:r w:rsidRPr="00DF0BCB">
        <w:rPr>
          <w:sz w:val="26"/>
          <w:szCs w:val="26"/>
        </w:rPr>
        <w:t>Jednymi z najbardziej popularnych formacji zmiany trendu są: formacja podwójnego dna oraz formacja podwójnego szczytu. Minimalnym zadaniem formacji podwójnego dna jest jej wypełnienie się. Także wypełnienie się jest minimalnym zadaniem formacji podwójnego szczytu.</w:t>
      </w:r>
    </w:p>
    <w:p w:rsidR="00372DA2" w:rsidRPr="00DF0BCB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Pr="00DF0BCB" w:rsidRDefault="00372DA2" w:rsidP="00372DA2">
      <w:pPr>
        <w:pStyle w:val="Bezodstpw"/>
        <w:jc w:val="both"/>
        <w:rPr>
          <w:sz w:val="26"/>
          <w:szCs w:val="26"/>
        </w:rPr>
      </w:pPr>
      <w:r w:rsidRPr="00DF0BCB">
        <w:rPr>
          <w:sz w:val="26"/>
          <w:szCs w:val="26"/>
        </w:rPr>
        <w:t>Maksymalnym zadaniem formacji podwójnego dna jest zmiana trendu spadkowego na wzrostowy. Maksymalnym zadaniem formacji podwójnego szczytu jest z kolei zmiana trendu ze wzrostowego na spadkowy.</w:t>
      </w:r>
    </w:p>
    <w:p w:rsidR="00372DA2" w:rsidRPr="00DF0BCB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Pr="00DF0BCB" w:rsidRDefault="00372DA2" w:rsidP="00372DA2">
      <w:pPr>
        <w:pStyle w:val="Bezodstpw"/>
        <w:jc w:val="both"/>
        <w:rPr>
          <w:sz w:val="26"/>
          <w:szCs w:val="26"/>
        </w:rPr>
      </w:pPr>
      <w:r w:rsidRPr="00DF0BCB">
        <w:rPr>
          <w:sz w:val="26"/>
          <w:szCs w:val="26"/>
        </w:rPr>
        <w:t xml:space="preserve">Obie formacje mogą się </w:t>
      </w:r>
      <w:proofErr w:type="gramStart"/>
      <w:r w:rsidRPr="00DF0BCB">
        <w:rPr>
          <w:sz w:val="26"/>
          <w:szCs w:val="26"/>
        </w:rPr>
        <w:t>,,</w:t>
      </w:r>
      <w:proofErr w:type="gramEnd"/>
      <w:r w:rsidRPr="00DF0BCB">
        <w:rPr>
          <w:sz w:val="26"/>
          <w:szCs w:val="26"/>
        </w:rPr>
        <w:t>spalić”</w:t>
      </w:r>
      <w:r>
        <w:rPr>
          <w:sz w:val="26"/>
          <w:szCs w:val="26"/>
        </w:rPr>
        <w:t xml:space="preserve">. Wspomina o tym w swych publikacjach Thomas Bulkowski, który jest autorem różnych książek poświęconych metodom analizy rynku akcji. </w:t>
      </w:r>
    </w:p>
    <w:p w:rsidR="00372DA2" w:rsidRPr="00DF0BCB" w:rsidRDefault="00372DA2" w:rsidP="00372DA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Bulkowski wskazuje, że z</w:t>
      </w:r>
      <w:r w:rsidRPr="00DF0BCB">
        <w:rPr>
          <w:sz w:val="26"/>
          <w:szCs w:val="26"/>
        </w:rPr>
        <w:t xml:space="preserve">darza się czasem, że kurs po wybiciu z formacji podwójnego dna początkowo rośnie, ale wkrótce zaczyna spadać. Kiedy spadnie poniżej poziomu niższego dołka tej formacji mamy do czynienia z tak zwanym </w:t>
      </w:r>
      <w:proofErr w:type="gramStart"/>
      <w:r w:rsidRPr="00DF0BCB">
        <w:rPr>
          <w:sz w:val="26"/>
          <w:szCs w:val="26"/>
        </w:rPr>
        <w:t>,,</w:t>
      </w:r>
      <w:proofErr w:type="gramEnd"/>
      <w:r w:rsidRPr="00DF0BCB">
        <w:rPr>
          <w:sz w:val="26"/>
          <w:szCs w:val="26"/>
        </w:rPr>
        <w:t>spaleniem” formacji podwójnego dna. Powstaje wówczas bardzo silny sygnał sprzedaży.</w:t>
      </w:r>
    </w:p>
    <w:p w:rsidR="00372DA2" w:rsidRPr="00DF0BCB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  <w:r w:rsidRPr="00DF0BCB">
        <w:rPr>
          <w:sz w:val="26"/>
          <w:szCs w:val="26"/>
        </w:rPr>
        <w:t xml:space="preserve">Zdarza się także niekiedy, że kurs po wybiciu z formacji podwójnego szczytu początkowo spada, ale wkrótce zaczyna rosnąć. </w:t>
      </w:r>
      <w:r w:rsidRPr="00EB61D1">
        <w:rPr>
          <w:b/>
          <w:sz w:val="26"/>
          <w:szCs w:val="26"/>
          <w:u w:val="single"/>
        </w:rPr>
        <w:t>Kiedy</w:t>
      </w:r>
      <w:r w:rsidRPr="00DF0BCB">
        <w:rPr>
          <w:sz w:val="26"/>
          <w:szCs w:val="26"/>
        </w:rPr>
        <w:t xml:space="preserve"> wzrośnie powyżej poziomu wyższego szczytu tej formacji mamy do czynienia z tak </w:t>
      </w:r>
      <w:proofErr w:type="gramStart"/>
      <w:r w:rsidRPr="00DF0BCB">
        <w:rPr>
          <w:sz w:val="26"/>
          <w:szCs w:val="26"/>
        </w:rPr>
        <w:t>zwanym  ,,spaleniem</w:t>
      </w:r>
      <w:proofErr w:type="gramEnd"/>
      <w:r w:rsidRPr="00DF0BCB">
        <w:rPr>
          <w:sz w:val="26"/>
          <w:szCs w:val="26"/>
        </w:rPr>
        <w:t xml:space="preserve">” formacji podwójnego szczytu. Powstaje wówczas </w:t>
      </w:r>
      <w:r w:rsidRPr="00EB61D1">
        <w:rPr>
          <w:b/>
          <w:sz w:val="26"/>
          <w:szCs w:val="26"/>
          <w:u w:val="single"/>
        </w:rPr>
        <w:t>bardzo silny sygnał kupna.</w:t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Pr="00EB61D1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Zarówno w przypadku indeksu S&amp;P500 jak również indeksu NIKKEI225 </w:t>
      </w:r>
      <w:r w:rsidRPr="00EB61D1">
        <w:rPr>
          <w:b/>
          <w:sz w:val="26"/>
          <w:szCs w:val="26"/>
          <w:u w:val="single"/>
        </w:rPr>
        <w:t xml:space="preserve">może dojść do </w:t>
      </w:r>
      <w:proofErr w:type="gramStart"/>
      <w:r w:rsidRPr="00EB61D1">
        <w:rPr>
          <w:b/>
          <w:sz w:val="26"/>
          <w:szCs w:val="26"/>
          <w:u w:val="single"/>
        </w:rPr>
        <w:t>,,</w:t>
      </w:r>
      <w:proofErr w:type="gramEnd"/>
      <w:r w:rsidRPr="00EB61D1">
        <w:rPr>
          <w:b/>
          <w:sz w:val="26"/>
          <w:szCs w:val="26"/>
          <w:u w:val="single"/>
        </w:rPr>
        <w:t xml:space="preserve">spalenia” formacji podwójnego szczytu. </w:t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  <w:r w:rsidRPr="00DF0BCB">
        <w:rPr>
          <w:b/>
          <w:sz w:val="26"/>
          <w:szCs w:val="26"/>
          <w:u w:val="single"/>
        </w:rPr>
        <w:t xml:space="preserve">S&amp;P500 </w:t>
      </w:r>
    </w:p>
    <w:p w:rsidR="00372DA2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</w:p>
    <w:p w:rsidR="00372DA2" w:rsidRPr="00DF0BCB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409D337C" wp14:editId="69CD0133">
            <wp:extent cx="3629025" cy="21812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Pr="00DF0BCB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  <w:r w:rsidRPr="00DF0BCB">
        <w:rPr>
          <w:b/>
          <w:sz w:val="26"/>
          <w:szCs w:val="26"/>
          <w:u w:val="single"/>
        </w:rPr>
        <w:t>NIKKEI225</w:t>
      </w:r>
    </w:p>
    <w:p w:rsidR="00372DA2" w:rsidRDefault="00372DA2" w:rsidP="00372DA2">
      <w:pPr>
        <w:jc w:val="both"/>
        <w:rPr>
          <w:sz w:val="26"/>
          <w:szCs w:val="26"/>
        </w:rPr>
      </w:pPr>
    </w:p>
    <w:p w:rsidR="00372DA2" w:rsidRDefault="00372DA2" w:rsidP="00372DA2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8B3E39B" wp14:editId="282FA899">
            <wp:extent cx="3629025" cy="21812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DA2" w:rsidRPr="00EB61D1" w:rsidRDefault="00372DA2" w:rsidP="00372DA2">
      <w:pPr>
        <w:pStyle w:val="Bezodstpw"/>
        <w:jc w:val="both"/>
        <w:rPr>
          <w:b/>
          <w:sz w:val="26"/>
          <w:szCs w:val="26"/>
          <w:u w:val="single"/>
        </w:rPr>
      </w:pPr>
      <w:r w:rsidRPr="00EB1142">
        <w:rPr>
          <w:sz w:val="26"/>
          <w:szCs w:val="26"/>
        </w:rPr>
        <w:t xml:space="preserve">Do </w:t>
      </w:r>
      <w:proofErr w:type="gramStart"/>
      <w:r w:rsidRPr="00EB1142">
        <w:rPr>
          <w:sz w:val="26"/>
          <w:szCs w:val="26"/>
        </w:rPr>
        <w:t>,,</w:t>
      </w:r>
      <w:proofErr w:type="gramEnd"/>
      <w:r w:rsidRPr="00EB1142">
        <w:rPr>
          <w:sz w:val="26"/>
          <w:szCs w:val="26"/>
        </w:rPr>
        <w:t>spalenia” formacji podwójnego szczytu doszłoby wów</w:t>
      </w:r>
      <w:r>
        <w:rPr>
          <w:sz w:val="26"/>
          <w:szCs w:val="26"/>
        </w:rPr>
        <w:t xml:space="preserve">czas, gdyby na wykresie indeksów osiągnięty został </w:t>
      </w:r>
      <w:r w:rsidRPr="00EB61D1">
        <w:rPr>
          <w:b/>
          <w:sz w:val="26"/>
          <w:szCs w:val="26"/>
          <w:u w:val="single"/>
        </w:rPr>
        <w:t xml:space="preserve">poziom wyższego szczytu. </w:t>
      </w:r>
    </w:p>
    <w:p w:rsidR="00372DA2" w:rsidRDefault="00372DA2" w:rsidP="00372DA2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  <w:lang w:eastAsia="pl-PL"/>
        </w:rPr>
      </w:pPr>
      <w:r>
        <w:rPr>
          <w:rFonts w:eastAsia="Times New Roman" w:cs="Times New Roman"/>
          <w:b/>
          <w:sz w:val="100"/>
          <w:szCs w:val="100"/>
          <w:lang w:eastAsia="pl-PL"/>
        </w:rPr>
        <w:lastRenderedPageBreak/>
        <w:t xml:space="preserve">Ile wynosiła średnia procentowa zmiana kursu akcji spółki po wprowadzeniu jej do rubryki </w:t>
      </w:r>
      <w:proofErr w:type="gramStart"/>
      <w:r>
        <w:rPr>
          <w:rFonts w:eastAsia="Times New Roman" w:cs="Times New Roman"/>
          <w:b/>
          <w:sz w:val="100"/>
          <w:szCs w:val="100"/>
          <w:lang w:eastAsia="pl-PL"/>
        </w:rPr>
        <w:t>,,</w:t>
      </w:r>
      <w:proofErr w:type="gramEnd"/>
      <w:r>
        <w:rPr>
          <w:rFonts w:eastAsia="Times New Roman" w:cs="Times New Roman"/>
          <w:b/>
          <w:sz w:val="100"/>
          <w:szCs w:val="100"/>
          <w:lang w:eastAsia="pl-PL"/>
        </w:rPr>
        <w:t>Wykres do przemyślenia” w okresie 12 pierwszych miesięcy po jej wprowadzeniu do tej rubryki ?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29 stycznia 2016 roku</w:t>
      </w:r>
    </w:p>
    <w:p w:rsidR="00372DA2" w:rsidRDefault="00372DA2" w:rsidP="00372DA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lastRenderedPageBreak/>
        <w:t xml:space="preserve">Wprowadzenie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Strona internetowa </w:t>
      </w:r>
      <w:hyperlink r:id="rId13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http://analizy-rynkowe.pl/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prowadzona jest od września 2014 roku.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Co tydzień publikowany jest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>Raport Tygodniowy”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czasu do czasu umieszczam wybrane spółki w rubryce </w:t>
      </w:r>
      <w:proofErr w:type="gramStart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Wykres do przemyślenia”.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Umieszczane są tam te przykładowe spółki, których kurs </w:t>
      </w:r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wybił się z formacji podwójnego dna.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Formacja podwójnego dna ma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2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 xml:space="preserve">zadania”.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Podstawowym, minimalnym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jej wypełnienie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Drugim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doprowadzenie do zmiany trendu ze spadkowego na wzrostowy.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Osobiście wyróżniam </w:t>
      </w:r>
      <w:r>
        <w:rPr>
          <w:rFonts w:eastAsia="Times New Roman" w:cs="Times New Roman"/>
          <w:b/>
          <w:sz w:val="26"/>
          <w:szCs w:val="26"/>
          <w:lang w:eastAsia="pl-PL"/>
        </w:rPr>
        <w:t>typowe oraz nietypowe podwójne dno.</w:t>
      </w:r>
      <w:r>
        <w:rPr>
          <w:rFonts w:eastAsia="Times New Roman" w:cs="Times New Roman"/>
          <w:sz w:val="26"/>
          <w:szCs w:val="26"/>
          <w:lang w:eastAsia="pl-PL"/>
        </w:rPr>
        <w:t xml:space="preserve">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Typowa formacja podwójnego dna charakteryzuje się tym, że dołki w formacji kształtują się na poziomie identycznym, bądź prawie identycznym.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Natomiast w przypadku nietypowej formacji podwójnego dna kształtują się one na poziomie zupełnie odmiennym.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pierwszego numeru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postanowiłem, że będę </w:t>
      </w:r>
      <w:r>
        <w:rPr>
          <w:rFonts w:eastAsia="Times New Roman" w:cs="Times New Roman"/>
          <w:b/>
          <w:sz w:val="26"/>
          <w:szCs w:val="26"/>
          <w:lang w:eastAsia="pl-PL"/>
        </w:rPr>
        <w:t>porównywał</w:t>
      </w:r>
      <w:r>
        <w:rPr>
          <w:rFonts w:eastAsia="Times New Roman" w:cs="Times New Roman"/>
          <w:sz w:val="26"/>
          <w:szCs w:val="26"/>
          <w:lang w:eastAsia="pl-PL"/>
        </w:rPr>
        <w:t xml:space="preserve"> zachowanie kursu akcji spółki po wprowadzeniu jej do rubryki ,,Wykres do przemyślenia”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z zachowaniem indeksu WIG20.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Mam świadomość, że podejście to może budzić kontrowersje, sprzeciw. Dobrze. Tak być musi.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Postanowiłem odpowiedzieć na pytanie: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W związku z powyższym postanowiłem odpowiedzieć </w:t>
      </w:r>
      <w:r>
        <w:rPr>
          <w:rFonts w:eastAsia="Times New Roman" w:cs="Times New Roman"/>
          <w:b/>
          <w:sz w:val="26"/>
          <w:szCs w:val="26"/>
          <w:lang w:eastAsia="pl-PL"/>
        </w:rPr>
        <w:t>także</w:t>
      </w:r>
      <w:r>
        <w:rPr>
          <w:rFonts w:eastAsia="Times New Roman" w:cs="Times New Roman"/>
          <w:sz w:val="26"/>
          <w:szCs w:val="26"/>
          <w:lang w:eastAsia="pl-PL"/>
        </w:rPr>
        <w:t xml:space="preserve"> na pytanie: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>Ile wynosiła średnia procentowa zmiana indeksu WIG 20 w tym okresie ?”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Odpowiedź na te pytania przedstawiłem w tabeli na następnej stronie.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+15,2 %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+11,3 %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+55,4 %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+58,1 %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+35,0 %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 -15,5 %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drugim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-20,8 %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-20,8 %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-12,5 %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16 września na stronie internetowej </w:t>
      </w:r>
      <w:hyperlink r:id="rId14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15 września do 15 września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24,2 %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24,2 %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-12,2 %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trzecim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2,3 %</w:t>
            </w:r>
          </w:p>
        </w:tc>
      </w:tr>
      <w:tr w:rsidR="00372DA2" w:rsidTr="004652CC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2,3 %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-13,2 %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25 września na stronie internetowej </w:t>
      </w:r>
      <w:hyperlink r:id="rId1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24 września 2014 roku do 24 września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+29,7 %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+29,7 %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-15,8 %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trzech spółek, których akcje zostały wymienione w czwartym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+19,9 %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CD</w:t>
            </w:r>
            <w:proofErr w:type="gramEnd"/>
            <w:r>
              <w:rPr>
                <w:rFonts w:eastAsiaTheme="minorEastAsia"/>
                <w:lang w:eastAsia="pl-PL"/>
              </w:rP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+61,5 %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Sygnity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- 49,9 %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+10,5% 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- 15,8 %</w:t>
            </w:r>
          </w:p>
        </w:tc>
      </w:tr>
    </w:tbl>
    <w:p w:rsidR="00372DA2" w:rsidRDefault="00372DA2" w:rsidP="00372DA2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piątym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+13,9 %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+13,9 %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-16,7 %</w:t>
            </w:r>
          </w:p>
        </w:tc>
      </w:tr>
    </w:tbl>
    <w:p w:rsidR="00372DA2" w:rsidRDefault="00372DA2" w:rsidP="00372DA2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szóstym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Tauron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-38,0 %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-38,0 %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-11,6 %</w:t>
            </w:r>
          </w:p>
        </w:tc>
      </w:tr>
    </w:tbl>
    <w:p w:rsidR="00372DA2" w:rsidRDefault="00372DA2" w:rsidP="00372DA2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22 października na stronie internetowej </w:t>
      </w:r>
      <w:hyperlink r:id="rId1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21 października do 19 czerwca 2015 roku do 21 października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Elektrotim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+ 114,5 %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-3,3 %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+ 55,6 %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siódmym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-14,4 %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-14,4 %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-19,8 %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-19,8 %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-16,4 %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1 grudnia 2014 roku w rubryce ,,Wykres do przemyślenia” w okresie od 28 listopada 2014 roku do 27 listopada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+73,6 %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+73,6 %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1 936,05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-19,9 %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 grudnia na stronie internetowej </w:t>
      </w:r>
      <w:hyperlink r:id="rId17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 grudnia 2014 roku do 1 grudnia 2015 roku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-27,8 %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-27,8 %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1 923,94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-20,4 %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lang w:eastAsia="pl-PL"/>
        </w:rPr>
        <w:t>,,</w:t>
      </w:r>
      <w:proofErr w:type="gramEnd"/>
      <w:r>
        <w:rPr>
          <w:rFonts w:eastAsia="Times New Roman" w:cs="Times New Roman"/>
          <w:lang w:eastAsia="pl-PL"/>
        </w:rPr>
        <w:t xml:space="preserve">Raportu Tygodniowego” z 15 grudnia 2014 roku w rubryce ,,Wykres do przemyślenia” w okresie od 12 grudnia 2014 roku do 11 grudnia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Mercor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8,60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+5,7 %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+5,7 %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1 757,37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  25,5 %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30 grudnia 2014 roku do 23 grudnia 2015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114,05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-1,3 %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-1,3 %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1 859,15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-19,7  %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9" w:history="1">
        <w:r>
          <w:rPr>
            <w:rStyle w:val="Hipercze"/>
            <w:rFonts w:eastAsia="Times New Roman" w:cs="Times New Roman"/>
            <w:lang w:eastAsia="pl-PL"/>
          </w:rPr>
          <w:t>www.analizy-rynkowe.</w:t>
        </w:r>
        <w:proofErr w:type="gramStart"/>
        <w:r>
          <w:rPr>
            <w:rStyle w:val="Hipercze"/>
            <w:rFonts w:eastAsia="Times New Roman" w:cs="Times New Roman"/>
            <w:lang w:eastAsia="pl-PL"/>
          </w:rPr>
          <w:t>pl</w:t>
        </w:r>
      </w:hyperlink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0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stycznia 2015 roku do 8 stycznia 2016 roku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-15,0 %0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-15,0 %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1 725,14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</w:pPr>
      <w:r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  <w:lastRenderedPageBreak/>
        <w:t>Wniosek końcowy z powyższych rozważań brzmi następująco:</w:t>
      </w:r>
    </w:p>
    <w:p w:rsidR="00372DA2" w:rsidRDefault="00372DA2" w:rsidP="00372DA2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70"/>
          <w:szCs w:val="70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72"/>
          <w:szCs w:val="72"/>
          <w:u w:val="single"/>
          <w:lang w:eastAsia="pl-PL"/>
        </w:rPr>
      </w:pPr>
      <w:r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  <w:t xml:space="preserve">Średnia procentowa zmiana kursu akcji spółki po wprowadzeniu jej do rubryki </w:t>
      </w:r>
      <w:proofErr w:type="gramStart"/>
      <w:r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,,</w:t>
      </w:r>
      <w:proofErr w:type="gramEnd"/>
      <w:r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Wykres do przemyślenia”</w:t>
      </w:r>
      <w:r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  <w:t xml:space="preserve"> w okresie 12 pierwszych miesięcy po jej wprowadzeniu do tej rubryki wynosiła </w:t>
      </w:r>
      <w:r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plus 13,4 %.</w:t>
      </w:r>
      <w:r>
        <w:rPr>
          <w:rFonts w:ascii="Calibri" w:eastAsia="Times New Roman" w:hAnsi="Calibri" w:cs="Times New Roman"/>
          <w:color w:val="FF0000"/>
          <w:sz w:val="72"/>
          <w:szCs w:val="7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72"/>
          <w:szCs w:val="72"/>
          <w:lang w:eastAsia="pl-PL"/>
        </w:rPr>
        <w:t xml:space="preserve">Średnia procentowa zmiana indeksu </w:t>
      </w:r>
      <w:r>
        <w:rPr>
          <w:rFonts w:ascii="Calibri" w:eastAsia="Times New Roman" w:hAnsi="Calibri" w:cs="Times New Roman"/>
          <w:color w:val="000000" w:themeColor="text1"/>
          <w:sz w:val="72"/>
          <w:szCs w:val="72"/>
          <w:u w:val="single"/>
          <w:lang w:eastAsia="pl-PL"/>
        </w:rPr>
        <w:t xml:space="preserve">WIG20 </w:t>
      </w:r>
      <w:r>
        <w:rPr>
          <w:rFonts w:ascii="Calibri" w:eastAsia="Times New Roman" w:hAnsi="Calibri" w:cs="Times New Roman"/>
          <w:color w:val="000000" w:themeColor="text1"/>
          <w:sz w:val="72"/>
          <w:szCs w:val="72"/>
          <w:lang w:eastAsia="pl-PL"/>
        </w:rPr>
        <w:t xml:space="preserve">w tym okresie wynosiła </w:t>
      </w:r>
      <w:r>
        <w:rPr>
          <w:rFonts w:ascii="Calibri" w:eastAsia="Times New Roman" w:hAnsi="Calibri" w:cs="Times New Roman"/>
          <w:b/>
          <w:color w:val="000000" w:themeColor="text1"/>
          <w:sz w:val="72"/>
          <w:szCs w:val="72"/>
          <w:u w:val="single"/>
          <w:lang w:eastAsia="pl-PL"/>
        </w:rPr>
        <w:t xml:space="preserve">minus 16,4 %. </w:t>
      </w:r>
    </w:p>
    <w:p w:rsidR="00372DA2" w:rsidRDefault="00372DA2" w:rsidP="00372DA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44"/>
          <w:szCs w:val="44"/>
          <w:u w:val="single"/>
          <w:lang w:eastAsia="pl-PL"/>
        </w:rPr>
      </w:pPr>
    </w:p>
    <w:p w:rsidR="00372DA2" w:rsidRDefault="00372DA2" w:rsidP="00372DA2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96"/>
          <w:szCs w:val="96"/>
          <w:lang w:eastAsia="pl-PL"/>
        </w:rPr>
      </w:pPr>
      <w:r>
        <w:rPr>
          <w:rFonts w:eastAsia="Times New Roman" w:cs="Times New Roman"/>
          <w:b/>
          <w:sz w:val="96"/>
          <w:szCs w:val="96"/>
          <w:lang w:eastAsia="pl-PL"/>
        </w:rPr>
        <w:lastRenderedPageBreak/>
        <w:t xml:space="preserve">Spółki dla których nie można jeszcze obliczyć procentowej zmiany kursu akcji po wprowadzeniu jej do rubryki </w:t>
      </w:r>
      <w:proofErr w:type="gramStart"/>
      <w:r>
        <w:rPr>
          <w:rFonts w:eastAsia="Times New Roman" w:cs="Times New Roman"/>
          <w:b/>
          <w:sz w:val="96"/>
          <w:szCs w:val="96"/>
          <w:lang w:eastAsia="pl-PL"/>
        </w:rPr>
        <w:t>,,</w:t>
      </w:r>
      <w:proofErr w:type="gramEnd"/>
      <w:r>
        <w:rPr>
          <w:rFonts w:eastAsia="Times New Roman" w:cs="Times New Roman"/>
          <w:b/>
          <w:sz w:val="96"/>
          <w:szCs w:val="96"/>
          <w:lang w:eastAsia="pl-PL"/>
        </w:rPr>
        <w:t xml:space="preserve">Wykres do przemyślenia” w okresie 12 pierwszych miesięcy po jej wprowadzeniu do tej rubryki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29 stycznia 2016 roku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30 stycznia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21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29 stycznia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-29,7 %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-29,7 %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-26,3 %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10 lutego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2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lutego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29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-11,1 %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-11,1 %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-23,9%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3 marca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3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 marca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29 stycznia 2016 roku 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11,25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+48,6 %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+48,6 %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-24,5 %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9 kwietnia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4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8 kwietnia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29 stycznia 2016 roku  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-4,0 %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-4,0%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-26,6 %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Theme="minorEastAsia" w:cs="Times New Roman"/>
          <w:sz w:val="34"/>
          <w:szCs w:val="34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5 maja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5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4 maja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29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12,55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+13,1  %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+13,1  %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-31,5 %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Tabela: Procentowa zmiana cen akcji trzech spółek, których akcje zostały umieszczone w dniu 1 lipca na stronie internetowej </w:t>
      </w:r>
      <w:hyperlink r:id="rId26" w:history="1">
        <w:r>
          <w:rPr>
            <w:rStyle w:val="Hipercze"/>
            <w:rFonts w:eastAsia="Times New Roman" w:cs="Times New Roman"/>
            <w:lang w:eastAsia="pl-PL"/>
          </w:rPr>
          <w:t>http://analizy-rynkowe.pl/</w:t>
        </w:r>
      </w:hyperlink>
      <w:r>
        <w:rPr>
          <w:rFonts w:eastAsia="Times New Roman" w:cs="Times New Roman"/>
          <w:lang w:eastAsia="pl-PL"/>
        </w:rPr>
        <w:t xml:space="preserve"> w rubryce ,,Wykres do przemyślenia” w okresie od 30 czerwca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29 stycznia 2016 </w:t>
      </w:r>
      <w:proofErr w:type="gramStart"/>
      <w:r>
        <w:rPr>
          <w:rFonts w:eastAsia="Times New Roman" w:cs="Times New Roman"/>
          <w:lang w:eastAsia="pl-PL"/>
        </w:rPr>
        <w:t>roku  oraz</w:t>
      </w:r>
      <w:proofErr w:type="gramEnd"/>
      <w:r>
        <w:rPr>
          <w:rFonts w:eastAsia="Times New Roman" w:cs="Times New Roman"/>
          <w:lang w:eastAsia="pl-PL"/>
        </w:rPr>
        <w:t xml:space="preserve">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8,85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-6,7 %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Unima</w:t>
            </w:r>
            <w:proofErr w:type="spellEnd"/>
            <w:proofErr w:type="gramEnd"/>
            <w:r>
              <w:rPr>
                <w:rFonts w:eastAsiaTheme="minorEastAsia"/>
                <w:lang w:eastAsia="pl-PL"/>
              </w:rP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2,26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-12,4 %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Variant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-5,1  %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-8,1  %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-23,2 %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21 lipca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21 lipca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29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0,9 %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0,9 %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-20,7  %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23 lipca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22 lipca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29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55,00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+33,3 %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+33,3%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-18,6 %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3 września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9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 września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29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11,48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2,5 %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2,5 %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-15,5%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4 września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0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3 września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260,60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-15,7 %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-15,7 %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-17,4 %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9 października na stronie internetowej </w:t>
      </w:r>
      <w:hyperlink r:id="rId31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8 października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-6,9 %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312,70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234,85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-28,4 %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-17,6 %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2 126,48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-16,3 %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14 października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2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13 października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13.10.2015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Cyfrowy Polsat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24,93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21,51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-13,7 %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-13,7 %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2 123,43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-16,2 %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17 października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33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13 października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29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Dębica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85,40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+3,1 %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+3,1 %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2 121,94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-16,1 %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4 listopada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34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 listopada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29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Alta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2,19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2,52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15,1 %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15,1 %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2 061,38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-13,6 %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30 listopada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27 listopada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58,06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56,13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-3,3 %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-3,3 %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1 936,05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-8,0 %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4 grudnia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PeKaO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139,80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136,90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-2,1 %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-2,1 %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1 868,24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-4,7 %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7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4 grudnia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Pr="006C2FFF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6C2FFF">
              <w:rPr>
                <w:rFonts w:eastAsiaTheme="minorEastAsia"/>
                <w:b/>
                <w:lang w:eastAsia="pl-PL"/>
              </w:rPr>
              <w:t>Poziom – 2</w:t>
            </w:r>
            <w:r>
              <w:rPr>
                <w:rFonts w:eastAsiaTheme="minorEastAsia"/>
                <w:b/>
                <w:lang w:eastAsia="pl-PL"/>
              </w:rPr>
              <w:t>9</w:t>
            </w:r>
            <w:r w:rsidRPr="006C2FFF">
              <w:rPr>
                <w:rFonts w:eastAsiaTheme="minorEastAsia"/>
                <w:b/>
                <w:lang w:eastAsia="pl-PL"/>
              </w:rPr>
              <w:t>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LC </w:t>
            </w:r>
            <w:proofErr w:type="spellStart"/>
            <w:r>
              <w:rPr>
                <w:rFonts w:eastAsiaTheme="minorEastAsia"/>
                <w:lang w:eastAsia="pl-PL"/>
              </w:rPr>
              <w:t>Corp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1,71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+5,6%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+5,6 %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1 868,24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-4,7 %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28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8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23 grudnia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P.A. Nova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21,50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-5,6 %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-5,6  %</w:t>
            </w:r>
          </w:p>
        </w:tc>
      </w:tr>
      <w:tr w:rsidR="00372DA2" w:rsidTr="004652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1 879,75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2" w:rsidRDefault="00372DA2" w:rsidP="004652C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-5,3 %</w:t>
            </w:r>
          </w:p>
        </w:tc>
      </w:tr>
    </w:tbl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Spółek, </w:t>
      </w:r>
      <w:r>
        <w:rPr>
          <w:rFonts w:eastAsia="Times New Roman" w:cs="Times New Roman"/>
          <w:sz w:val="32"/>
          <w:szCs w:val="32"/>
          <w:u w:val="single"/>
          <w:lang w:eastAsia="pl-PL"/>
        </w:rPr>
        <w:t>dla których nie można jeszcze obliczyć</w:t>
      </w:r>
      <w:r>
        <w:rPr>
          <w:rFonts w:eastAsia="Times New Roman" w:cs="Times New Roman"/>
          <w:sz w:val="32"/>
          <w:szCs w:val="32"/>
          <w:lang w:eastAsia="pl-PL"/>
        </w:rPr>
        <w:t xml:space="preserve"> procentowej zmiany kursu akcji po wprowadzeniu jej do rubryki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Wykres do przemyślenia” w okresie 12 pierwszych miesięcy po jej wprowadzeniu do tej rubryki </w:t>
      </w:r>
      <w:r>
        <w:rPr>
          <w:rFonts w:eastAsia="Times New Roman" w:cs="Times New Roman"/>
          <w:sz w:val="32"/>
          <w:szCs w:val="32"/>
          <w:u w:val="single"/>
          <w:lang w:eastAsia="pl-PL"/>
        </w:rPr>
        <w:t xml:space="preserve">jest </w:t>
      </w: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22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W odniesieniu do tej grupy </w:t>
      </w:r>
      <w:r>
        <w:rPr>
          <w:rFonts w:eastAsia="Times New Roman" w:cs="Times New Roman"/>
          <w:b/>
          <w:sz w:val="36"/>
          <w:szCs w:val="36"/>
          <w:u w:val="single"/>
          <w:lang w:eastAsia="pl-PL"/>
        </w:rPr>
        <w:t>22 spółek</w:t>
      </w:r>
      <w:r>
        <w:rPr>
          <w:rFonts w:eastAsia="Times New Roman" w:cs="Times New Roman"/>
          <w:sz w:val="36"/>
          <w:szCs w:val="36"/>
          <w:lang w:eastAsia="pl-PL"/>
        </w:rPr>
        <w:t xml:space="preserve"> można sformułować następujący wniosek: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100"/>
          <w:szCs w:val="100"/>
          <w:u w:val="single"/>
          <w:lang w:eastAsia="pl-PL"/>
        </w:rPr>
      </w:pPr>
      <w:r>
        <w:rPr>
          <w:rFonts w:eastAsia="Times New Roman" w:cs="Times New Roman"/>
          <w:sz w:val="100"/>
          <w:szCs w:val="100"/>
          <w:u w:val="single"/>
          <w:lang w:eastAsia="pl-PL"/>
        </w:rPr>
        <w:lastRenderedPageBreak/>
        <w:t xml:space="preserve">Wniosek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100"/>
          <w:szCs w:val="100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  <w:r>
        <w:rPr>
          <w:rFonts w:eastAsia="Times New Roman" w:cs="Times New Roman"/>
          <w:sz w:val="72"/>
          <w:szCs w:val="72"/>
          <w:lang w:eastAsia="pl-PL"/>
        </w:rPr>
        <w:t xml:space="preserve">Warto zauważyć, że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sz w:val="72"/>
          <w:szCs w:val="72"/>
          <w:lang w:eastAsia="pl-PL"/>
        </w:rPr>
      </w:pPr>
      <w:r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  <w:t xml:space="preserve">spośród </w:t>
      </w:r>
      <w:r>
        <w:rPr>
          <w:rFonts w:eastAsia="Times New Roman" w:cs="Times New Roman"/>
          <w:b/>
          <w:color w:val="000000" w:themeColor="text1"/>
          <w:sz w:val="72"/>
          <w:szCs w:val="72"/>
          <w:u w:val="single"/>
          <w:lang w:eastAsia="pl-PL"/>
        </w:rPr>
        <w:t xml:space="preserve">22 </w:t>
      </w:r>
      <w:proofErr w:type="gramStart"/>
      <w:r>
        <w:rPr>
          <w:rFonts w:eastAsia="Times New Roman" w:cs="Times New Roman"/>
          <w:b/>
          <w:color w:val="000000" w:themeColor="text1"/>
          <w:sz w:val="72"/>
          <w:szCs w:val="72"/>
          <w:u w:val="single"/>
          <w:lang w:eastAsia="pl-PL"/>
        </w:rPr>
        <w:t>spółek</w:t>
      </w:r>
      <w:r>
        <w:rPr>
          <w:rFonts w:eastAsia="Times New Roman" w:cs="Times New Roman"/>
          <w:sz w:val="72"/>
          <w:szCs w:val="72"/>
          <w:lang w:eastAsia="pl-PL"/>
        </w:rPr>
        <w:t xml:space="preserve"> (których</w:t>
      </w:r>
      <w:proofErr w:type="gramEnd"/>
      <w:r>
        <w:rPr>
          <w:rFonts w:eastAsia="Times New Roman" w:cs="Times New Roman"/>
          <w:sz w:val="72"/>
          <w:szCs w:val="72"/>
          <w:lang w:eastAsia="pl-PL"/>
        </w:rPr>
        <w:t xml:space="preserve"> lista </w:t>
      </w:r>
      <w:r>
        <w:rPr>
          <w:rFonts w:eastAsia="Times New Roman" w:cs="Times New Roman"/>
          <w:b/>
          <w:sz w:val="72"/>
          <w:szCs w:val="72"/>
          <w:lang w:eastAsia="pl-PL"/>
        </w:rPr>
        <w:t xml:space="preserve">opublikowana jest na str. 14-17)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sz w:val="72"/>
          <w:szCs w:val="72"/>
          <w:lang w:eastAsia="pl-PL"/>
        </w:rPr>
      </w:pPr>
      <w:proofErr w:type="gramStart"/>
      <w:r>
        <w:rPr>
          <w:rFonts w:eastAsia="Times New Roman" w:cs="Times New Roman"/>
          <w:b/>
          <w:sz w:val="72"/>
          <w:szCs w:val="72"/>
          <w:lang w:eastAsia="pl-PL"/>
        </w:rPr>
        <w:t>kursy</w:t>
      </w:r>
      <w:proofErr w:type="gramEnd"/>
      <w:r>
        <w:rPr>
          <w:rFonts w:eastAsia="Times New Roman" w:cs="Times New Roman"/>
          <w:b/>
          <w:sz w:val="72"/>
          <w:szCs w:val="72"/>
          <w:lang w:eastAsia="pl-PL"/>
        </w:rPr>
        <w:t xml:space="preserve"> akcji </w:t>
      </w:r>
      <w:r>
        <w:rPr>
          <w:rFonts w:eastAsia="Times New Roman" w:cs="Times New Roman"/>
          <w:b/>
          <w:color w:val="FF0000"/>
          <w:sz w:val="72"/>
          <w:szCs w:val="72"/>
          <w:lang w:eastAsia="pl-PL"/>
        </w:rPr>
        <w:t>19 spółek</w:t>
      </w:r>
      <w:r>
        <w:rPr>
          <w:rFonts w:eastAsia="Times New Roman" w:cs="Times New Roman"/>
          <w:sz w:val="72"/>
          <w:szCs w:val="72"/>
          <w:lang w:eastAsia="pl-PL"/>
        </w:rPr>
        <w:t xml:space="preserve"> od momentu </w:t>
      </w:r>
      <w:bookmarkStart w:id="0" w:name="_GoBack"/>
      <w:bookmarkEnd w:id="0"/>
      <w:r>
        <w:rPr>
          <w:rFonts w:eastAsia="Times New Roman" w:cs="Times New Roman"/>
          <w:sz w:val="72"/>
          <w:szCs w:val="72"/>
          <w:lang w:eastAsia="pl-PL"/>
        </w:rPr>
        <w:t xml:space="preserve">owego zakwalifikowania do tej rubryki do dnia 29 stycznia 2016 roku zachowywały się </w:t>
      </w:r>
      <w:r>
        <w:rPr>
          <w:rFonts w:eastAsia="Times New Roman" w:cs="Times New Roman"/>
          <w:b/>
          <w:color w:val="FF0000"/>
          <w:sz w:val="72"/>
          <w:szCs w:val="72"/>
          <w:u w:val="single"/>
          <w:lang w:eastAsia="pl-PL"/>
        </w:rPr>
        <w:t>lepiej</w:t>
      </w:r>
      <w:r>
        <w:rPr>
          <w:rFonts w:eastAsia="Times New Roman" w:cs="Times New Roman"/>
          <w:b/>
          <w:color w:val="FF0000"/>
          <w:sz w:val="72"/>
          <w:szCs w:val="72"/>
          <w:lang w:eastAsia="pl-PL"/>
        </w:rPr>
        <w:t xml:space="preserve"> od indeksu WIG20</w:t>
      </w:r>
      <w:r>
        <w:rPr>
          <w:rFonts w:eastAsia="Times New Roman" w:cs="Times New Roman"/>
          <w:b/>
          <w:sz w:val="72"/>
          <w:szCs w:val="72"/>
          <w:lang w:eastAsia="pl-PL"/>
        </w:rPr>
        <w:t xml:space="preserve"> a 3 </w:t>
      </w:r>
      <w:r>
        <w:rPr>
          <w:rFonts w:eastAsia="Times New Roman" w:cs="Times New Roman"/>
          <w:b/>
          <w:sz w:val="72"/>
          <w:szCs w:val="72"/>
          <w:u w:val="single"/>
          <w:lang w:eastAsia="pl-PL"/>
        </w:rPr>
        <w:t xml:space="preserve">gorzej </w:t>
      </w:r>
      <w:r>
        <w:rPr>
          <w:rFonts w:eastAsia="Times New Roman" w:cs="Times New Roman"/>
          <w:b/>
          <w:sz w:val="72"/>
          <w:szCs w:val="72"/>
          <w:lang w:eastAsia="pl-PL"/>
        </w:rPr>
        <w:t xml:space="preserve">od indeksu WIG20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color w:val="FF0000"/>
          <w:sz w:val="66"/>
          <w:szCs w:val="66"/>
          <w:lang w:eastAsia="pl-PL"/>
        </w:rPr>
      </w:pPr>
      <w:proofErr w:type="gramStart"/>
      <w:r>
        <w:rPr>
          <w:rFonts w:eastAsia="Times New Roman" w:cs="Times New Roman"/>
          <w:sz w:val="66"/>
          <w:szCs w:val="66"/>
          <w:lang w:eastAsia="pl-PL"/>
        </w:rPr>
        <w:lastRenderedPageBreak/>
        <w:t xml:space="preserve">Uwaga ! – 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na poprzedniej stronie przedstawiłem wyniki badań dotyczących zachowania kursów akcji tych spółek, które znalazły się w rubryce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>,,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Wykres do przemyślenia”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na przestrzeni ostatnich 12 miesięcy.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  <w:r>
        <w:rPr>
          <w:rFonts w:eastAsia="Times New Roman" w:cs="Times New Roman"/>
          <w:sz w:val="66"/>
          <w:szCs w:val="66"/>
          <w:lang w:eastAsia="pl-PL"/>
        </w:rPr>
        <w:t xml:space="preserve">Spółki te będę starał się na prowadzonej przeze mnie stronie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 xml:space="preserve">internetowej  </w:t>
      </w:r>
      <w:hyperlink r:id="rId39" w:history="1">
        <w:proofErr w:type="gramEnd"/>
        <w:r>
          <w:rPr>
            <w:rStyle w:val="Hipercze"/>
            <w:rFonts w:eastAsia="Times New Roman" w:cs="Times New Roman"/>
            <w:sz w:val="66"/>
            <w:szCs w:val="66"/>
            <w:lang w:eastAsia="pl-PL"/>
          </w:rPr>
          <w:t>http://analizy-rynkowe.pl/</w:t>
        </w:r>
      </w:hyperlink>
      <w:r>
        <w:rPr>
          <w:rFonts w:eastAsia="Times New Roman" w:cs="Times New Roman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otaczać szczególną opieką intelektualną</w:t>
      </w:r>
      <w:r>
        <w:rPr>
          <w:rFonts w:eastAsia="Times New Roman" w:cs="Times New Roman"/>
          <w:color w:val="FF0000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sz w:val="66"/>
          <w:szCs w:val="66"/>
          <w:lang w:eastAsia="pl-PL"/>
        </w:rPr>
        <w:t xml:space="preserve">to znaczy analizy publikowane na tej stronie będą w znacznej mierzy dotyczyć właśnie tych spółek.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372DA2" w:rsidRDefault="00372DA2" w:rsidP="003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lastRenderedPageBreak/>
        <w:t>Generalny wniosek:</w:t>
      </w:r>
    </w:p>
    <w:p w:rsidR="00372DA2" w:rsidRDefault="00372DA2" w:rsidP="00372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 xml:space="preserve">kursy akcji spółki po wprowadzeniu jej do rubryki </w:t>
      </w:r>
      <w:proofErr w:type="gramStart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,,</w:t>
      </w:r>
      <w:proofErr w:type="gramEnd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Wykres do przemyślenia” zasadniczo rzecz biorąc wykazują relatywną przewagę nad indeksem WIG20</w:t>
      </w:r>
    </w:p>
    <w:p w:rsidR="00372DA2" w:rsidRDefault="00372DA2" w:rsidP="00372DA2">
      <w:pPr>
        <w:rPr>
          <w:rFonts w:eastAsia="Times New Roman" w:cs="Times New Roman"/>
          <w:lang w:eastAsia="pl-PL"/>
        </w:rPr>
      </w:pPr>
    </w:p>
    <w:p w:rsidR="00372DA2" w:rsidRDefault="00372DA2" w:rsidP="00372DA2">
      <w:pPr>
        <w:rPr>
          <w:rFonts w:eastAsia="Times New Roman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Wnioski końcowe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72DA2" w:rsidRDefault="00372DA2" w:rsidP="00372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Kurs </w:t>
      </w:r>
      <w:r>
        <w:rPr>
          <w:rFonts w:eastAsia="Times New Roman" w:cs="Times New Roman"/>
          <w:lang w:eastAsia="pl-PL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="Times New Roman" w:cs="Times New Roman"/>
          <w:b/>
          <w:color w:val="FF0000"/>
          <w:lang w:eastAsia="pl-PL"/>
        </w:rPr>
        <w:t xml:space="preserve">do 4,4252 zł. </w:t>
      </w:r>
    </w:p>
    <w:p w:rsidR="00372DA2" w:rsidRDefault="00372DA2" w:rsidP="00372DA2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</w:p>
    <w:p w:rsidR="00372DA2" w:rsidRDefault="00372DA2" w:rsidP="00372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="Times New Roman" w:cs="Times New Roman"/>
          <w:b/>
          <w:color w:val="FF0000"/>
          <w:lang w:eastAsia="pl-PL"/>
        </w:rPr>
        <w:t>4,5644</w:t>
      </w:r>
      <w:r>
        <w:rPr>
          <w:rFonts w:eastAsia="Times New Roman" w:cs="Times New Roman"/>
          <w:color w:val="FF0000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(szczyt z 13 grudnia 2011 roku).</w:t>
      </w:r>
    </w:p>
    <w:p w:rsidR="00372DA2" w:rsidRDefault="00372DA2" w:rsidP="00372DA2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372DA2" w:rsidRPr="007C390E" w:rsidRDefault="00372DA2" w:rsidP="00372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 w:rsidRPr="007C390E">
        <w:rPr>
          <w:rFonts w:eastAsia="Times New Roman" w:cs="Times New Roman"/>
          <w:color w:val="000000" w:themeColor="text1"/>
          <w:lang w:eastAsia="pl-PL"/>
        </w:rPr>
        <w:t xml:space="preserve">Popyt na polskie akcje w poprzednim tygodniu zwiększył się. W rezultacie indeks WIG20 zyskał na wartości 3,1 % a WIG wzrósł o 2,9 %. Poprawa sytuacji na giełdzie warszawskiej miała swoje źródło w poprawie sytuacji na zagranicznych rynkach akcji. Zarówno w przypadku indeksu S&amp;P500 jak również indeksu NIKKEI225 może dojść do </w:t>
      </w:r>
      <w:proofErr w:type="gramStart"/>
      <w:r w:rsidRPr="007C390E">
        <w:rPr>
          <w:rFonts w:eastAsia="Times New Roman" w:cs="Times New Roman"/>
          <w:color w:val="000000" w:themeColor="text1"/>
          <w:lang w:eastAsia="pl-PL"/>
        </w:rPr>
        <w:t>,,</w:t>
      </w:r>
      <w:proofErr w:type="gramEnd"/>
      <w:r w:rsidRPr="007C390E">
        <w:rPr>
          <w:rFonts w:eastAsia="Times New Roman" w:cs="Times New Roman"/>
          <w:color w:val="000000" w:themeColor="text1"/>
          <w:lang w:eastAsia="pl-PL"/>
        </w:rPr>
        <w:t xml:space="preserve">spalenia” formacji podwójnego szczytu, co stanowiłoby sygnał kupna. Do </w:t>
      </w:r>
      <w:proofErr w:type="gramStart"/>
      <w:r w:rsidRPr="007C390E">
        <w:rPr>
          <w:rFonts w:eastAsia="Times New Roman" w:cs="Times New Roman"/>
          <w:color w:val="000000" w:themeColor="text1"/>
          <w:lang w:eastAsia="pl-PL"/>
        </w:rPr>
        <w:t>,,</w:t>
      </w:r>
      <w:proofErr w:type="gramEnd"/>
      <w:r w:rsidRPr="007C390E">
        <w:rPr>
          <w:rFonts w:eastAsia="Times New Roman" w:cs="Times New Roman"/>
          <w:color w:val="000000" w:themeColor="text1"/>
          <w:lang w:eastAsia="pl-PL"/>
        </w:rPr>
        <w:t>spalenia” formacji podwójnego szczytu doszłoby wówczas, gdyby na wykresie indeksów osiągnięty został poziom wyższego szczytu.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Opracował: Sławomir Kłusek, 1 lutego 2016 roku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Powyższy raport stanowi wyłącznie wyraz osobistych opinii autora. 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40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372DA2" w:rsidRDefault="00372DA2" w:rsidP="00372DA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72DA2" w:rsidRDefault="00372DA2" w:rsidP="00372DA2">
      <w:pPr>
        <w:spacing w:after="0" w:line="240" w:lineRule="auto"/>
        <w:jc w:val="both"/>
        <w:rPr>
          <w:rStyle w:val="Hipercze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41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372DA2" w:rsidRDefault="00372DA2" w:rsidP="00372DA2">
      <w:pPr>
        <w:spacing w:after="0" w:line="240" w:lineRule="auto"/>
        <w:jc w:val="both"/>
      </w:pPr>
    </w:p>
    <w:p w:rsidR="00372DA2" w:rsidRDefault="00372DA2" w:rsidP="00372DA2">
      <w:pPr>
        <w:spacing w:after="0" w:line="240" w:lineRule="auto"/>
        <w:jc w:val="both"/>
        <w:rPr>
          <w:sz w:val="26"/>
          <w:szCs w:val="26"/>
        </w:rPr>
      </w:pPr>
    </w:p>
    <w:p w:rsidR="00372DA2" w:rsidRDefault="00372DA2" w:rsidP="00372DA2">
      <w:pPr>
        <w:spacing w:after="0" w:line="240" w:lineRule="auto"/>
        <w:jc w:val="both"/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pStyle w:val="Bezodstpw"/>
        <w:jc w:val="both"/>
        <w:rPr>
          <w:sz w:val="26"/>
          <w:szCs w:val="26"/>
        </w:rPr>
      </w:pPr>
    </w:p>
    <w:p w:rsidR="00372DA2" w:rsidRDefault="00372DA2" w:rsidP="00372DA2">
      <w:pPr>
        <w:spacing w:after="0" w:line="240" w:lineRule="auto"/>
        <w:jc w:val="both"/>
      </w:pPr>
    </w:p>
    <w:sectPr w:rsidR="0037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A2"/>
    <w:rsid w:val="00372DA2"/>
    <w:rsid w:val="00E1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2D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2DA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D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DA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72DA2"/>
    <w:pPr>
      <w:ind w:left="720"/>
      <w:contextualSpacing/>
    </w:pPr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DA2"/>
    <w:rPr>
      <w:vertAlign w:val="superscript"/>
    </w:rPr>
  </w:style>
  <w:style w:type="table" w:styleId="Tabela-Siatka">
    <w:name w:val="Table Grid"/>
    <w:basedOn w:val="Standardowy"/>
    <w:uiPriority w:val="59"/>
    <w:rsid w:val="0037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372D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2D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2DA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D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DA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72DA2"/>
    <w:pPr>
      <w:ind w:left="720"/>
      <w:contextualSpacing/>
    </w:pPr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DA2"/>
    <w:rPr>
      <w:vertAlign w:val="superscript"/>
    </w:rPr>
  </w:style>
  <w:style w:type="table" w:styleId="Tabela-Siatka">
    <w:name w:val="Table Grid"/>
    <w:basedOn w:val="Standardowy"/>
    <w:uiPriority w:val="59"/>
    <w:rsid w:val="0037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372D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analizy-rynkowe.pl/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analizy-rynkowe.pl/" TargetMode="External"/><Relationship Id="rId39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www.analizy-rynkowe.pl" TargetMode="External"/><Relationship Id="rId38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41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hyperlink" Target="http://www.analizy-rynkowe.pl" TargetMode="External"/><Relationship Id="rId40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e.poznan.pl/pl/uniwersytet,c13/wydzialy,c18/wydzial-ekonomii,c19/katedra-finansow-publicznych,c2955/kadra,c2957/pracownicy-naukowo-dydaktyczni,c2965/dr-hab-eryk-lon-prof-nadzw-uep,a21074.html" TargetMode="External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hyperlink" Target="http://www.analizy-rynkowe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4137</Words>
  <Characters>24827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1</cp:revision>
  <dcterms:created xsi:type="dcterms:W3CDTF">2016-01-31T20:27:00Z</dcterms:created>
  <dcterms:modified xsi:type="dcterms:W3CDTF">2016-01-31T20:29:00Z</dcterms:modified>
</cp:coreProperties>
</file>