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9" w:rsidRPr="002E67E5" w:rsidRDefault="007F0629" w:rsidP="007F0629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7F0629" w:rsidRPr="002E67E5" w:rsidRDefault="007F0629" w:rsidP="007F0629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7F0629" w:rsidRPr="002E67E5" w:rsidRDefault="007F0629" w:rsidP="007F0629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7F0629" w:rsidRPr="002E67E5" w:rsidRDefault="007F0629" w:rsidP="007F0629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7F0629" w:rsidRPr="002E67E5" w:rsidRDefault="007F0629" w:rsidP="007F0629">
      <w:pPr>
        <w:spacing w:after="0" w:line="240" w:lineRule="auto"/>
        <w:jc w:val="center"/>
        <w:rPr>
          <w:sz w:val="48"/>
          <w:szCs w:val="48"/>
        </w:rPr>
      </w:pPr>
    </w:p>
    <w:p w:rsidR="007F0629" w:rsidRPr="002E67E5" w:rsidRDefault="007F0629" w:rsidP="007F0629">
      <w:pPr>
        <w:spacing w:after="0" w:line="240" w:lineRule="auto"/>
        <w:jc w:val="center"/>
        <w:rPr>
          <w:sz w:val="48"/>
          <w:szCs w:val="48"/>
        </w:rPr>
      </w:pPr>
    </w:p>
    <w:p w:rsidR="007F0629" w:rsidRPr="002E67E5" w:rsidRDefault="007F0629" w:rsidP="007F0629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7F0629" w:rsidRPr="002E67E5" w:rsidRDefault="007F0629" w:rsidP="007F0629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629" w:rsidRPr="002E67E5" w:rsidRDefault="007F0629" w:rsidP="007F0629">
      <w:pPr>
        <w:jc w:val="center"/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7F0629" w:rsidRDefault="007F0629" w:rsidP="007F0629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629" w:rsidRDefault="007F0629" w:rsidP="007F0629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629" w:rsidRPr="002E67E5" w:rsidRDefault="007F0629" w:rsidP="007F0629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grudnia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roku</w:t>
      </w:r>
    </w:p>
    <w:p w:rsidR="007F0629" w:rsidRPr="002E67E5" w:rsidRDefault="007F0629" w:rsidP="007F0629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629" w:rsidRPr="002E67E5" w:rsidRDefault="007F0629" w:rsidP="007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USD/PLN – perspektywa długoterminowa, kurs z </w:t>
      </w:r>
      <w:r>
        <w:t>4 grudnia 2015 roku = 3,9698</w:t>
      </w:r>
    </w:p>
    <w:p w:rsidR="007F0629" w:rsidRPr="002E67E5" w:rsidRDefault="007F0629" w:rsidP="007F0629">
      <w:pPr>
        <w:spacing w:after="0" w:line="240" w:lineRule="auto"/>
        <w:jc w:val="both"/>
      </w:pPr>
    </w:p>
    <w:p w:rsidR="007F0629" w:rsidRPr="002E67E5" w:rsidRDefault="007F0629" w:rsidP="007F0629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8A662EB" wp14:editId="322DA73D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Pr="002E67E5" w:rsidRDefault="007F0629" w:rsidP="007F0629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2E67E5">
        <w:rPr>
          <w:b/>
          <w:color w:val="FF0000"/>
        </w:rPr>
        <w:t xml:space="preserve">do 4,4252 zł. </w:t>
      </w:r>
    </w:p>
    <w:p w:rsidR="007F0629" w:rsidRPr="002E67E5" w:rsidRDefault="007F0629" w:rsidP="007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EUR/PLN – perspektywa średniookresowa, kurs z </w:t>
      </w:r>
      <w:r>
        <w:t>4 grudnia 2015 roku = 4,3145</w:t>
      </w:r>
    </w:p>
    <w:p w:rsidR="007F0629" w:rsidRPr="002E67E5" w:rsidRDefault="007F0629" w:rsidP="007F0629">
      <w:pPr>
        <w:spacing w:after="0" w:line="240" w:lineRule="auto"/>
        <w:jc w:val="both"/>
      </w:pPr>
    </w:p>
    <w:p w:rsidR="007F0629" w:rsidRPr="002E67E5" w:rsidRDefault="007F0629" w:rsidP="007F0629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C75AF25" wp14:editId="69CCEC11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Default="007F0629" w:rsidP="007F0629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2E67E5">
        <w:rPr>
          <w:b/>
          <w:color w:val="FF0000"/>
        </w:rPr>
        <w:t xml:space="preserve">4,3607 zł. </w:t>
      </w:r>
    </w:p>
    <w:p w:rsidR="002929A1" w:rsidRDefault="002929A1"/>
    <w:p w:rsidR="007F0629" w:rsidRPr="009417F7" w:rsidRDefault="007F0629" w:rsidP="007F062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9417F7">
        <w:rPr>
          <w:sz w:val="26"/>
          <w:szCs w:val="26"/>
        </w:rPr>
        <w:lastRenderedPageBreak/>
        <w:t xml:space="preserve">Pojawiła się szansa na </w:t>
      </w:r>
      <w:r>
        <w:rPr>
          <w:sz w:val="26"/>
          <w:szCs w:val="26"/>
        </w:rPr>
        <w:t xml:space="preserve">krótkoterminową </w:t>
      </w:r>
      <w:r w:rsidRPr="009417F7">
        <w:rPr>
          <w:sz w:val="26"/>
          <w:szCs w:val="26"/>
        </w:rPr>
        <w:t xml:space="preserve">poprawę sytuacji na GPW w </w:t>
      </w:r>
      <w:proofErr w:type="gramStart"/>
      <w:r w:rsidRPr="009417F7">
        <w:rPr>
          <w:sz w:val="26"/>
          <w:szCs w:val="26"/>
        </w:rPr>
        <w:t>Warszawie</w:t>
      </w:r>
      <w:r>
        <w:rPr>
          <w:sz w:val="26"/>
          <w:szCs w:val="26"/>
        </w:rPr>
        <w:t xml:space="preserve"> !</w:t>
      </w:r>
      <w:proofErr w:type="gramEnd"/>
    </w:p>
    <w:p w:rsidR="007F0629" w:rsidRPr="009417F7" w:rsidRDefault="007F0629" w:rsidP="007F0629">
      <w:pPr>
        <w:pStyle w:val="Bezodstpw"/>
        <w:rPr>
          <w:sz w:val="26"/>
          <w:szCs w:val="26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 w:rsidRPr="009417F7">
        <w:rPr>
          <w:sz w:val="26"/>
          <w:szCs w:val="26"/>
        </w:rPr>
        <w:t xml:space="preserve">W poprzednim tygodniu zanotowaliśmy spadki zarówno indeksu WIG, jak również indeksu WIG20. </w:t>
      </w:r>
      <w:r>
        <w:rPr>
          <w:sz w:val="26"/>
          <w:szCs w:val="26"/>
        </w:rPr>
        <w:t xml:space="preserve">WIG spadł o 3,0 % a WIG20 o 3,5 %. Trend spadkowy </w:t>
      </w:r>
      <w:proofErr w:type="gramStart"/>
      <w:r>
        <w:rPr>
          <w:sz w:val="26"/>
          <w:szCs w:val="26"/>
        </w:rPr>
        <w:t>był więc</w:t>
      </w:r>
      <w:proofErr w:type="gramEnd"/>
      <w:r>
        <w:rPr>
          <w:sz w:val="26"/>
          <w:szCs w:val="26"/>
        </w:rPr>
        <w:t xml:space="preserve"> kontynuowany. Pomimo to dostrzegam </w:t>
      </w:r>
      <w:r w:rsidRPr="00F6020A">
        <w:rPr>
          <w:b/>
          <w:sz w:val="26"/>
          <w:szCs w:val="26"/>
        </w:rPr>
        <w:t>pewne optymistyczne sygnały</w:t>
      </w:r>
      <w:r>
        <w:rPr>
          <w:sz w:val="26"/>
          <w:szCs w:val="26"/>
        </w:rPr>
        <w:t xml:space="preserve"> zwiastujące możliwość pewnego przynajmniej krótkookresowego odreagowania wzrostowego. </w:t>
      </w: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 początku przypomnę, że w swych analizach przez horyzont krótkookresowy rozumiem okres do 1 miesiąca, przez horyzont średniookresowy okres od 1 miesiąca i 1 dnia do 1 roku a przez horyzont długookresowy okres dłuższy od 1 roku.</w:t>
      </w: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stwarza szasnę na wzrostowe </w:t>
      </w:r>
      <w:r w:rsidR="00E67024">
        <w:rPr>
          <w:sz w:val="26"/>
          <w:szCs w:val="26"/>
        </w:rPr>
        <w:t xml:space="preserve">choćby krótkoterminowe </w:t>
      </w:r>
      <w:proofErr w:type="gramStart"/>
      <w:r>
        <w:rPr>
          <w:sz w:val="26"/>
          <w:szCs w:val="26"/>
        </w:rPr>
        <w:t xml:space="preserve">odreagowanie ? </w:t>
      </w:r>
      <w:proofErr w:type="gramEnd"/>
      <w:r>
        <w:rPr>
          <w:sz w:val="26"/>
          <w:szCs w:val="26"/>
        </w:rPr>
        <w:t xml:space="preserve">Po pierwsze </w:t>
      </w:r>
      <w:r w:rsidRPr="00F6020A">
        <w:rPr>
          <w:b/>
          <w:sz w:val="26"/>
          <w:szCs w:val="26"/>
        </w:rPr>
        <w:t xml:space="preserve">pozytywnie oceniam przebieg sesji piątkowej z dnia 4 grudnia. </w:t>
      </w:r>
      <w:r>
        <w:rPr>
          <w:sz w:val="26"/>
          <w:szCs w:val="26"/>
        </w:rPr>
        <w:t xml:space="preserve">Na początku tej sesji doszło do sporych spadków. </w:t>
      </w:r>
      <w:r w:rsidRPr="00F6020A">
        <w:rPr>
          <w:b/>
          <w:sz w:val="26"/>
          <w:szCs w:val="26"/>
        </w:rPr>
        <w:t>W pewnym momencie</w:t>
      </w:r>
      <w:r>
        <w:rPr>
          <w:sz w:val="26"/>
          <w:szCs w:val="26"/>
        </w:rPr>
        <w:t xml:space="preserve"> WIG20 spadał o 3,2 %. </w:t>
      </w:r>
      <w:r w:rsidRPr="00F6020A">
        <w:rPr>
          <w:b/>
          <w:sz w:val="26"/>
          <w:szCs w:val="26"/>
          <w:u w:val="single"/>
        </w:rPr>
        <w:t>Aż nagle</w:t>
      </w:r>
      <w:r>
        <w:rPr>
          <w:sz w:val="26"/>
          <w:szCs w:val="26"/>
        </w:rPr>
        <w:t xml:space="preserve"> (!) </w:t>
      </w:r>
      <w:proofErr w:type="gramStart"/>
      <w:r>
        <w:rPr>
          <w:sz w:val="26"/>
          <w:szCs w:val="26"/>
        </w:rPr>
        <w:t>tuż</w:t>
      </w:r>
      <w:proofErr w:type="gramEnd"/>
      <w:r>
        <w:rPr>
          <w:sz w:val="26"/>
          <w:szCs w:val="26"/>
        </w:rPr>
        <w:t xml:space="preserve"> po godz. 15.30 …zaatakował popyt. To bardzo pozytywne. Co ważne do tego ataku popytu doszło w bardzo ważnym </w:t>
      </w:r>
      <w:proofErr w:type="gramStart"/>
      <w:r>
        <w:rPr>
          <w:sz w:val="26"/>
          <w:szCs w:val="26"/>
        </w:rPr>
        <w:t xml:space="preserve">momencie. </w:t>
      </w:r>
      <w:proofErr w:type="gramEnd"/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Popatrzmy na wykres indeksu WIG20 sporządzony </w:t>
      </w:r>
      <w:r w:rsidR="00E67024">
        <w:rPr>
          <w:sz w:val="26"/>
          <w:szCs w:val="26"/>
        </w:rPr>
        <w:t xml:space="preserve">od 1994 roku </w:t>
      </w:r>
      <w:r>
        <w:rPr>
          <w:sz w:val="26"/>
          <w:szCs w:val="26"/>
        </w:rPr>
        <w:t xml:space="preserve">w oparciu o technikę świec japońskich. </w:t>
      </w: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Pr="00F6020A" w:rsidRDefault="007F0629" w:rsidP="007F0629">
      <w:pPr>
        <w:pStyle w:val="Bezodstpw"/>
        <w:jc w:val="both"/>
        <w:rPr>
          <w:b/>
          <w:sz w:val="26"/>
          <w:szCs w:val="26"/>
          <w:u w:val="single"/>
        </w:rPr>
      </w:pPr>
      <w:r w:rsidRPr="00F6020A">
        <w:rPr>
          <w:b/>
          <w:sz w:val="26"/>
          <w:szCs w:val="26"/>
          <w:u w:val="single"/>
        </w:rPr>
        <w:t>WIG20</w:t>
      </w:r>
    </w:p>
    <w:p w:rsidR="007F0629" w:rsidRPr="009417F7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E1CD406" wp14:editId="62FED686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</w:p>
    <w:p w:rsidR="007F0629" w:rsidRPr="009A517F" w:rsidRDefault="007F0629" w:rsidP="007F062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EEAA"/>
        <w:jc w:val="both"/>
        <w:rPr>
          <w:b/>
          <w:noProof/>
          <w:sz w:val="26"/>
          <w:szCs w:val="26"/>
          <w:lang w:eastAsia="pl-PL"/>
        </w:rPr>
      </w:pPr>
      <w:r w:rsidRPr="009A517F">
        <w:rPr>
          <w:b/>
          <w:noProof/>
          <w:sz w:val="26"/>
          <w:szCs w:val="26"/>
          <w:lang w:eastAsia="pl-PL"/>
        </w:rPr>
        <w:t xml:space="preserve">Z powyższego wykresu wynika, że popyt zaatakował po dojściu na wykresie indeksu WIG20 </w:t>
      </w:r>
      <w:r w:rsidR="00E67024">
        <w:rPr>
          <w:b/>
          <w:noProof/>
          <w:sz w:val="26"/>
          <w:szCs w:val="26"/>
          <w:lang w:eastAsia="pl-PL"/>
        </w:rPr>
        <w:t xml:space="preserve">sporządzonego w oparciu o świece japońskie </w:t>
      </w:r>
      <w:r w:rsidRPr="009A517F">
        <w:rPr>
          <w:b/>
          <w:noProof/>
          <w:sz w:val="26"/>
          <w:szCs w:val="26"/>
          <w:lang w:eastAsia="pl-PL"/>
        </w:rPr>
        <w:t>do linii łączącej dołki z marca 1995 roku oraz lutego 2009 roku. Może więc inwestorzy giełdowi uznakli wspomnianą linie za ważną, za ważne wsparcie.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r w:rsidRPr="000B3E28">
        <w:rPr>
          <w:noProof/>
          <w:sz w:val="26"/>
          <w:szCs w:val="26"/>
          <w:lang w:eastAsia="pl-PL"/>
        </w:rPr>
        <w:lastRenderedPageBreak/>
        <w:t xml:space="preserve">Pragnę przy okazji zwrócić uwagę na wykres indeksu WIG stworzony w oparciu o dane dzienne. Otóż na wykresie tym </w:t>
      </w:r>
      <w:r w:rsidRPr="001B3A62">
        <w:rPr>
          <w:b/>
          <w:noProof/>
          <w:sz w:val="26"/>
          <w:szCs w:val="26"/>
          <w:lang w:eastAsia="pl-PL"/>
        </w:rPr>
        <w:t>pojawiła się szansa</w:t>
      </w:r>
      <w:r w:rsidRPr="000B3E28">
        <w:rPr>
          <w:noProof/>
          <w:sz w:val="26"/>
          <w:szCs w:val="26"/>
          <w:lang w:eastAsia="pl-PL"/>
        </w:rPr>
        <w:t xml:space="preserve"> na ukształtowanie się formacji tak zwanej gwiazdy porannej doji</w:t>
      </w:r>
      <w:r>
        <w:rPr>
          <w:noProof/>
          <w:sz w:val="26"/>
          <w:szCs w:val="26"/>
          <w:lang w:eastAsia="pl-PL"/>
        </w:rPr>
        <w:t xml:space="preserve"> </w:t>
      </w:r>
      <w:r w:rsidRPr="001B3A62">
        <w:rPr>
          <w:b/>
          <w:noProof/>
          <w:color w:val="FF0000"/>
          <w:sz w:val="26"/>
          <w:szCs w:val="26"/>
          <w:lang w:eastAsia="pl-PL"/>
        </w:rPr>
        <w:t>(wykres górny).</w:t>
      </w:r>
      <w:r w:rsidRPr="001B3A62">
        <w:rPr>
          <w:noProof/>
          <w:color w:val="FF0000"/>
          <w:sz w:val="26"/>
          <w:szCs w:val="26"/>
          <w:lang w:eastAsia="pl-PL"/>
        </w:rPr>
        <w:t xml:space="preserve"> </w:t>
      </w:r>
      <w:r w:rsidRPr="000B3E28">
        <w:rPr>
          <w:noProof/>
          <w:sz w:val="26"/>
          <w:szCs w:val="26"/>
          <w:lang w:eastAsia="pl-PL"/>
        </w:rPr>
        <w:t xml:space="preserve">Nie wnikając w szczegóły można ogólnie powiedzieć, że formacja ta składa się z 3 świec. O tym, co formacja ta pojawi się przekonamy się w przyszłym tygodniu. </w:t>
      </w:r>
    </w:p>
    <w:p w:rsidR="007F0629" w:rsidRPr="000B3E28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F6020A" w:rsidRDefault="007F0629" w:rsidP="007F0629">
      <w:pPr>
        <w:pStyle w:val="Bezodstpw"/>
        <w:rPr>
          <w:b/>
          <w:noProof/>
          <w:sz w:val="26"/>
          <w:szCs w:val="26"/>
          <w:u w:val="single"/>
          <w:lang w:eastAsia="pl-PL"/>
        </w:rPr>
      </w:pPr>
      <w:r w:rsidRPr="00F6020A">
        <w:rPr>
          <w:b/>
          <w:noProof/>
          <w:sz w:val="26"/>
          <w:szCs w:val="26"/>
          <w:u w:val="single"/>
          <w:lang w:eastAsia="pl-PL"/>
        </w:rPr>
        <w:t>WIG</w:t>
      </w:r>
      <w:r>
        <w:rPr>
          <w:b/>
          <w:noProof/>
          <w:sz w:val="26"/>
          <w:szCs w:val="26"/>
          <w:u w:val="single"/>
          <w:lang w:eastAsia="pl-PL"/>
        </w:rPr>
        <w:t xml:space="preserve"> – stan faktyczny </w:t>
      </w: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578C5B1" wp14:editId="65451088">
            <wp:extent cx="4829175" cy="2895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r w:rsidRPr="001B3A62">
        <w:rPr>
          <w:b/>
          <w:noProof/>
          <w:sz w:val="26"/>
          <w:szCs w:val="26"/>
          <w:lang w:eastAsia="pl-PL"/>
        </w:rPr>
        <w:t>Gdyby</w:t>
      </w:r>
      <w:r>
        <w:rPr>
          <w:noProof/>
          <w:sz w:val="26"/>
          <w:szCs w:val="26"/>
          <w:lang w:eastAsia="pl-PL"/>
        </w:rPr>
        <w:t xml:space="preserve"> </w:t>
      </w:r>
      <w:r w:rsidRPr="001B3A62">
        <w:rPr>
          <w:b/>
          <w:noProof/>
          <w:sz w:val="26"/>
          <w:szCs w:val="26"/>
          <w:lang w:eastAsia="pl-PL"/>
        </w:rPr>
        <w:t>WIG</w:t>
      </w:r>
      <w:r>
        <w:rPr>
          <w:noProof/>
          <w:sz w:val="26"/>
          <w:szCs w:val="26"/>
          <w:lang w:eastAsia="pl-PL"/>
        </w:rPr>
        <w:t xml:space="preserve"> </w:t>
      </w:r>
      <w:r w:rsidRPr="001B3A62">
        <w:rPr>
          <w:b/>
          <w:noProof/>
          <w:sz w:val="26"/>
          <w:szCs w:val="26"/>
          <w:lang w:eastAsia="pl-PL"/>
        </w:rPr>
        <w:t>na otwarciu</w:t>
      </w:r>
      <w:r>
        <w:rPr>
          <w:noProof/>
          <w:sz w:val="26"/>
          <w:szCs w:val="26"/>
          <w:lang w:eastAsia="pl-PL"/>
        </w:rPr>
        <w:t xml:space="preserve"> w poniedziałek 7 gruidnia osiągnał poziom </w:t>
      </w:r>
      <w:r w:rsidRPr="001B3A62">
        <w:rPr>
          <w:b/>
          <w:noProof/>
          <w:sz w:val="26"/>
          <w:szCs w:val="26"/>
          <w:lang w:eastAsia="pl-PL"/>
        </w:rPr>
        <w:t>wyższy od 46 543,70 pkt.</w:t>
      </w:r>
      <w:r>
        <w:rPr>
          <w:noProof/>
          <w:sz w:val="26"/>
          <w:szCs w:val="26"/>
          <w:lang w:eastAsia="pl-PL"/>
        </w:rPr>
        <w:t xml:space="preserve"> (czyli wzrósł minimalnie w stosunku do piątkowego zamknięcia) </w:t>
      </w:r>
      <w:r w:rsidRPr="001B3A62">
        <w:rPr>
          <w:b/>
          <w:noProof/>
          <w:sz w:val="26"/>
          <w:szCs w:val="26"/>
          <w:lang w:eastAsia="pl-PL"/>
        </w:rPr>
        <w:t xml:space="preserve">a notowania w dniu 7 grudnia zakończyl na poziomie wyzszym do zamknięcia z 4 grudnia o </w:t>
      </w:r>
      <w:r w:rsidR="00E67024">
        <w:rPr>
          <w:b/>
          <w:noProof/>
          <w:sz w:val="26"/>
          <w:szCs w:val="26"/>
          <w:lang w:eastAsia="pl-PL"/>
        </w:rPr>
        <w:t xml:space="preserve">np. </w:t>
      </w:r>
      <w:r w:rsidRPr="001B3A62">
        <w:rPr>
          <w:b/>
          <w:noProof/>
          <w:sz w:val="26"/>
          <w:szCs w:val="26"/>
          <w:lang w:eastAsia="pl-PL"/>
        </w:rPr>
        <w:t>0,8 %</w:t>
      </w:r>
      <w:r>
        <w:rPr>
          <w:noProof/>
          <w:sz w:val="26"/>
          <w:szCs w:val="26"/>
          <w:lang w:eastAsia="pl-PL"/>
        </w:rPr>
        <w:t xml:space="preserve"> </w:t>
      </w:r>
      <w:r w:rsidRPr="001B3A62">
        <w:rPr>
          <w:b/>
          <w:noProof/>
          <w:color w:val="FF0000"/>
          <w:sz w:val="26"/>
          <w:szCs w:val="26"/>
          <w:lang w:eastAsia="pl-PL"/>
        </w:rPr>
        <w:t>(wykres dolny)</w:t>
      </w:r>
      <w:r w:rsidRPr="001B3A62">
        <w:rPr>
          <w:noProof/>
          <w:color w:val="FF0000"/>
          <w:sz w:val="26"/>
          <w:szCs w:val="26"/>
          <w:lang w:eastAsia="pl-PL"/>
        </w:rPr>
        <w:t xml:space="preserve"> </w:t>
      </w:r>
      <w:r>
        <w:rPr>
          <w:noProof/>
          <w:sz w:val="26"/>
          <w:szCs w:val="26"/>
          <w:lang w:eastAsia="pl-PL"/>
        </w:rPr>
        <w:t xml:space="preserve">to wówczas pojawilaby się formacja gwiazdy porannej doji. Formacja ta w teorii analizy technicznej zapowiada wzrosty. </w:t>
      </w: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</w:p>
    <w:p w:rsidR="007F0629" w:rsidRPr="000B3E28" w:rsidRDefault="007F0629" w:rsidP="007F0629">
      <w:pPr>
        <w:pStyle w:val="Bezodstpw"/>
        <w:rPr>
          <w:b/>
          <w:noProof/>
          <w:sz w:val="26"/>
          <w:szCs w:val="26"/>
          <w:u w:val="single"/>
          <w:lang w:eastAsia="pl-PL"/>
        </w:rPr>
      </w:pPr>
      <w:r w:rsidRPr="000B3E28">
        <w:rPr>
          <w:b/>
          <w:noProof/>
          <w:sz w:val="26"/>
          <w:szCs w:val="26"/>
          <w:u w:val="single"/>
          <w:lang w:eastAsia="pl-PL"/>
        </w:rPr>
        <w:t>WIG</w:t>
      </w:r>
      <w:r>
        <w:rPr>
          <w:b/>
          <w:noProof/>
          <w:sz w:val="26"/>
          <w:szCs w:val="26"/>
          <w:u w:val="single"/>
          <w:lang w:eastAsia="pl-PL"/>
        </w:rPr>
        <w:t xml:space="preserve"> – stan faktyczny oraz </w:t>
      </w:r>
      <w:r w:rsidRPr="005608B6">
        <w:rPr>
          <w:b/>
          <w:noProof/>
          <w:color w:val="FF0000"/>
          <w:sz w:val="26"/>
          <w:szCs w:val="26"/>
          <w:lang w:eastAsia="pl-PL"/>
        </w:rPr>
        <w:t>symulacja sesji z 7 grudnia 2015 roku</w:t>
      </w:r>
      <w:r w:rsidRPr="005608B6">
        <w:rPr>
          <w:b/>
          <w:noProof/>
          <w:color w:val="FF0000"/>
          <w:sz w:val="26"/>
          <w:szCs w:val="26"/>
          <w:u w:val="single"/>
          <w:lang w:eastAsia="pl-PL"/>
        </w:rPr>
        <w:t xml:space="preserve"> </w:t>
      </w:r>
    </w:p>
    <w:p w:rsidR="007F0629" w:rsidRDefault="007F0629" w:rsidP="007F0629">
      <w:pPr>
        <w:pStyle w:val="Bezodstpw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25982D90" wp14:editId="5A18C653">
            <wp:extent cx="4829175" cy="2895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>Za pewną poprawą sytuacji na GPW w Warszawie przynajmniej w horyzoncioe krótkoterminowym przemawiają również 2 inne argumenty.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9A517F" w:rsidRDefault="007F0629" w:rsidP="007F062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EEAA"/>
        <w:jc w:val="both"/>
        <w:rPr>
          <w:b/>
          <w:noProof/>
          <w:sz w:val="26"/>
          <w:szCs w:val="26"/>
          <w:lang w:eastAsia="pl-PL"/>
        </w:rPr>
      </w:pPr>
      <w:r w:rsidRPr="009A517F">
        <w:rPr>
          <w:b/>
          <w:noProof/>
          <w:sz w:val="26"/>
          <w:szCs w:val="26"/>
          <w:lang w:eastAsia="pl-PL"/>
        </w:rPr>
        <w:t>Argument psychologiczny. Inwestorzy indywidualni są pesymistami. Wedle najnowszego badania ankietowego Stowarzyszenia Inwestorów Indywidualnych okazuje się, że 45,7 % ankietowanych inwestorów spodziewa się spadków cen akcji na giełdzie warszawskiej w okresie następnych 6 miesięcy. Z kolei wzrostów oczekuje 33,7 % ankietowanych.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Default="004D513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hyperlink r:id="rId11" w:history="1">
        <w:r w:rsidR="007F0629" w:rsidRPr="000F6A57">
          <w:rPr>
            <w:rStyle w:val="Hipercze"/>
            <w:noProof/>
            <w:sz w:val="26"/>
            <w:szCs w:val="26"/>
            <w:lang w:eastAsia="pl-PL"/>
          </w:rPr>
          <w:t>http://www.sii.org.pl/3438/edukacja-i-analizy/indeks-nastrojow-inwestorow.html</w:t>
        </w:r>
      </w:hyperlink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8B3FAC" w:rsidRDefault="007F0629" w:rsidP="007F0629">
      <w:pPr>
        <w:pStyle w:val="Bezodstpw"/>
        <w:jc w:val="both"/>
        <w:rPr>
          <w:b/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To paradoksalnie dobry znak dla posiadaczy akcji. Doświadczenie uczy bowiem, że </w:t>
      </w:r>
      <w:r w:rsidRPr="00A1089B">
        <w:rPr>
          <w:b/>
          <w:noProof/>
          <w:color w:val="FF0000"/>
          <w:sz w:val="26"/>
          <w:szCs w:val="26"/>
          <w:lang w:eastAsia="pl-PL"/>
        </w:rPr>
        <w:t>wzrosty na rynku akcji poprzedzone są często brakiem wiary w ich nadejscie</w:t>
      </w:r>
      <w:r>
        <w:rPr>
          <w:noProof/>
          <w:sz w:val="26"/>
          <w:szCs w:val="26"/>
          <w:lang w:eastAsia="pl-PL"/>
        </w:rPr>
        <w:t xml:space="preserve">. Skoro tak to także z psychologicznego punktu widzenia </w:t>
      </w:r>
      <w:r w:rsidRPr="008B3FAC">
        <w:rPr>
          <w:b/>
          <w:noProof/>
          <w:sz w:val="26"/>
          <w:szCs w:val="26"/>
          <w:lang w:eastAsia="pl-PL"/>
        </w:rPr>
        <w:t xml:space="preserve">możemy być w przynajmniej krótkim okresie świadkami nadejścia wzrostów. 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r w:rsidRPr="008B3FAC">
        <w:rPr>
          <w:b/>
          <w:noProof/>
          <w:sz w:val="26"/>
          <w:szCs w:val="26"/>
          <w:lang w:eastAsia="pl-PL"/>
        </w:rPr>
        <w:t>Dlaczego wspominam o ,,krótkim okresie”</w:t>
      </w:r>
      <w:r>
        <w:rPr>
          <w:noProof/>
          <w:sz w:val="26"/>
          <w:szCs w:val="26"/>
          <w:lang w:eastAsia="pl-PL"/>
        </w:rPr>
        <w:t xml:space="preserve"> ? Dlatego, że na razie nie oczekuję rozpoczęcia duzej hossy na GPW w Warszawie, gdyż na przykład uklad średnich ruchomyuch jest obecnie typowy dla bessy a </w:t>
      </w:r>
      <w:r w:rsidRPr="008B3FAC">
        <w:rPr>
          <w:b/>
          <w:noProof/>
          <w:sz w:val="26"/>
          <w:szCs w:val="26"/>
          <w:lang w:eastAsia="pl-PL"/>
        </w:rPr>
        <w:t xml:space="preserve">na wykresie indeksu WIG nie wypelnila się jeszcze </w:t>
      </w:r>
      <w:r>
        <w:rPr>
          <w:b/>
          <w:noProof/>
          <w:sz w:val="26"/>
          <w:szCs w:val="26"/>
          <w:lang w:eastAsia="pl-PL"/>
        </w:rPr>
        <w:t xml:space="preserve">długoterminowa </w:t>
      </w:r>
      <w:r w:rsidRPr="008B3FAC">
        <w:rPr>
          <w:b/>
          <w:noProof/>
          <w:sz w:val="26"/>
          <w:szCs w:val="26"/>
          <w:lang w:eastAsia="pl-PL"/>
        </w:rPr>
        <w:t>formacja podwójengo szczytu</w:t>
      </w:r>
      <w:r>
        <w:rPr>
          <w:noProof/>
          <w:sz w:val="26"/>
          <w:szCs w:val="26"/>
          <w:lang w:eastAsia="pl-PL"/>
        </w:rPr>
        <w:t>.</w:t>
      </w:r>
      <w:r w:rsidRPr="008B3FAC">
        <w:t xml:space="preserve"> </w:t>
      </w:r>
      <w:r w:rsidRPr="008B3FAC">
        <w:rPr>
          <w:noProof/>
          <w:sz w:val="26"/>
          <w:szCs w:val="26"/>
          <w:lang w:eastAsia="pl-PL"/>
        </w:rPr>
        <w:t xml:space="preserve">Gdyby formacja ta miała się wypełnić powinno dojść w dłuższym terminie jeszcze do spadku indeksu WIG </w:t>
      </w:r>
      <w:r>
        <w:rPr>
          <w:noProof/>
          <w:sz w:val="26"/>
          <w:szCs w:val="26"/>
          <w:lang w:eastAsia="pl-PL"/>
        </w:rPr>
        <w:t>do 44 388,66 pkt.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583877" w:rsidRDefault="007F0629" w:rsidP="007F0629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583877">
        <w:rPr>
          <w:b/>
          <w:noProof/>
          <w:sz w:val="26"/>
          <w:szCs w:val="26"/>
          <w:u w:val="single"/>
          <w:lang w:eastAsia="pl-PL"/>
        </w:rPr>
        <w:t>WIG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37D5644" wp14:editId="7A6328B2">
            <wp:extent cx="5429250" cy="3257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9A517F" w:rsidRDefault="007F0629" w:rsidP="007F062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EEAA"/>
        <w:jc w:val="both"/>
        <w:rPr>
          <w:b/>
          <w:noProof/>
          <w:sz w:val="26"/>
          <w:szCs w:val="26"/>
          <w:lang w:eastAsia="pl-PL"/>
        </w:rPr>
      </w:pPr>
      <w:r w:rsidRPr="009A517F">
        <w:rPr>
          <w:b/>
          <w:noProof/>
          <w:sz w:val="26"/>
          <w:szCs w:val="26"/>
          <w:lang w:eastAsia="pl-PL"/>
        </w:rPr>
        <w:lastRenderedPageBreak/>
        <w:t>Argumnet związany z seznonowością. Za tym, że WIG20 może wejść teraz w pewne przynajmniej krótkoterminowe (a może także średnioterminowe) odreagowanie przemawia też to, iż znajdujemy się wobecnie w stosunkowo korzystnym dla posiadaczy akcji okresie ,,przełomu roku” obejmującym okres od października do końca kwietnia roku następnego.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rynku akcji w wielu krajach świata mamy do czynienia ze zjawiskiem sezonowości. Jednym z jej przejawów jest to, że </w:t>
      </w:r>
      <w:r>
        <w:rPr>
          <w:b/>
          <w:sz w:val="26"/>
          <w:szCs w:val="26"/>
        </w:rPr>
        <w:t>zachowanie kursów akcji spółek jest o wiele lepsze</w:t>
      </w:r>
      <w:r>
        <w:rPr>
          <w:sz w:val="26"/>
          <w:szCs w:val="26"/>
        </w:rPr>
        <w:t xml:space="preserve"> w okresie </w:t>
      </w:r>
      <w:r>
        <w:rPr>
          <w:b/>
          <w:sz w:val="26"/>
          <w:szCs w:val="26"/>
        </w:rPr>
        <w:t>pomiędzy końcem października roku T a końcem kwietnia roku T+1</w:t>
      </w:r>
      <w:r>
        <w:rPr>
          <w:sz w:val="26"/>
          <w:szCs w:val="26"/>
        </w:rPr>
        <w:t>, niż pomiędzy końcem kwietnia roku T a końcem października roku T.</w:t>
      </w:r>
    </w:p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tabeli przedstawiłem zachowanie indeksu WIG20 obejmującego 20 dużych spółek, których akcje notowane są na Giełdzie Papierów Wartościowym w Warszawie pomiędzy końcem października roku T a końcem kwietnia roku T+1 w poszczególnych latach okresu 1994-2015. </w:t>
      </w: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</w:p>
    <w:p w:rsidR="007F0629" w:rsidRDefault="007F0629" w:rsidP="007F062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indeksu WIG20 </w:t>
      </w:r>
      <w:r>
        <w:rPr>
          <w:b/>
          <w:color w:val="FF0000"/>
          <w:sz w:val="26"/>
          <w:szCs w:val="26"/>
        </w:rPr>
        <w:t>pomiędzy końcem października danego roku o końcem kwietnia roku następnego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w okresie </w:t>
      </w:r>
      <w:r>
        <w:rPr>
          <w:sz w:val="26"/>
          <w:szCs w:val="26"/>
        </w:rPr>
        <w:t>1994-2015</w:t>
      </w:r>
    </w:p>
    <w:p w:rsidR="007F0629" w:rsidRDefault="007F0629" w:rsidP="007F0629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indeksu WIG20 w %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końca października 1994 roku do końca kwietnia 1995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11,7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1995 roku do końca kwietnia 1996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62,9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1996 roku do końca kwietnia 1997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17,8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1997 roku do końca kwietnia 1998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21,4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1998 roku do końca kwietnia 1999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20,7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1999 roku do końca kwietnia 2000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43,0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2000 roku do końca kwietnia 2001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-8,1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2001 roku do końca kwietnia 2002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6,9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2002 roku do końca kwietnia 2003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-5,8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2003 roku do końca kwietnia 2004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11,1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2004 roku do końca kwietnia 2005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2005 roku do końca kwietnia 2006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36,5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2006 roku do końca kwietnia 2007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15,6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2007 roku do końca kwietnia 2008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-24,6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2008 roku do końca kwietnia 2009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-1,5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2009 roku do końca kwietnia 2010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12,0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2010 roku do końca kwietnia 2011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9,9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2011 roku do końca kwietnia 2012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-5,5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2012 roku do końca kwietnia 2013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0,1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2013 roku do końca kwietnia 2014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-3,6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jc w:val="center"/>
            </w:pPr>
            <w:r>
              <w:rPr>
                <w:sz w:val="23"/>
                <w:szCs w:val="23"/>
              </w:rPr>
              <w:t>Od końca października 2014 roku do końca kwietnia 2015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9" w:rsidRDefault="007F0629" w:rsidP="00DD080F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2,1</w:t>
            </w:r>
          </w:p>
        </w:tc>
      </w:tr>
      <w:tr w:rsidR="007F0629" w:rsidTr="00DD08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629" w:rsidRDefault="007F0629" w:rsidP="00DD08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629" w:rsidRDefault="007F0629" w:rsidP="00DD080F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10,7</w:t>
            </w:r>
          </w:p>
        </w:tc>
      </w:tr>
    </w:tbl>
    <w:p w:rsidR="007F0629" w:rsidRDefault="007F0629" w:rsidP="007F062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7F0629" w:rsidRPr="008B4215" w:rsidRDefault="007F0629" w:rsidP="007F062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</w:rPr>
      </w:pPr>
      <w:r w:rsidRPr="008B4215">
        <w:rPr>
          <w:rFonts w:eastAsia="Times New Roman" w:cs="Times New Roman"/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8B4215">
        <w:rPr>
          <w:rFonts w:eastAsia="Times New Roman" w:cs="Times New Roman"/>
          <w:b/>
          <w:sz w:val="100"/>
          <w:szCs w:val="100"/>
        </w:rPr>
        <w:t>,,</w:t>
      </w:r>
      <w:proofErr w:type="gramEnd"/>
      <w:r w:rsidRPr="008B4215">
        <w:rPr>
          <w:rFonts w:eastAsia="Times New Roman" w:cs="Times New Roman"/>
          <w:b/>
          <w:sz w:val="100"/>
          <w:szCs w:val="100"/>
        </w:rPr>
        <w:t>Wykres do przemyślenia” w okresie 12 pierwszych miesięcy po jej wprowadzeniu do tej rubryki ?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4 grudnia 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>2015 roku</w:t>
      </w:r>
    </w:p>
    <w:p w:rsidR="007F0629" w:rsidRPr="008B4215" w:rsidRDefault="007F0629" w:rsidP="007F06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b/>
          <w:sz w:val="26"/>
          <w:szCs w:val="26"/>
        </w:rPr>
        <w:lastRenderedPageBreak/>
        <w:t xml:space="preserve">Wprowadzenie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Strona internetowa </w:t>
      </w:r>
      <w:hyperlink r:id="rId1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26"/>
          <w:szCs w:val="26"/>
        </w:rPr>
        <w:t xml:space="preserve"> prowadzona jest od września 2014 roku.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Co tydzień publikowany jest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Raport Tygodniowy”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czasu do czasu umieszczam wybrane spółki w rubryce </w:t>
      </w:r>
      <w:proofErr w:type="gramStart"/>
      <w:r w:rsidRPr="008B4215">
        <w:rPr>
          <w:rFonts w:eastAsia="Times New Roman" w:cs="Times New Roman"/>
          <w:b/>
          <w:color w:val="FF0000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Wykres do przemyślenia”.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Umieszczane są tam te przykładowe spółki, których kurs </w:t>
      </w:r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wybił się z formacji podwójnego dna.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Formacja podwójnego dna ma </w:t>
      </w:r>
      <w:r w:rsidRPr="008B4215">
        <w:rPr>
          <w:rFonts w:eastAsia="Times New Roman" w:cs="Times New Roman"/>
          <w:b/>
          <w:sz w:val="26"/>
          <w:szCs w:val="26"/>
        </w:rPr>
        <w:t xml:space="preserve">2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 xml:space="preserve">zadania”.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Podstawowym, minimalnym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jej wypełnienie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Drugim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doprowadzenie do zmiany trendu ze spadkowego na wzrostowy.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Osobiście wyróżniam </w:t>
      </w:r>
      <w:r w:rsidRPr="008B4215">
        <w:rPr>
          <w:rFonts w:eastAsia="Times New Roman" w:cs="Times New Roman"/>
          <w:b/>
          <w:sz w:val="26"/>
          <w:szCs w:val="26"/>
        </w:rPr>
        <w:t>typowe oraz nietypowe podwójne dno.</w:t>
      </w:r>
      <w:r w:rsidRPr="008B4215">
        <w:rPr>
          <w:rFonts w:eastAsia="Times New Roman" w:cs="Times New Roman"/>
          <w:sz w:val="26"/>
          <w:szCs w:val="26"/>
        </w:rPr>
        <w:t xml:space="preserve">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>Natomiast w przypadku nietypowej formacji podwójnego dna kształtują się one na poziomie zupełnie odmiennym.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pierwszego numeru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postanowiłem, że będę </w:t>
      </w:r>
      <w:r w:rsidRPr="008B4215">
        <w:rPr>
          <w:rFonts w:eastAsia="Times New Roman" w:cs="Times New Roman"/>
          <w:b/>
          <w:sz w:val="26"/>
          <w:szCs w:val="26"/>
        </w:rPr>
        <w:t>porównywał</w:t>
      </w:r>
      <w:r w:rsidRPr="008B4215">
        <w:rPr>
          <w:rFonts w:eastAsia="Times New Roman" w:cs="Times New Roman"/>
          <w:sz w:val="26"/>
          <w:szCs w:val="26"/>
        </w:rPr>
        <w:t xml:space="preserve"> zachowanie kursu akcji spółki po wprowadzeniu jej do rubryki ,,Wykres do przemyślenia” </w:t>
      </w:r>
      <w:r w:rsidRPr="008B4215">
        <w:rPr>
          <w:rFonts w:eastAsia="Times New Roman" w:cs="Times New Roman"/>
          <w:b/>
          <w:sz w:val="26"/>
          <w:szCs w:val="26"/>
        </w:rPr>
        <w:t xml:space="preserve">z zachowaniem indeksu WIG20.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Mam świadomość, że podejście to może budzić kontrowersje, sprzeciw. Dobrze. Tak być musi.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Postanowiłem odpowiedzieć na pytanie: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W związku z powyższym postanowiłem odpowiedzieć </w:t>
      </w:r>
      <w:r w:rsidRPr="008B4215">
        <w:rPr>
          <w:rFonts w:eastAsia="Times New Roman" w:cs="Times New Roman"/>
          <w:b/>
          <w:sz w:val="26"/>
          <w:szCs w:val="26"/>
        </w:rPr>
        <w:t>także</w:t>
      </w:r>
      <w:r w:rsidRPr="008B4215">
        <w:rPr>
          <w:rFonts w:eastAsia="Times New Roman" w:cs="Times New Roman"/>
          <w:sz w:val="26"/>
          <w:szCs w:val="26"/>
        </w:rPr>
        <w:t xml:space="preserve"> na pytanie: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Ile wynosiła średnia procentowa zmiana indeksu WIG 20 w tym okresie ?”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Odpowiedź na te pytania przedstawiłem w tabeli na następnej stronie.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05.09.2014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04.09.2015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Immobile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2,04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2,35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+15,2 %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Lena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3,99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4,44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+11,3 %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Netmedia</w:t>
            </w:r>
            <w:proofErr w:type="spellEnd"/>
            <w:proofErr w:type="gram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3,63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5,64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+55,4 %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Rafako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4,25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6,72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+58,1 %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 +35,0 %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2 541,42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2 146,47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 -15,5 %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12.09.2014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11.09.2015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Boryszew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6,50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5,15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-20,8 %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-20,8 %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2 185,46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-12,5 %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4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15.09.2014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15.09.2015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Erbud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26,50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32,90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24,2 %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24,2 %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2 185,88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-12,2 %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19.09.2014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IF Capital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1,32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0,98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2,3 %</w:t>
            </w:r>
          </w:p>
        </w:tc>
      </w:tr>
      <w:tr w:rsidR="007F0629" w:rsidRPr="008B4215" w:rsidTr="00DD080F">
        <w:trPr>
          <w:trHeight w:val="310"/>
        </w:trPr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2,3 %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-13,2 %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5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24.09.2014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Capital Partners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1,85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2,40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+29,7 %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+29,7 %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2 082,95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-15,8 %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26.09.2014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25.09.2015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Asseco</w:t>
            </w:r>
            <w:proofErr w:type="spellEnd"/>
            <w:r w:rsidRPr="008B4215">
              <w:t xml:space="preserve"> Poland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45,64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54,70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+19,9 %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>spółki  CD</w:t>
            </w:r>
            <w:proofErr w:type="gramEnd"/>
            <w:r w:rsidRPr="008B4215">
              <w:t xml:space="preserve"> Projekt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16,59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26,80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+61,5 %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Sygnity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17,60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8,82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- 49,9 %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+10,5% 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2484,02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- 15,8 %</w:t>
            </w:r>
          </w:p>
        </w:tc>
      </w:tr>
    </w:tbl>
    <w:p w:rsidR="007F0629" w:rsidRPr="008B4215" w:rsidRDefault="007F0629" w:rsidP="007F062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03.10.2014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02.10.2015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244,10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278,15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+13,9 %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+13,9 %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2 444,06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2 036,32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-16,7 %</w:t>
            </w:r>
          </w:p>
        </w:tc>
      </w:tr>
    </w:tbl>
    <w:p w:rsidR="007F0629" w:rsidRPr="008B4215" w:rsidRDefault="007F0629" w:rsidP="007F062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17.10.2014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Tauron</w:t>
            </w:r>
            <w:proofErr w:type="spellEnd"/>
            <w:r w:rsidRPr="008B4215">
              <w:t xml:space="preserve"> Polska Energia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5,21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3,23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-38,0 %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-38,0 %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2 121,94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-11,6 %</w:t>
            </w:r>
          </w:p>
        </w:tc>
      </w:tr>
    </w:tbl>
    <w:p w:rsidR="007F0629" w:rsidRPr="008B4215" w:rsidRDefault="007F0629" w:rsidP="007F0629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22 października na stronie internetowej </w:t>
      </w:r>
      <w:hyperlink r:id="rId16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21 października do 19 czerwca 2015 roku do 21 października 2015 roku oraz procentowa zmiana indeksu WIG 20 w tym okresie. </w:t>
      </w:r>
    </w:p>
    <w:p w:rsidR="007F0629" w:rsidRPr="005A152F" w:rsidRDefault="007F0629" w:rsidP="007F0629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21.10.2014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21.10.2015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Elektrotim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8,70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18,66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+ 114,5 %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Relpol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6,70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-3,3 %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+ 55,6 %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2 423,77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2 105,65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siódmym numerze </w:t>
      </w:r>
      <w:proofErr w:type="gramStart"/>
      <w:r w:rsidRPr="005A152F">
        <w:rPr>
          <w:rFonts w:eastAsia="Times New Roman" w:cs="Times New Roman"/>
          <w:sz w:val="26"/>
          <w:szCs w:val="26"/>
        </w:rPr>
        <w:t>,,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7F0629" w:rsidRPr="005A152F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24.10.2014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23.10.2015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Tesgas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4,32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3,70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-14,4 %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-14,4 %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2 107,43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7F0629" w:rsidRPr="005A152F" w:rsidRDefault="007F0629" w:rsidP="007F062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31.10.2014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30.10.2015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Enea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16,00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12,83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-19,8 %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-19,8 %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2 463,68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2 060,03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-16,4 %</w:t>
            </w:r>
          </w:p>
        </w:tc>
      </w:tr>
    </w:tbl>
    <w:p w:rsidR="007F0629" w:rsidRPr="005A152F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7F0629" w:rsidRPr="005A152F" w:rsidRDefault="007F0629" w:rsidP="007F062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>Raportu Tygodniowego” z 1 grudnia 2014 roku w rubryce ,,Wykres do przemyślenia” w okresie od 28 listopada 2014 roku do 2</w:t>
      </w:r>
      <w:r>
        <w:rPr>
          <w:rFonts w:eastAsia="Times New Roman" w:cs="Times New Roman"/>
          <w:sz w:val="28"/>
          <w:szCs w:val="28"/>
        </w:rPr>
        <w:t>7</w:t>
      </w:r>
      <w:r w:rsidRPr="005A152F">
        <w:rPr>
          <w:rFonts w:eastAsia="Times New Roman" w:cs="Times New Roman"/>
          <w:sz w:val="28"/>
          <w:szCs w:val="28"/>
        </w:rPr>
        <w:t xml:space="preserve"> listopada 2015 roku oraz procentowa zmiana indeksu WIG 20 w tym okresie. </w:t>
      </w:r>
    </w:p>
    <w:p w:rsidR="007F0629" w:rsidRPr="005A152F" w:rsidRDefault="007F0629" w:rsidP="007F0629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28.11.2014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Procad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1,06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1,8</w:t>
            </w:r>
            <w:r>
              <w:t>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73</w:t>
            </w:r>
            <w:r w:rsidRPr="008B4215">
              <w:t>,</w:t>
            </w:r>
            <w:r>
              <w:t>6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73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2 416,93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7F0629" w:rsidRPr="00EC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EC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 grudnia na stronie internetowej </w:t>
      </w:r>
      <w:hyperlink r:id="rId17" w:history="1">
        <w:r w:rsidRPr="00EC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EC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EC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EC4215">
        <w:rPr>
          <w:rFonts w:eastAsia="Times New Roman" w:cs="Times New Roman"/>
          <w:sz w:val="26"/>
          <w:szCs w:val="26"/>
        </w:rPr>
        <w:t xml:space="preserve"> do przemyślenia” w okresie od 1 grudnia 2014 roku do 1 grudnia 2015 roku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01.12.2014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01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PKO BP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37,65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7</w:t>
            </w:r>
            <w:r w:rsidRPr="008B4215">
              <w:t>,</w:t>
            </w:r>
            <w:r>
              <w:t>20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-2</w:t>
            </w:r>
            <w:r>
              <w:t>7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1 923</w:t>
            </w:r>
            <w:r w:rsidRPr="008B4215">
              <w:t>,</w:t>
            </w:r>
            <w:r>
              <w:t>94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20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7F0629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</w:p>
    <w:p w:rsidR="007F0629" w:rsidRPr="00EC4215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</w:pPr>
      <w:r w:rsidRPr="00EC4215">
        <w:rPr>
          <w:rFonts w:ascii="Calibri" w:eastAsia="Times New Roman" w:hAnsi="Calibri" w:cs="Times New Roman"/>
          <w:sz w:val="64"/>
          <w:szCs w:val="64"/>
          <w:u w:val="single"/>
          <w:lang w:eastAsia="pl-PL"/>
        </w:rPr>
        <w:t>Wniosek końcowy z powyższych rozważań brzmi następująco:</w:t>
      </w:r>
    </w:p>
    <w:p w:rsidR="007F0629" w:rsidRPr="00EC4215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64"/>
          <w:szCs w:val="64"/>
          <w:u w:val="single"/>
          <w:lang w:eastAsia="pl-PL"/>
        </w:rPr>
      </w:pPr>
    </w:p>
    <w:p w:rsidR="007F0629" w:rsidRPr="00EC4215" w:rsidRDefault="007F0629" w:rsidP="007F062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64"/>
          <w:szCs w:val="64"/>
          <w:u w:val="single"/>
          <w:lang w:eastAsia="pl-PL"/>
        </w:rPr>
      </w:pPr>
      <w:r w:rsidRPr="00EC4215">
        <w:rPr>
          <w:rFonts w:ascii="Calibri" w:eastAsia="Times New Roman" w:hAnsi="Calibri" w:cs="Times New Roman"/>
          <w:color w:val="000000"/>
          <w:sz w:val="64"/>
          <w:szCs w:val="64"/>
          <w:lang w:eastAsia="pl-PL"/>
        </w:rPr>
        <w:t xml:space="preserve">Średnia procentowa zmiana kursu akcji spółki po wprowadzeniu jej do rubryki </w:t>
      </w:r>
      <w:proofErr w:type="gramStart"/>
      <w:r w:rsidRPr="00EC4215">
        <w:rPr>
          <w:rFonts w:ascii="Calibri" w:eastAsia="Times New Roman" w:hAnsi="Calibri" w:cs="Times New Roman"/>
          <w:b/>
          <w:color w:val="FF0000"/>
          <w:sz w:val="64"/>
          <w:szCs w:val="64"/>
          <w:lang w:eastAsia="pl-PL"/>
        </w:rPr>
        <w:t>,,</w:t>
      </w:r>
      <w:proofErr w:type="gramEnd"/>
      <w:r w:rsidRPr="00EC4215">
        <w:rPr>
          <w:rFonts w:ascii="Calibri" w:eastAsia="Times New Roman" w:hAnsi="Calibri" w:cs="Times New Roman"/>
          <w:b/>
          <w:color w:val="FF0000"/>
          <w:sz w:val="64"/>
          <w:szCs w:val="64"/>
          <w:lang w:eastAsia="pl-PL"/>
        </w:rPr>
        <w:t>Wykres do przemyślenia”</w:t>
      </w:r>
      <w:r w:rsidRPr="00EC4215">
        <w:rPr>
          <w:rFonts w:ascii="Calibri" w:eastAsia="Times New Roman" w:hAnsi="Calibri" w:cs="Times New Roman"/>
          <w:color w:val="000000"/>
          <w:sz w:val="64"/>
          <w:szCs w:val="64"/>
          <w:lang w:eastAsia="pl-PL"/>
        </w:rPr>
        <w:t xml:space="preserve"> w okresie 12 pierwszych miesięcy po jej wprowadzeniu do tej rubryki wynosiła </w:t>
      </w:r>
      <w:r w:rsidRPr="00EC4215">
        <w:rPr>
          <w:rFonts w:ascii="Calibri" w:eastAsia="Times New Roman" w:hAnsi="Calibri" w:cs="Times New Roman"/>
          <w:b/>
          <w:color w:val="FF0000"/>
          <w:sz w:val="64"/>
          <w:szCs w:val="64"/>
          <w:lang w:eastAsia="pl-PL"/>
        </w:rPr>
        <w:t>plus 16,1 %.</w:t>
      </w:r>
      <w:r w:rsidRPr="00EC4215">
        <w:rPr>
          <w:rFonts w:ascii="Calibri" w:eastAsia="Times New Roman" w:hAnsi="Calibri" w:cs="Times New Roman"/>
          <w:color w:val="FF0000"/>
          <w:sz w:val="64"/>
          <w:szCs w:val="64"/>
          <w:lang w:eastAsia="pl-PL"/>
        </w:rPr>
        <w:t xml:space="preserve"> </w:t>
      </w:r>
      <w:r w:rsidRPr="00EC4215"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</w:rPr>
        <w:t xml:space="preserve">Średnia procentowa zmiana indeksu </w:t>
      </w:r>
      <w:r w:rsidRPr="00EC4215">
        <w:rPr>
          <w:rFonts w:ascii="Calibri" w:eastAsia="Times New Roman" w:hAnsi="Calibri" w:cs="Times New Roman"/>
          <w:color w:val="000000" w:themeColor="text1"/>
          <w:sz w:val="64"/>
          <w:szCs w:val="64"/>
          <w:u w:val="single"/>
          <w:lang w:eastAsia="pl-PL"/>
        </w:rPr>
        <w:t xml:space="preserve">WIG20 </w:t>
      </w:r>
      <w:r w:rsidRPr="00EC4215">
        <w:rPr>
          <w:rFonts w:ascii="Calibri" w:eastAsia="Times New Roman" w:hAnsi="Calibri" w:cs="Times New Roman"/>
          <w:color w:val="000000" w:themeColor="text1"/>
          <w:sz w:val="64"/>
          <w:szCs w:val="64"/>
          <w:lang w:eastAsia="pl-PL"/>
        </w:rPr>
        <w:t xml:space="preserve">w tym okresie wynosiła </w:t>
      </w:r>
      <w:r w:rsidRPr="00EC4215">
        <w:rPr>
          <w:rFonts w:ascii="Calibri" w:eastAsia="Times New Roman" w:hAnsi="Calibri" w:cs="Times New Roman"/>
          <w:b/>
          <w:color w:val="000000" w:themeColor="text1"/>
          <w:sz w:val="64"/>
          <w:szCs w:val="64"/>
          <w:u w:val="single"/>
          <w:lang w:eastAsia="pl-PL"/>
        </w:rPr>
        <w:t xml:space="preserve">minus 15,1 %. </w:t>
      </w:r>
    </w:p>
    <w:p w:rsidR="007F0629" w:rsidRPr="008B4215" w:rsidRDefault="007F0629" w:rsidP="007F062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</w:rPr>
      </w:pPr>
      <w:r w:rsidRPr="008B4215">
        <w:rPr>
          <w:rFonts w:eastAsia="Times New Roman" w:cs="Times New Roman"/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8B4215">
        <w:rPr>
          <w:rFonts w:eastAsia="Times New Roman" w:cs="Times New Roman"/>
          <w:b/>
          <w:sz w:val="96"/>
          <w:szCs w:val="96"/>
        </w:rPr>
        <w:t>,,</w:t>
      </w:r>
      <w:proofErr w:type="gramEnd"/>
      <w:r w:rsidRPr="008B4215">
        <w:rPr>
          <w:rFonts w:eastAsia="Times New Roman" w:cs="Times New Roman"/>
          <w:b/>
          <w:sz w:val="96"/>
          <w:szCs w:val="96"/>
        </w:rPr>
        <w:t xml:space="preserve">Wykres do przemyślenia” w okresie 12 pierwszych miesięcy po jej wprowadzeniu do tej rubryki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7F0629" w:rsidRPr="008B4215" w:rsidRDefault="007F0629" w:rsidP="007F06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4 grudnia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2015 roku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15 grudnia 2014 roku w rubryce ,,Wykres do przemyślenia” w okresie od 12 grudnia 2014 roku do </w:t>
      </w:r>
      <w:r w:rsidR="004D5139">
        <w:rPr>
          <w:rFonts w:eastAsia="Times New Roman" w:cs="Times New Roman"/>
        </w:rPr>
        <w:t>4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12.12.2014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Mercor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8,14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8</w:t>
            </w:r>
            <w:r w:rsidRPr="008B4215">
              <w:t>,</w:t>
            </w:r>
            <w:r>
              <w:t>42</w:t>
            </w:r>
            <w:r w:rsidRPr="008B4215">
              <w:t xml:space="preserve">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+</w:t>
            </w:r>
            <w:r>
              <w:t>3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+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2 360,00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  </w:t>
            </w:r>
            <w:r>
              <w:t>20,8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bookmarkStart w:id="0" w:name="_GoBack"/>
      <w:bookmarkEnd w:id="0"/>
      <w:r w:rsidRPr="008B4215">
        <w:rPr>
          <w:rFonts w:eastAsia="Times New Roman" w:cs="Times New Roman"/>
        </w:rPr>
        <w:t xml:space="preserve">Tabela: Procentowa zmiana ceny akcji spółki, której akcje zostały umieszczone 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8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="004D5139">
        <w:rPr>
          <w:rFonts w:eastAsia="Times New Roman" w:cs="Times New Roman"/>
        </w:rPr>
        <w:t xml:space="preserve"> do przemyślenia” w okresie od 30</w:t>
      </w:r>
      <w:r w:rsidRPr="008B4215">
        <w:rPr>
          <w:rFonts w:eastAsia="Times New Roman" w:cs="Times New Roman"/>
        </w:rPr>
        <w:t xml:space="preserve"> grudnia </w:t>
      </w:r>
      <w:r w:rsidR="004D5139">
        <w:rPr>
          <w:rFonts w:eastAsia="Times New Roman" w:cs="Times New Roman"/>
        </w:rPr>
        <w:t xml:space="preserve">2014 roku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30.12.2014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Comarch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115,50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06</w:t>
            </w:r>
            <w:r w:rsidRPr="008B4215">
              <w:t>,</w:t>
            </w:r>
            <w:r>
              <w:t>50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-7,8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-7,8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2 315,94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9</w:t>
            </w:r>
            <w:r w:rsidRPr="008B4215">
              <w:t>,</w:t>
            </w:r>
            <w:r>
              <w:t>3</w:t>
            </w:r>
            <w:r w:rsidRPr="008B4215">
              <w:t xml:space="preserve"> 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9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stycznia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09.01.2015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Muza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3,34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3</w:t>
            </w:r>
            <w:r w:rsidRPr="008B4215">
              <w:t>,</w:t>
            </w:r>
            <w:r>
              <w:t>00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10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22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</w:rPr>
      </w:pPr>
    </w:p>
    <w:p w:rsidR="007F0629" w:rsidRPr="005A152F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30 stycznia 2015 roku </w:t>
      </w:r>
      <w:proofErr w:type="gramStart"/>
      <w:r w:rsidRPr="005A152F">
        <w:rPr>
          <w:rFonts w:eastAsia="Times New Roman" w:cs="Times New Roman"/>
          <w:sz w:val="26"/>
          <w:szCs w:val="26"/>
        </w:rPr>
        <w:t>na  stronie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internetowej </w:t>
      </w:r>
      <w:hyperlink r:id="rId20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29 stycznia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5A152F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29.01.2015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Lubawa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1,11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0</w:t>
            </w:r>
            <w:r w:rsidRPr="008B4215">
              <w:t>,</w:t>
            </w:r>
            <w:r>
              <w:t>75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32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4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7F0629" w:rsidRPr="00D94362" w:rsidRDefault="007F0629" w:rsidP="00DD080F">
            <w:pPr>
              <w:jc w:val="center"/>
              <w:rPr>
                <w:rFonts w:eastAsiaTheme="minorEastAsia"/>
                <w:b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22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</w:tbl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10 lutego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lutego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09.02.2015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Atrem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4,50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4,</w:t>
            </w:r>
            <w:r>
              <w:t>28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-4,9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20</w:t>
            </w:r>
            <w:r w:rsidRPr="008B4215">
              <w:t>,</w:t>
            </w:r>
            <w:r>
              <w:t>2</w:t>
            </w:r>
            <w:r w:rsidRPr="008B4215">
              <w:t>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3 marca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2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marca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02.03.2015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Mostostal Warszawa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7,57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14,</w:t>
            </w:r>
            <w:r>
              <w:t>00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84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84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2 358,25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20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9 kwietnia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3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8 kwietnia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08.04.2015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Ceramika Nowa Gala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1,25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</w:t>
            </w:r>
            <w:r>
              <w:t>23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-1,6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-1,6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2 424,82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23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Theme="minorEastAsia" w:cs="Times New Roman"/>
          <w:sz w:val="34"/>
          <w:szCs w:val="34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5 maja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4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4 maja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04.05.2015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Polnord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11,10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11,</w:t>
            </w:r>
            <w:r>
              <w:t>19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+0</w:t>
            </w:r>
            <w:r w:rsidRPr="008B4215">
              <w:t>,</w:t>
            </w:r>
            <w:r>
              <w:t>8</w:t>
            </w:r>
            <w:r w:rsidRPr="008B4215">
              <w:t xml:space="preserve"> 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+ 0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2 523,09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26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 akcji trzech spółek, których akcje zostały umieszczone w dniu 1 lipca na stronie internetowej </w:t>
      </w:r>
      <w:hyperlink r:id="rId25" w:history="1">
        <w:r w:rsidRPr="008B4215">
          <w:rPr>
            <w:rFonts w:eastAsia="Times New Roman" w:cs="Times New Roman"/>
            <w:color w:val="0000FF" w:themeColor="hyperlink"/>
            <w:u w:val="single"/>
          </w:rPr>
          <w:t>http://analizy-rynkowe.pl/</w:t>
        </w:r>
      </w:hyperlink>
      <w:r w:rsidRPr="008B4215">
        <w:rPr>
          <w:rFonts w:eastAsia="Times New Roman" w:cs="Times New Roman"/>
        </w:rPr>
        <w:t xml:space="preserve"> w rubryce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Wykres do przemyślenia” w okresie od 30 czerwca 2015 roku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30.06.2015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TIM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9,49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30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 </w:t>
            </w:r>
            <w:r>
              <w:t>-2,0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Unima</w:t>
            </w:r>
            <w:proofErr w:type="spellEnd"/>
            <w:proofErr w:type="gramEnd"/>
            <w:r w:rsidRPr="008B4215">
              <w:t xml:space="preserve"> 2000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2,58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</w:t>
            </w:r>
            <w:r w:rsidRPr="008B4215">
              <w:t>,</w:t>
            </w:r>
            <w:r>
              <w:t>99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-</w:t>
            </w:r>
            <w:r>
              <w:t>22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Variant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1,77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1,68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   -5,1  %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-</w:t>
            </w:r>
            <w:r>
              <w:rPr>
                <w:b/>
                <w:color w:val="FF0000"/>
              </w:rPr>
              <w:t>10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W</w:t>
            </w:r>
            <w:r w:rsidRPr="008B4215">
              <w:t>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2317,84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9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21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21 lipca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21.07.2015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Ropczyce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20,80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1</w:t>
            </w:r>
            <w:r w:rsidRPr="008B4215">
              <w:t>,</w:t>
            </w:r>
            <w:r>
              <w:t>29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2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2 444,63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16</w:t>
            </w:r>
            <w:r w:rsidRPr="008B4215">
              <w:t>,</w:t>
            </w:r>
            <w:r>
              <w:t>8</w:t>
            </w:r>
            <w:r w:rsidRPr="008B4215">
              <w:t xml:space="preserve"> 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22 lipca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22.07.2015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Eurocash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41,26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</w:t>
            </w:r>
            <w:r>
              <w:t>4</w:t>
            </w:r>
            <w:r w:rsidRPr="008B4215">
              <w:t>,</w:t>
            </w:r>
            <w:r>
              <w:t>60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32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2 185,83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14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8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02.09.2015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Agora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11,20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2</w:t>
            </w:r>
            <w:r w:rsidRPr="008B4215">
              <w:t>,</w:t>
            </w:r>
            <w:r>
              <w:t>81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14,4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14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2 107,58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11</w:t>
            </w:r>
            <w:r w:rsidRPr="008B4215">
              <w:t>,</w:t>
            </w:r>
            <w:r>
              <w:t>4</w:t>
            </w:r>
            <w:r w:rsidRPr="008B4215">
              <w:t>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29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03.09.2015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BZWBK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309,00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74</w:t>
            </w:r>
            <w:r w:rsidRPr="008B4215">
              <w:t>,</w:t>
            </w:r>
            <w:r>
              <w:t>50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11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11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2 155,07 pkt. </w:t>
            </w:r>
          </w:p>
        </w:tc>
        <w:tc>
          <w:tcPr>
            <w:tcW w:w="2303" w:type="dxa"/>
            <w:hideMark/>
          </w:tcPr>
          <w:p w:rsidR="007F0629" w:rsidRPr="00D94362" w:rsidRDefault="007F0629" w:rsidP="00DD080F">
            <w:pPr>
              <w:jc w:val="center"/>
              <w:rPr>
                <w:rFonts w:eastAsiaTheme="minorEastAsia"/>
                <w:b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13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9 października na stronie internetowej </w:t>
      </w:r>
      <w:hyperlink r:id="rId30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8 października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08.10.2015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Netmedia</w:t>
            </w:r>
            <w:proofErr w:type="spellEnd"/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5,69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5,</w:t>
            </w:r>
            <w:r>
              <w:t>01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- </w:t>
            </w:r>
            <w:r>
              <w:t>12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06</w:t>
            </w:r>
            <w:r w:rsidRPr="008B4215">
              <w:rPr>
                <w:color w:val="000000" w:themeColor="text1"/>
              </w:rPr>
              <w:t xml:space="preserve">,00 zł. 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-2,1</w:t>
            </w:r>
            <w:r w:rsidRPr="008B4215">
              <w:rPr>
                <w:color w:val="000000" w:themeColor="text1"/>
              </w:rPr>
              <w:t xml:space="preserve"> 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2 126,48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12</w:t>
            </w:r>
            <w:r w:rsidRPr="008B4215">
              <w:t>,</w:t>
            </w:r>
            <w:r>
              <w:t>1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14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1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13.10.2015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Cyfrowy Polsat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24,93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3</w:t>
            </w:r>
            <w:r w:rsidRPr="008B4215">
              <w:t>,</w:t>
            </w:r>
            <w:r>
              <w:t>91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-4,1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-4,1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2 123,43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12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17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2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Akcja spółki Dębica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85,40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8</w:t>
            </w:r>
            <w:r>
              <w:t>8</w:t>
            </w:r>
            <w:r w:rsidRPr="008B4215">
              <w:t>,</w:t>
            </w:r>
            <w:r>
              <w:t>25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</w:t>
            </w:r>
            <w:r>
              <w:t>3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2 121,94 pkt. 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12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46"/>
          <w:szCs w:val="4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4 listopada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</w:t>
      </w:r>
      <w:r w:rsidR="004D5139" w:rsidRPr="008B4215">
        <w:rPr>
          <w:rFonts w:eastAsia="Times New Roman" w:cs="Times New Roman"/>
        </w:rPr>
        <w:t xml:space="preserve">do </w:t>
      </w:r>
      <w:r w:rsidR="004D5139">
        <w:rPr>
          <w:rFonts w:eastAsia="Times New Roman" w:cs="Times New Roman"/>
        </w:rPr>
        <w:t>4 grudnia</w:t>
      </w:r>
      <w:r w:rsidR="004D5139"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03.11.2015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Alta 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2,19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2,</w:t>
            </w:r>
            <w:r>
              <w:t>60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18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18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2 061,38 pkt. </w:t>
            </w:r>
          </w:p>
        </w:tc>
        <w:tc>
          <w:tcPr>
            <w:tcW w:w="2303" w:type="dxa"/>
            <w:hideMark/>
          </w:tcPr>
          <w:p w:rsidR="007F0629" w:rsidRPr="00D94362" w:rsidRDefault="007F0629" w:rsidP="00DD080F">
            <w:pPr>
              <w:jc w:val="center"/>
              <w:rPr>
                <w:rFonts w:eastAsiaTheme="minorEastAsia"/>
                <w:b/>
              </w:rPr>
            </w:pPr>
            <w:r>
              <w:t>1 868</w:t>
            </w:r>
            <w:r w:rsidRPr="008B4215">
              <w:t>,</w:t>
            </w:r>
            <w:r>
              <w:t>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9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4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</w:rPr>
        <w:t>30 listopada</w:t>
      </w:r>
      <w:r w:rsidRPr="008B4215">
        <w:rPr>
          <w:rFonts w:eastAsia="Times New Roman" w:cs="Times New Roman"/>
          <w:sz w:val="26"/>
          <w:szCs w:val="26"/>
        </w:rPr>
        <w:t xml:space="preserve">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4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</w:t>
      </w:r>
      <w:r>
        <w:rPr>
          <w:rFonts w:eastAsia="Times New Roman" w:cs="Times New Roman"/>
          <w:sz w:val="26"/>
          <w:szCs w:val="26"/>
        </w:rPr>
        <w:t>0</w:t>
      </w:r>
      <w:r w:rsidRPr="008B4215">
        <w:rPr>
          <w:rFonts w:eastAsia="Times New Roman" w:cs="Times New Roman"/>
          <w:sz w:val="26"/>
          <w:szCs w:val="26"/>
        </w:rPr>
        <w:t xml:space="preserve"> listopada </w:t>
      </w:r>
      <w:r>
        <w:rPr>
          <w:rFonts w:eastAsia="Times New Roman" w:cs="Times New Roman"/>
          <w:sz w:val="26"/>
          <w:szCs w:val="26"/>
        </w:rPr>
        <w:t xml:space="preserve">do 4 grudnia </w:t>
      </w:r>
      <w:r w:rsidRPr="008B4215">
        <w:rPr>
          <w:rFonts w:eastAsia="Times New Roman" w:cs="Times New Roman"/>
          <w:sz w:val="26"/>
          <w:szCs w:val="26"/>
        </w:rPr>
        <w:t xml:space="preserve">2015 roku oraz procentowa zmiana indeksu WIG 20 w tym okresie.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Poziom – 3</w:t>
            </w:r>
            <w:r>
              <w:t>0</w:t>
            </w:r>
            <w:r w:rsidRPr="008B4215">
              <w:t>.11.2015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58,06</w:t>
            </w:r>
            <w:r w:rsidRPr="008B4215">
              <w:t xml:space="preserve"> zł.</w:t>
            </w:r>
          </w:p>
        </w:tc>
        <w:tc>
          <w:tcPr>
            <w:tcW w:w="2303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57,21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-1,5</w:t>
            </w:r>
            <w:r w:rsidRPr="008B4215">
              <w:t xml:space="preserve"> 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-1,5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7F0629" w:rsidRPr="008B4215" w:rsidTr="00DD080F">
        <w:tc>
          <w:tcPr>
            <w:tcW w:w="34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>
              <w:t>1 936,05</w:t>
            </w:r>
            <w:r w:rsidRPr="008B4215">
              <w:t xml:space="preserve"> pkt. </w:t>
            </w:r>
          </w:p>
        </w:tc>
        <w:tc>
          <w:tcPr>
            <w:tcW w:w="2303" w:type="dxa"/>
            <w:hideMark/>
          </w:tcPr>
          <w:p w:rsidR="007F0629" w:rsidRPr="00D94362" w:rsidRDefault="007F0629" w:rsidP="00DD080F">
            <w:pPr>
              <w:jc w:val="center"/>
              <w:rPr>
                <w:rFonts w:eastAsiaTheme="minorEastAsia"/>
                <w:b/>
              </w:rPr>
            </w:pPr>
            <w:r>
              <w:t>1 868,24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7F0629" w:rsidRPr="008B4215" w:rsidRDefault="007F0629" w:rsidP="00DD080F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-3,5 </w:t>
            </w:r>
            <w:r w:rsidRPr="008B4215">
              <w:rPr>
                <w:rFonts w:eastAsiaTheme="minorEastAsia"/>
              </w:rPr>
              <w:t>%</w:t>
            </w:r>
          </w:p>
        </w:tc>
      </w:tr>
    </w:tbl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7F0629" w:rsidRPr="002F14D5" w:rsidRDefault="007F0629" w:rsidP="007F0629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  <w:r w:rsidRPr="002F14D5">
        <w:rPr>
          <w:rFonts w:eastAsia="Times New Roman" w:cs="Times New Roman"/>
          <w:sz w:val="36"/>
          <w:szCs w:val="36"/>
        </w:rPr>
        <w:t xml:space="preserve">Spółek, </w:t>
      </w:r>
      <w:r w:rsidRPr="002F14D5">
        <w:rPr>
          <w:rFonts w:eastAsia="Times New Roman" w:cs="Times New Roman"/>
          <w:sz w:val="36"/>
          <w:szCs w:val="36"/>
          <w:u w:val="single"/>
        </w:rPr>
        <w:t>dla których nie można jeszcze obliczyć</w:t>
      </w:r>
      <w:r w:rsidRPr="002F14D5">
        <w:rPr>
          <w:rFonts w:eastAsia="Times New Roman" w:cs="Times New Roman"/>
          <w:sz w:val="36"/>
          <w:szCs w:val="36"/>
        </w:rPr>
        <w:t xml:space="preserve"> procentowej zmiany kursu akcji po wprowadzeniu jej do rubryki </w:t>
      </w:r>
      <w:proofErr w:type="gramStart"/>
      <w:r w:rsidRPr="002F14D5">
        <w:rPr>
          <w:rFonts w:eastAsia="Times New Roman" w:cs="Times New Roman"/>
          <w:sz w:val="36"/>
          <w:szCs w:val="36"/>
        </w:rPr>
        <w:t>,,</w:t>
      </w:r>
      <w:proofErr w:type="gramEnd"/>
      <w:r w:rsidRPr="002F14D5">
        <w:rPr>
          <w:rFonts w:eastAsia="Times New Roman" w:cs="Times New Roman"/>
          <w:sz w:val="36"/>
          <w:szCs w:val="36"/>
        </w:rPr>
        <w:t xml:space="preserve">Wykres do przemyślenia” w okresie 12 pierwszych miesięcy po jej wprowadzeniu do tej rubryki </w:t>
      </w:r>
      <w:r w:rsidRPr="002F14D5">
        <w:rPr>
          <w:rFonts w:eastAsia="Times New Roman" w:cs="Times New Roman"/>
          <w:sz w:val="36"/>
          <w:szCs w:val="36"/>
          <w:u w:val="single"/>
        </w:rPr>
        <w:t xml:space="preserve">jest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21.</w:t>
      </w:r>
      <w:r w:rsidRPr="002F14D5">
        <w:rPr>
          <w:rFonts w:eastAsia="Times New Roman" w:cs="Times New Roman"/>
          <w:sz w:val="36"/>
          <w:szCs w:val="36"/>
          <w:u w:val="single"/>
        </w:rPr>
        <w:t xml:space="preserve"> </w:t>
      </w:r>
    </w:p>
    <w:p w:rsidR="007F0629" w:rsidRPr="002F14D5" w:rsidRDefault="007F0629" w:rsidP="007F0629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</w:p>
    <w:p w:rsidR="007F0629" w:rsidRPr="002F14D5" w:rsidRDefault="007F0629" w:rsidP="007F0629">
      <w:pPr>
        <w:spacing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2F14D5">
        <w:rPr>
          <w:rFonts w:eastAsia="Times New Roman" w:cs="Times New Roman"/>
          <w:sz w:val="36"/>
          <w:szCs w:val="36"/>
        </w:rPr>
        <w:t xml:space="preserve">W odniesieniu do tej grupy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21 spółek</w:t>
      </w:r>
      <w:r w:rsidRPr="002F14D5">
        <w:rPr>
          <w:rFonts w:eastAsia="Times New Roman" w:cs="Times New Roman"/>
          <w:sz w:val="36"/>
          <w:szCs w:val="36"/>
        </w:rPr>
        <w:t xml:space="preserve"> można sformułować następujący wniosek: </w:t>
      </w: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sz w:val="200"/>
          <w:szCs w:val="200"/>
          <w:u w:val="single"/>
        </w:rPr>
      </w:pPr>
      <w:r w:rsidRPr="00103210">
        <w:rPr>
          <w:rFonts w:eastAsia="Times New Roman" w:cs="Times New Roman"/>
          <w:sz w:val="200"/>
          <w:szCs w:val="200"/>
          <w:u w:val="single"/>
        </w:rPr>
        <w:lastRenderedPageBreak/>
        <w:t xml:space="preserve">Wniosek </w:t>
      </w: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sz w:val="100"/>
          <w:szCs w:val="100"/>
        </w:rPr>
      </w:pP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sz w:val="70"/>
          <w:szCs w:val="70"/>
        </w:rPr>
      </w:pPr>
      <w:r w:rsidRPr="00103210">
        <w:rPr>
          <w:rFonts w:eastAsia="Times New Roman" w:cs="Times New Roman"/>
          <w:sz w:val="70"/>
          <w:szCs w:val="70"/>
        </w:rPr>
        <w:t xml:space="preserve">Warto zauważyć, że </w:t>
      </w: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sz w:val="80"/>
          <w:szCs w:val="80"/>
        </w:rPr>
      </w:pP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80"/>
          <w:szCs w:val="80"/>
        </w:rPr>
      </w:pPr>
      <w:r w:rsidRPr="00103210">
        <w:rPr>
          <w:rFonts w:eastAsia="Times New Roman" w:cs="Times New Roman"/>
          <w:b/>
          <w:color w:val="000000" w:themeColor="text1"/>
          <w:sz w:val="80"/>
          <w:szCs w:val="80"/>
        </w:rPr>
        <w:t xml:space="preserve">spośród </w:t>
      </w:r>
      <w:r w:rsidRPr="00103210">
        <w:rPr>
          <w:rFonts w:eastAsia="Times New Roman" w:cs="Times New Roman"/>
          <w:b/>
          <w:color w:val="000000" w:themeColor="text1"/>
          <w:sz w:val="80"/>
          <w:szCs w:val="80"/>
          <w:u w:val="single"/>
        </w:rPr>
        <w:t xml:space="preserve">21 </w:t>
      </w:r>
      <w:proofErr w:type="gramStart"/>
      <w:r w:rsidRPr="00103210">
        <w:rPr>
          <w:rFonts w:eastAsia="Times New Roman" w:cs="Times New Roman"/>
          <w:b/>
          <w:color w:val="000000" w:themeColor="text1"/>
          <w:sz w:val="80"/>
          <w:szCs w:val="80"/>
          <w:u w:val="single"/>
        </w:rPr>
        <w:t>spółek</w:t>
      </w:r>
      <w:r w:rsidRPr="00103210">
        <w:rPr>
          <w:rFonts w:eastAsia="Times New Roman" w:cs="Times New Roman"/>
          <w:sz w:val="80"/>
          <w:szCs w:val="80"/>
        </w:rPr>
        <w:t xml:space="preserve"> (których</w:t>
      </w:r>
      <w:proofErr w:type="gramEnd"/>
      <w:r w:rsidRPr="00103210">
        <w:rPr>
          <w:rFonts w:eastAsia="Times New Roman" w:cs="Times New Roman"/>
          <w:sz w:val="80"/>
          <w:szCs w:val="80"/>
        </w:rPr>
        <w:t xml:space="preserve"> lista </w:t>
      </w:r>
      <w:r w:rsidRPr="00103210">
        <w:rPr>
          <w:rFonts w:eastAsia="Times New Roman" w:cs="Times New Roman"/>
          <w:b/>
          <w:sz w:val="80"/>
          <w:szCs w:val="80"/>
        </w:rPr>
        <w:t>opublikowana jest na str. 1</w:t>
      </w:r>
      <w:r w:rsidR="00527530">
        <w:rPr>
          <w:rFonts w:eastAsia="Times New Roman" w:cs="Times New Roman"/>
          <w:b/>
          <w:sz w:val="80"/>
          <w:szCs w:val="80"/>
        </w:rPr>
        <w:t>4</w:t>
      </w:r>
      <w:r w:rsidRPr="00103210">
        <w:rPr>
          <w:rFonts w:eastAsia="Times New Roman" w:cs="Times New Roman"/>
          <w:b/>
          <w:sz w:val="80"/>
          <w:szCs w:val="80"/>
        </w:rPr>
        <w:t>-1</w:t>
      </w:r>
      <w:r w:rsidR="00527530">
        <w:rPr>
          <w:rFonts w:eastAsia="Times New Roman" w:cs="Times New Roman"/>
          <w:b/>
          <w:sz w:val="80"/>
          <w:szCs w:val="80"/>
        </w:rPr>
        <w:t>7</w:t>
      </w:r>
      <w:r w:rsidRPr="00103210">
        <w:rPr>
          <w:rFonts w:eastAsia="Times New Roman" w:cs="Times New Roman"/>
          <w:b/>
          <w:sz w:val="80"/>
          <w:szCs w:val="80"/>
        </w:rPr>
        <w:t xml:space="preserve">) </w:t>
      </w: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sz w:val="60"/>
          <w:szCs w:val="60"/>
        </w:rPr>
      </w:pPr>
    </w:p>
    <w:p w:rsidR="007F0629" w:rsidRPr="00103210" w:rsidRDefault="007F0629" w:rsidP="007F0629">
      <w:pPr>
        <w:spacing w:after="0" w:line="240" w:lineRule="auto"/>
        <w:jc w:val="both"/>
        <w:rPr>
          <w:rFonts w:eastAsia="Times New Roman" w:cs="Times New Roman"/>
          <w:b/>
          <w:sz w:val="60"/>
          <w:szCs w:val="60"/>
        </w:rPr>
      </w:pPr>
      <w:proofErr w:type="gramStart"/>
      <w:r w:rsidRPr="00103210">
        <w:rPr>
          <w:rFonts w:eastAsia="Times New Roman" w:cs="Times New Roman"/>
          <w:b/>
          <w:sz w:val="60"/>
          <w:szCs w:val="60"/>
        </w:rPr>
        <w:t>kursy</w:t>
      </w:r>
      <w:proofErr w:type="gramEnd"/>
      <w:r w:rsidRPr="00103210">
        <w:rPr>
          <w:rFonts w:eastAsia="Times New Roman" w:cs="Times New Roman"/>
          <w:b/>
          <w:sz w:val="60"/>
          <w:szCs w:val="60"/>
        </w:rPr>
        <w:t xml:space="preserve"> akcji </w:t>
      </w:r>
      <w:r w:rsidRPr="00103210">
        <w:rPr>
          <w:rFonts w:eastAsia="Times New Roman" w:cs="Times New Roman"/>
          <w:b/>
          <w:color w:val="FF0000"/>
          <w:sz w:val="60"/>
          <w:szCs w:val="60"/>
        </w:rPr>
        <w:t>1</w:t>
      </w:r>
      <w:r>
        <w:rPr>
          <w:rFonts w:eastAsia="Times New Roman" w:cs="Times New Roman"/>
          <w:b/>
          <w:color w:val="FF0000"/>
          <w:sz w:val="60"/>
          <w:szCs w:val="60"/>
        </w:rPr>
        <w:t>9</w:t>
      </w:r>
      <w:r w:rsidRPr="00103210">
        <w:rPr>
          <w:rFonts w:eastAsia="Times New Roman" w:cs="Times New Roman"/>
          <w:b/>
          <w:color w:val="FF0000"/>
          <w:sz w:val="60"/>
          <w:szCs w:val="60"/>
        </w:rPr>
        <w:t>-u spółek</w:t>
      </w:r>
      <w:r w:rsidRPr="00103210">
        <w:rPr>
          <w:rFonts w:eastAsia="Times New Roman" w:cs="Times New Roman"/>
          <w:sz w:val="60"/>
          <w:szCs w:val="60"/>
        </w:rPr>
        <w:t xml:space="preserve"> od momentu owego zakwalifikowania do tej rubryki do dnia 27 listopada 2015 roku zachowywały się </w:t>
      </w:r>
      <w:r w:rsidRPr="00103210">
        <w:rPr>
          <w:rFonts w:eastAsia="Times New Roman" w:cs="Times New Roman"/>
          <w:b/>
          <w:color w:val="FF0000"/>
          <w:sz w:val="60"/>
          <w:szCs w:val="60"/>
          <w:u w:val="single"/>
        </w:rPr>
        <w:t>lepiej</w:t>
      </w:r>
      <w:r w:rsidRPr="00103210">
        <w:rPr>
          <w:rFonts w:eastAsia="Times New Roman" w:cs="Times New Roman"/>
          <w:b/>
          <w:color w:val="FF0000"/>
          <w:sz w:val="60"/>
          <w:szCs w:val="60"/>
        </w:rPr>
        <w:t xml:space="preserve"> od indeksu WIG20</w:t>
      </w:r>
      <w:r w:rsidRPr="00103210">
        <w:rPr>
          <w:rFonts w:eastAsia="Times New Roman" w:cs="Times New Roman"/>
          <w:b/>
          <w:sz w:val="60"/>
          <w:szCs w:val="60"/>
        </w:rPr>
        <w:t xml:space="preserve"> a </w:t>
      </w:r>
      <w:r>
        <w:rPr>
          <w:rFonts w:eastAsia="Times New Roman" w:cs="Times New Roman"/>
          <w:b/>
          <w:sz w:val="60"/>
          <w:szCs w:val="60"/>
        </w:rPr>
        <w:t>2</w:t>
      </w:r>
      <w:r w:rsidRPr="00103210">
        <w:rPr>
          <w:rFonts w:eastAsia="Times New Roman" w:cs="Times New Roman"/>
          <w:b/>
          <w:sz w:val="60"/>
          <w:szCs w:val="60"/>
        </w:rPr>
        <w:t xml:space="preserve">-u </w:t>
      </w:r>
      <w:r w:rsidRPr="00103210">
        <w:rPr>
          <w:rFonts w:eastAsia="Times New Roman" w:cs="Times New Roman"/>
          <w:b/>
          <w:sz w:val="60"/>
          <w:szCs w:val="60"/>
          <w:u w:val="single"/>
        </w:rPr>
        <w:t xml:space="preserve">gorzej </w:t>
      </w:r>
      <w:r w:rsidRPr="00103210">
        <w:rPr>
          <w:rFonts w:eastAsia="Times New Roman" w:cs="Times New Roman"/>
          <w:b/>
          <w:sz w:val="60"/>
          <w:szCs w:val="60"/>
        </w:rPr>
        <w:t xml:space="preserve">od indeksu WIG20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</w:rPr>
      </w:pPr>
      <w:proofErr w:type="gramStart"/>
      <w:r w:rsidRPr="008B4215">
        <w:rPr>
          <w:rFonts w:eastAsia="Times New Roman" w:cs="Times New Roman"/>
          <w:sz w:val="66"/>
          <w:szCs w:val="66"/>
        </w:rPr>
        <w:lastRenderedPageBreak/>
        <w:t xml:space="preserve">Uwaga ! – 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 w:rsidRPr="008B4215">
        <w:rPr>
          <w:rFonts w:eastAsia="Times New Roman" w:cs="Times New Roman"/>
          <w:sz w:val="66"/>
          <w:szCs w:val="66"/>
        </w:rPr>
        <w:t>,,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Wykres do przemyślenia”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na przestrzeni ostatnich 12 miesięcy.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  <w:r w:rsidRPr="008B4215">
        <w:rPr>
          <w:rFonts w:eastAsia="Times New Roman" w:cs="Times New Roman"/>
          <w:sz w:val="66"/>
          <w:szCs w:val="66"/>
        </w:rPr>
        <w:t xml:space="preserve">Spółki te będę starał się na prowadzonej przeze mnie stronie </w:t>
      </w:r>
      <w:proofErr w:type="gramStart"/>
      <w:r w:rsidRPr="008B4215">
        <w:rPr>
          <w:rFonts w:eastAsia="Times New Roman" w:cs="Times New Roman"/>
          <w:sz w:val="66"/>
          <w:szCs w:val="66"/>
        </w:rPr>
        <w:t xml:space="preserve">internetowej  </w:t>
      </w:r>
      <w:hyperlink r:id="rId35" w:history="1">
        <w:proofErr w:type="gramEnd"/>
        <w:r w:rsidRPr="008B4215">
          <w:rPr>
            <w:rFonts w:eastAsia="Times New Roman" w:cs="Times New Roman"/>
            <w:color w:val="0000FF" w:themeColor="hyperlink"/>
            <w:sz w:val="66"/>
            <w:szCs w:val="6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66"/>
          <w:szCs w:val="66"/>
        </w:rPr>
        <w:t xml:space="preserve">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otaczać szczególną opieką intelektualną</w:t>
      </w:r>
      <w:r w:rsidRPr="008B4215">
        <w:rPr>
          <w:rFonts w:eastAsia="Times New Roman" w:cs="Times New Roman"/>
          <w:color w:val="FF0000"/>
          <w:sz w:val="66"/>
          <w:szCs w:val="66"/>
        </w:rPr>
        <w:t xml:space="preserve"> </w:t>
      </w:r>
      <w:r w:rsidRPr="008B4215">
        <w:rPr>
          <w:rFonts w:eastAsia="Times New Roman" w:cs="Times New Roman"/>
          <w:sz w:val="66"/>
          <w:szCs w:val="66"/>
        </w:rPr>
        <w:t xml:space="preserve">to znaczy analizy publikowane na tej stronie będą w znacznej mierzy dotyczyć właśnie tych spółek.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7F0629" w:rsidRPr="008B4215" w:rsidRDefault="007F0629" w:rsidP="007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lastRenderedPageBreak/>
        <w:t>Generalny wniosek:</w:t>
      </w:r>
    </w:p>
    <w:p w:rsidR="007F0629" w:rsidRPr="008B4215" w:rsidRDefault="007F0629" w:rsidP="007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,,</w:t>
      </w:r>
      <w:proofErr w:type="gramEnd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7F0629" w:rsidRPr="008B4215" w:rsidRDefault="007F0629" w:rsidP="007F0629">
      <w:pPr>
        <w:rPr>
          <w:rFonts w:eastAsia="Times New Roman" w:cs="Times New Roman"/>
        </w:rPr>
      </w:pPr>
    </w:p>
    <w:p w:rsidR="007F0629" w:rsidRPr="008B4215" w:rsidRDefault="007F0629" w:rsidP="007F0629">
      <w:pPr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b/>
        </w:rPr>
      </w:pPr>
      <w:r w:rsidRPr="008B4215">
        <w:rPr>
          <w:rFonts w:eastAsia="Times New Roman" w:cs="Times New Roman"/>
          <w:b/>
        </w:rPr>
        <w:lastRenderedPageBreak/>
        <w:t>Wnioski końcowe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  <w:color w:val="000000" w:themeColor="text1"/>
        </w:rPr>
        <w:t xml:space="preserve">Kurs </w:t>
      </w:r>
      <w:r w:rsidRPr="008B4215">
        <w:rPr>
          <w:rFonts w:eastAsia="Times New Roman" w:cs="Times New Roman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8B4215">
        <w:rPr>
          <w:rFonts w:eastAsia="Times New Roman" w:cs="Times New Roman"/>
          <w:b/>
          <w:color w:val="FF0000"/>
        </w:rPr>
        <w:t xml:space="preserve">do 4,4252 zł. </w:t>
      </w:r>
    </w:p>
    <w:p w:rsidR="007F0629" w:rsidRPr="008B4215" w:rsidRDefault="007F0629" w:rsidP="007F0629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7F0629" w:rsidRPr="008B4215" w:rsidRDefault="007F0629" w:rsidP="007F062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8B4215">
        <w:rPr>
          <w:rFonts w:eastAsia="Times New Roman" w:cs="Times New Roman"/>
          <w:b/>
          <w:color w:val="FF0000"/>
        </w:rPr>
        <w:t xml:space="preserve">4,3607 zł.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7F0629" w:rsidRPr="005608B6" w:rsidRDefault="007F0629" w:rsidP="007F062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</w:rPr>
      </w:pPr>
      <w:r w:rsidRPr="005608B6">
        <w:rPr>
          <w:rFonts w:eastAsia="Times New Roman" w:cs="Times New Roman"/>
          <w:b/>
          <w:color w:val="000000" w:themeColor="text1"/>
        </w:rPr>
        <w:t xml:space="preserve">WIG 20 doszedł do wzrostowej linii </w:t>
      </w:r>
      <w:r w:rsidRPr="005608B6">
        <w:rPr>
          <w:rFonts w:eastAsia="Times New Roman" w:cs="Times New Roman"/>
          <w:color w:val="000000" w:themeColor="text1"/>
        </w:rPr>
        <w:t xml:space="preserve">poprowadzonej na wykresie </w:t>
      </w:r>
      <w:proofErr w:type="gramStart"/>
      <w:r w:rsidRPr="005608B6">
        <w:rPr>
          <w:rFonts w:eastAsia="Times New Roman" w:cs="Times New Roman"/>
          <w:color w:val="000000" w:themeColor="text1"/>
        </w:rPr>
        <w:t>stworzonym  w</w:t>
      </w:r>
      <w:proofErr w:type="gramEnd"/>
      <w:r w:rsidRPr="005608B6">
        <w:rPr>
          <w:rFonts w:eastAsia="Times New Roman" w:cs="Times New Roman"/>
          <w:color w:val="000000" w:themeColor="text1"/>
        </w:rPr>
        <w:t xml:space="preserve"> oparciu o świece japońskie dołki z marca 1995 roku oraz lutego 2009 roku. </w:t>
      </w:r>
      <w:r>
        <w:rPr>
          <w:rFonts w:eastAsia="Times New Roman" w:cs="Times New Roman"/>
          <w:color w:val="000000" w:themeColor="text1"/>
        </w:rPr>
        <w:t xml:space="preserve">Inwestorzy indywidualni są pesymistami, co paradoksalnie należy ocenić optymistycznie, gdyż </w:t>
      </w:r>
      <w:r w:rsidRPr="005608B6">
        <w:rPr>
          <w:rFonts w:eastAsia="Times New Roman" w:cs="Times New Roman"/>
          <w:b/>
          <w:color w:val="000000" w:themeColor="text1"/>
        </w:rPr>
        <w:t xml:space="preserve">wzrosty często rozpoczynają się w momencie, gdy </w:t>
      </w:r>
      <w:proofErr w:type="gramStart"/>
      <w:r w:rsidRPr="005608B6">
        <w:rPr>
          <w:rFonts w:eastAsia="Times New Roman" w:cs="Times New Roman"/>
          <w:b/>
          <w:color w:val="000000" w:themeColor="text1"/>
        </w:rPr>
        <w:t>mało kto</w:t>
      </w:r>
      <w:proofErr w:type="gramEnd"/>
      <w:r w:rsidRPr="005608B6">
        <w:rPr>
          <w:rFonts w:eastAsia="Times New Roman" w:cs="Times New Roman"/>
          <w:b/>
          <w:color w:val="000000" w:themeColor="text1"/>
        </w:rPr>
        <w:t xml:space="preserve"> wierzy w ich nadejście</w:t>
      </w:r>
      <w:r>
        <w:rPr>
          <w:rFonts w:eastAsia="Times New Roman" w:cs="Times New Roman"/>
          <w:color w:val="000000" w:themeColor="text1"/>
        </w:rPr>
        <w:t xml:space="preserve">. Warto też pamiętać, ze aktualnie </w:t>
      </w:r>
      <w:r w:rsidRPr="005608B6">
        <w:rPr>
          <w:rFonts w:eastAsia="Times New Roman" w:cs="Times New Roman"/>
          <w:b/>
          <w:color w:val="000000" w:themeColor="text1"/>
        </w:rPr>
        <w:t xml:space="preserve">znajdujemy się w stosunkowo korzystnym dla posiadaczy akcji okresie </w:t>
      </w:r>
      <w:proofErr w:type="gramStart"/>
      <w:r w:rsidRPr="005608B6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5608B6">
        <w:rPr>
          <w:rFonts w:eastAsia="Times New Roman" w:cs="Times New Roman"/>
          <w:b/>
          <w:color w:val="000000" w:themeColor="text1"/>
        </w:rPr>
        <w:t>przełomu roku”</w:t>
      </w:r>
      <w:r>
        <w:rPr>
          <w:rFonts w:eastAsia="Times New Roman" w:cs="Times New Roman"/>
          <w:color w:val="000000" w:themeColor="text1"/>
        </w:rPr>
        <w:t xml:space="preserve"> obejmującym okres od końca października roku T do końca kwietnia roku następnego. </w:t>
      </w:r>
    </w:p>
    <w:p w:rsidR="007F0629" w:rsidRPr="005608B6" w:rsidRDefault="007F0629" w:rsidP="007F0629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 xml:space="preserve">7 grudnia </w:t>
      </w:r>
      <w:r w:rsidRPr="008B4215">
        <w:rPr>
          <w:rFonts w:eastAsia="Times New Roman" w:cs="Times New Roman"/>
        </w:rPr>
        <w:t>2015 roku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Powyższy raport stanowi wyłącznie wyraz osobistych opinii autora. 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Treści zawarte na stronie internetowej </w:t>
      </w:r>
      <w:hyperlink r:id="rId3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B4215">
        <w:rPr>
          <w:rFonts w:eastAsia="Times New Roman" w:cs="Times New Roman"/>
        </w:rPr>
        <w:t>Dz.U</w:t>
      </w:r>
      <w:proofErr w:type="spellEnd"/>
      <w:r w:rsidRPr="008B4215">
        <w:rPr>
          <w:rFonts w:eastAsia="Times New Roman" w:cs="Times New Roman"/>
        </w:rPr>
        <w:t xml:space="preserve">. </w:t>
      </w:r>
      <w:proofErr w:type="gramStart"/>
      <w:r w:rsidRPr="008B4215">
        <w:rPr>
          <w:rFonts w:eastAsia="Times New Roman" w:cs="Times New Roman"/>
        </w:rPr>
        <w:t>z</w:t>
      </w:r>
      <w:proofErr w:type="gramEnd"/>
      <w:r w:rsidRPr="008B4215">
        <w:rPr>
          <w:rFonts w:eastAsia="Times New Roman" w:cs="Times New Roman"/>
        </w:rPr>
        <w:t xml:space="preserve"> 2005 r. Nr 206, poz. 1715).</w:t>
      </w:r>
    </w:p>
    <w:p w:rsidR="007F0629" w:rsidRPr="008B4215" w:rsidRDefault="007F0629" w:rsidP="007F0629">
      <w:pPr>
        <w:spacing w:after="0" w:line="240" w:lineRule="auto"/>
        <w:jc w:val="both"/>
        <w:rPr>
          <w:rFonts w:eastAsia="Times New Roman" w:cs="Times New Roman"/>
        </w:rPr>
      </w:pPr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8B4215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3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7F0629" w:rsidRDefault="007F0629" w:rsidP="007F0629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7F0629" w:rsidRDefault="007F0629" w:rsidP="007F0629">
      <w:pPr>
        <w:pStyle w:val="Bezodstpw"/>
        <w:jc w:val="both"/>
        <w:rPr>
          <w:b/>
          <w:sz w:val="26"/>
          <w:szCs w:val="26"/>
          <w:u w:val="single"/>
        </w:rPr>
      </w:pPr>
    </w:p>
    <w:p w:rsidR="007F0629" w:rsidRDefault="007F0629" w:rsidP="007F0629">
      <w:pPr>
        <w:spacing w:after="0" w:line="240" w:lineRule="auto"/>
        <w:jc w:val="both"/>
      </w:pPr>
    </w:p>
    <w:p w:rsidR="007F0629" w:rsidRDefault="007F0629"/>
    <w:sectPr w:rsidR="007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06"/>
    <w:multiLevelType w:val="hybridMultilevel"/>
    <w:tmpl w:val="F59E7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7854"/>
    <w:multiLevelType w:val="hybridMultilevel"/>
    <w:tmpl w:val="6422D31C"/>
    <w:lvl w:ilvl="0" w:tplc="0FD6D90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666A"/>
    <w:multiLevelType w:val="hybridMultilevel"/>
    <w:tmpl w:val="98B61FF6"/>
    <w:lvl w:ilvl="0" w:tplc="112E6D90">
      <w:start w:val="29"/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9"/>
    <w:rsid w:val="002929A1"/>
    <w:rsid w:val="004D5139"/>
    <w:rsid w:val="00527530"/>
    <w:rsid w:val="007F0629"/>
    <w:rsid w:val="00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6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06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629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F0629"/>
  </w:style>
  <w:style w:type="table" w:customStyle="1" w:styleId="Tabela-Siatka1">
    <w:name w:val="Tabela - Siatka1"/>
    <w:basedOn w:val="Standardowy"/>
    <w:next w:val="Tabela-Siatka"/>
    <w:uiPriority w:val="59"/>
    <w:rsid w:val="007F062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06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6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06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629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F0629"/>
  </w:style>
  <w:style w:type="table" w:customStyle="1" w:styleId="Tabela-Siatka1">
    <w:name w:val="Tabela - Siatka1"/>
    <w:basedOn w:val="Standardowy"/>
    <w:next w:val="Tabela-Siatka"/>
    <w:uiPriority w:val="59"/>
    <w:rsid w:val="007F062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06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analizy-rynkowe.pl/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ii.org.pl/3438/edukacja-i-analizy/indeks-nastrojow-inwestorow.html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4163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2015-12-05T15:24:00Z</dcterms:created>
  <dcterms:modified xsi:type="dcterms:W3CDTF">2015-12-06T12:12:00Z</dcterms:modified>
</cp:coreProperties>
</file>