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FD" w:rsidRPr="002E67E5" w:rsidRDefault="00D454FD" w:rsidP="00D454FD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7E5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D454FD" w:rsidRPr="002E67E5" w:rsidRDefault="00D454FD" w:rsidP="00D454FD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7E5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D454FD" w:rsidRPr="002E67E5" w:rsidRDefault="00D454FD" w:rsidP="00D454FD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E67E5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2E67E5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D454FD" w:rsidRPr="002E67E5" w:rsidRDefault="00D454FD" w:rsidP="00D454FD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E67E5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 w:rsidRPr="002E67E5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D454FD" w:rsidRPr="002E67E5" w:rsidRDefault="00D454FD" w:rsidP="00D454FD">
      <w:pPr>
        <w:spacing w:after="0" w:line="240" w:lineRule="auto"/>
        <w:jc w:val="center"/>
        <w:rPr>
          <w:sz w:val="48"/>
          <w:szCs w:val="48"/>
        </w:rPr>
      </w:pPr>
    </w:p>
    <w:p w:rsidR="00D454FD" w:rsidRPr="002E67E5" w:rsidRDefault="00D454FD" w:rsidP="00D454FD">
      <w:pPr>
        <w:spacing w:after="0" w:line="240" w:lineRule="auto"/>
        <w:jc w:val="center"/>
        <w:rPr>
          <w:sz w:val="48"/>
          <w:szCs w:val="48"/>
        </w:rPr>
      </w:pPr>
    </w:p>
    <w:p w:rsidR="00D454FD" w:rsidRPr="002E67E5" w:rsidRDefault="00D454FD" w:rsidP="00D454FD">
      <w:pPr>
        <w:spacing w:after="0" w:line="240" w:lineRule="auto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7E5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D454FD" w:rsidRPr="002E67E5" w:rsidRDefault="00D454FD" w:rsidP="00D454FD">
      <w:pPr>
        <w:spacing w:after="0" w:line="240" w:lineRule="auto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54FD" w:rsidRPr="002E67E5" w:rsidRDefault="00D454FD" w:rsidP="00D454FD">
      <w:pPr>
        <w:jc w:val="center"/>
      </w:pPr>
      <w:r w:rsidRPr="002E67E5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D454FD" w:rsidRDefault="00D454FD" w:rsidP="00D454FD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54FD" w:rsidRDefault="00D454FD" w:rsidP="00D454FD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54FD" w:rsidRPr="002E67E5" w:rsidRDefault="00D454FD" w:rsidP="00D454FD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7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Poniedziałek, 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2E67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listopada 2015 roku</w:t>
      </w:r>
    </w:p>
    <w:p w:rsidR="00D454FD" w:rsidRPr="002E67E5" w:rsidRDefault="00D454FD" w:rsidP="00D454FD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54FD" w:rsidRPr="002E67E5" w:rsidRDefault="00D454FD" w:rsidP="00D45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2E67E5">
        <w:t xml:space="preserve">Kurs USD/PLN – perspektywa długoterminowa, kurs z </w:t>
      </w:r>
      <w:r>
        <w:t>27 listopada 2015 roku = 4,0320</w:t>
      </w:r>
    </w:p>
    <w:p w:rsidR="00D454FD" w:rsidRPr="002E67E5" w:rsidRDefault="00D454FD" w:rsidP="00D454FD">
      <w:pPr>
        <w:spacing w:after="0" w:line="240" w:lineRule="auto"/>
        <w:jc w:val="both"/>
      </w:pPr>
    </w:p>
    <w:p w:rsidR="00D454FD" w:rsidRPr="002E67E5" w:rsidRDefault="00D454FD" w:rsidP="00D454FD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12932806" wp14:editId="32733A88">
            <wp:extent cx="4829175" cy="2905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4FD" w:rsidRPr="002E67E5" w:rsidRDefault="00D454FD" w:rsidP="00D454FD">
      <w:pPr>
        <w:spacing w:after="0" w:line="240" w:lineRule="auto"/>
        <w:jc w:val="both"/>
        <w:rPr>
          <w:b/>
          <w:color w:val="FF0000"/>
        </w:rPr>
      </w:pPr>
      <w:r w:rsidRPr="002E67E5">
        <w:t xml:space="preserve">Kurs 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 w:rsidRPr="002E67E5">
        <w:rPr>
          <w:b/>
          <w:color w:val="FF0000"/>
        </w:rPr>
        <w:t xml:space="preserve">do 4,4252 zł. </w:t>
      </w:r>
    </w:p>
    <w:p w:rsidR="00D454FD" w:rsidRPr="002E67E5" w:rsidRDefault="00D454FD" w:rsidP="00D45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2E67E5">
        <w:t xml:space="preserve">Kurs EUR/PLN – perspektywa średniookresowa, kurs z </w:t>
      </w:r>
      <w:r>
        <w:t xml:space="preserve">27 </w:t>
      </w:r>
      <w:proofErr w:type="gramStart"/>
      <w:r>
        <w:t>listopada  2015 roku</w:t>
      </w:r>
      <w:proofErr w:type="gramEnd"/>
      <w:r>
        <w:t xml:space="preserve"> = 4,2713</w:t>
      </w:r>
    </w:p>
    <w:p w:rsidR="00D454FD" w:rsidRPr="002E67E5" w:rsidRDefault="00D454FD" w:rsidP="00D454FD">
      <w:pPr>
        <w:spacing w:after="0" w:line="240" w:lineRule="auto"/>
        <w:jc w:val="both"/>
      </w:pPr>
    </w:p>
    <w:p w:rsidR="00D454FD" w:rsidRPr="002E67E5" w:rsidRDefault="00D454FD" w:rsidP="00D454FD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099950C5" wp14:editId="59BC557B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DD7" w:rsidRDefault="00D454FD" w:rsidP="00D454FD">
      <w:pPr>
        <w:spacing w:after="0" w:line="240" w:lineRule="auto"/>
        <w:jc w:val="both"/>
        <w:rPr>
          <w:b/>
          <w:color w:val="FF0000"/>
        </w:rPr>
      </w:pPr>
      <w:r w:rsidRPr="002E67E5"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co powinno dojść do wzrostu kursu euro (w złotych) do </w:t>
      </w:r>
      <w:r w:rsidRPr="002E67E5">
        <w:rPr>
          <w:b/>
          <w:color w:val="FF0000"/>
        </w:rPr>
        <w:t xml:space="preserve">4,3607 zł. </w:t>
      </w:r>
    </w:p>
    <w:p w:rsidR="00B16792" w:rsidRDefault="00B16792" w:rsidP="00D454FD">
      <w:pPr>
        <w:spacing w:after="0" w:line="240" w:lineRule="auto"/>
        <w:jc w:val="both"/>
        <w:rPr>
          <w:b/>
          <w:color w:val="FF0000"/>
        </w:rPr>
      </w:pPr>
    </w:p>
    <w:p w:rsidR="00B16792" w:rsidRDefault="00B16792" w:rsidP="00B1679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 w:rsidRPr="001175DB">
        <w:rPr>
          <w:sz w:val="26"/>
          <w:szCs w:val="26"/>
        </w:rPr>
        <w:lastRenderedPageBreak/>
        <w:t xml:space="preserve">WIG20 przebił od góry wzrostową linię trendu, </w:t>
      </w:r>
      <w:r>
        <w:rPr>
          <w:sz w:val="26"/>
          <w:szCs w:val="26"/>
        </w:rPr>
        <w:t>ale nie wszystko jeszcze stracone…</w:t>
      </w:r>
    </w:p>
    <w:p w:rsidR="00B16792" w:rsidRDefault="00B16792" w:rsidP="00B16792">
      <w:pPr>
        <w:pStyle w:val="Bezodstpw"/>
        <w:jc w:val="center"/>
        <w:rPr>
          <w:sz w:val="26"/>
          <w:szCs w:val="26"/>
        </w:rPr>
      </w:pP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minionym tygodniu byliśmy świadkami wzrostów czołowych indeksów opisujących sytuację na dojrzałych rynkach akcji: w Niemczech, Francji i Wielkiej Brytanii a kluczowe indeksy w USA i Japonii praktycznie nie zmieniły swej wartości. </w:t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  <w:r w:rsidRPr="003A570E">
        <w:rPr>
          <w:b/>
          <w:sz w:val="26"/>
          <w:szCs w:val="26"/>
          <w:u w:val="single"/>
        </w:rPr>
        <w:t xml:space="preserve">Pomimo tych umiarkowanie korzystnych warunków zewnętrznych WIG20 stracił na wartości </w:t>
      </w:r>
      <w:r>
        <w:rPr>
          <w:sz w:val="26"/>
          <w:szCs w:val="26"/>
        </w:rPr>
        <w:t xml:space="preserve">i to aż 4,3 %. Spadły też między innymi indeksy w Brazylii, Rosji, Chinach i Turcji. </w:t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Pr="003A570E" w:rsidRDefault="00B16792" w:rsidP="00B16792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Osobiście tą relatywną </w:t>
      </w:r>
      <w:r w:rsidRPr="003A570E">
        <w:rPr>
          <w:b/>
          <w:sz w:val="26"/>
          <w:szCs w:val="26"/>
          <w:u w:val="single"/>
        </w:rPr>
        <w:t>słabość</w:t>
      </w:r>
      <w:r>
        <w:rPr>
          <w:sz w:val="26"/>
          <w:szCs w:val="26"/>
        </w:rPr>
        <w:t xml:space="preserve"> wyżej wymienionych wschodzących rynków akcji </w:t>
      </w:r>
      <w:r w:rsidRPr="003A570E">
        <w:rPr>
          <w:b/>
          <w:sz w:val="26"/>
          <w:szCs w:val="26"/>
          <w:u w:val="single"/>
        </w:rPr>
        <w:t xml:space="preserve">wiązałbym ze spadkami cen kontraktów terminowych na kluczowe surowce. </w:t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Wprawdzie w przypadku cen kontraktów terminowych na miedź wypełniła się nietypowa ogromna formacja podwójnego szczytu, tym niemniej jednak w skali całego tygodnia ceny kontraktów na miedź, złoto, czy też platynę spadły. </w:t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Pr="003A570E" w:rsidRDefault="00B16792" w:rsidP="00B16792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Popatrzmy teraz na długoterminowy wykres </w:t>
      </w:r>
      <w:r w:rsidRPr="003A570E">
        <w:rPr>
          <w:b/>
          <w:color w:val="FF0000"/>
          <w:sz w:val="26"/>
          <w:szCs w:val="26"/>
        </w:rPr>
        <w:t xml:space="preserve">indeksu WIG20. Indeks niestety spadł poniżej wzrostowej linii trendu poprowadzonej przez dołki z marca 1995 roku oraz lutego 2009 roku. </w:t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Pr="001175DB" w:rsidRDefault="00B16792" w:rsidP="00B16792">
      <w:pPr>
        <w:pStyle w:val="Bezodstpw"/>
        <w:jc w:val="both"/>
        <w:rPr>
          <w:b/>
          <w:sz w:val="26"/>
          <w:szCs w:val="26"/>
          <w:u w:val="single"/>
        </w:rPr>
      </w:pPr>
      <w:r w:rsidRPr="001175DB">
        <w:rPr>
          <w:b/>
          <w:sz w:val="26"/>
          <w:szCs w:val="26"/>
          <w:u w:val="single"/>
        </w:rPr>
        <w:t>WIG20</w:t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177FCAEA" wp14:editId="1C983B04">
            <wp:extent cx="5429250" cy="3257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Spadek poniżej tej wzrostowej linii trendu jest sygnałem niepokojących. Z jeszcze bardziej niepokojącym sygnałem mamy do czynienia wówczas, gdy przyjrzymy się bardziej dokładnie wykresowi indeksowi WIG20 i zastanowimy się nad tym, czy </w:t>
      </w:r>
      <w:r>
        <w:rPr>
          <w:sz w:val="26"/>
          <w:szCs w:val="26"/>
        </w:rPr>
        <w:lastRenderedPageBreak/>
        <w:t xml:space="preserve">można na nim dostrzec jakąś formację podwójnego szczytu. Na wykresie indeksu WIG20 doszło do wybicia z nietypowej formacji podwójnego szczytu. </w:t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Default="00B16792" w:rsidP="00B16792">
      <w:pPr>
        <w:pStyle w:val="Bezodstpw"/>
        <w:jc w:val="both"/>
        <w:rPr>
          <w:b/>
          <w:sz w:val="26"/>
          <w:szCs w:val="26"/>
          <w:u w:val="single"/>
        </w:rPr>
      </w:pPr>
      <w:r w:rsidRPr="00B1447B">
        <w:rPr>
          <w:b/>
          <w:sz w:val="26"/>
          <w:szCs w:val="26"/>
          <w:u w:val="single"/>
        </w:rPr>
        <w:t>WIG20</w:t>
      </w:r>
    </w:p>
    <w:p w:rsidR="00B16792" w:rsidRPr="00B1447B" w:rsidRDefault="00B16792" w:rsidP="00B16792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171CD149" wp14:editId="4795A646">
            <wp:extent cx="5429250" cy="3257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Pr="0093141E" w:rsidRDefault="00B16792" w:rsidP="00B16792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Gdyby formacja ta miała się wypełnić powinno dojść jeszcze w dłuższym terminie do spadku indeksu do 1 576,8 pkt. WIG20 </w:t>
      </w:r>
      <w:r w:rsidRPr="0093141E">
        <w:rPr>
          <w:b/>
          <w:color w:val="FF0000"/>
          <w:sz w:val="26"/>
          <w:szCs w:val="26"/>
        </w:rPr>
        <w:t>o 18,6 %.</w:t>
      </w:r>
      <w:r w:rsidRPr="0093141E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Gdyby formacja ta miała się wypełnić powinno dojść w dłuższym terminie jeszcze do spadku indeksu WIG DO </w:t>
      </w:r>
      <w:r w:rsidRPr="0093141E">
        <w:rPr>
          <w:sz w:val="26"/>
          <w:szCs w:val="26"/>
        </w:rPr>
        <w:t>44</w:t>
      </w:r>
      <w:r>
        <w:rPr>
          <w:sz w:val="26"/>
          <w:szCs w:val="26"/>
        </w:rPr>
        <w:t xml:space="preserve"> </w:t>
      </w:r>
      <w:r w:rsidRPr="0093141E">
        <w:rPr>
          <w:sz w:val="26"/>
          <w:szCs w:val="26"/>
        </w:rPr>
        <w:t>388,6</w:t>
      </w:r>
      <w:r>
        <w:rPr>
          <w:sz w:val="26"/>
          <w:szCs w:val="26"/>
        </w:rPr>
        <w:t xml:space="preserve">6 pkt., czyli o </w:t>
      </w:r>
      <w:r w:rsidRPr="0093141E">
        <w:rPr>
          <w:b/>
          <w:color w:val="FF0000"/>
          <w:sz w:val="26"/>
          <w:szCs w:val="26"/>
        </w:rPr>
        <w:t>7,5 %.</w:t>
      </w:r>
    </w:p>
    <w:p w:rsidR="00B16792" w:rsidRDefault="00B16792" w:rsidP="00B16792">
      <w:pPr>
        <w:pStyle w:val="Bezodstpw"/>
        <w:jc w:val="both"/>
        <w:rPr>
          <w:b/>
          <w:sz w:val="26"/>
          <w:szCs w:val="26"/>
          <w:u w:val="single"/>
        </w:rPr>
      </w:pPr>
    </w:p>
    <w:p w:rsidR="00B16792" w:rsidRDefault="00B16792" w:rsidP="00B16792">
      <w:pPr>
        <w:pStyle w:val="Bezodstpw"/>
        <w:jc w:val="both"/>
        <w:rPr>
          <w:b/>
          <w:sz w:val="26"/>
          <w:szCs w:val="26"/>
          <w:u w:val="single"/>
        </w:rPr>
      </w:pPr>
      <w:r w:rsidRPr="00B1447B">
        <w:rPr>
          <w:b/>
          <w:sz w:val="26"/>
          <w:szCs w:val="26"/>
          <w:u w:val="single"/>
        </w:rPr>
        <w:t>WIG</w:t>
      </w:r>
    </w:p>
    <w:p w:rsidR="00B16792" w:rsidRDefault="00B16792" w:rsidP="00B16792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5318B394" wp14:editId="75AE2109">
            <wp:extent cx="5429250" cy="3257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Chciałbym być dobrze zrozumiany. </w:t>
      </w:r>
      <w:r w:rsidRPr="003A570E">
        <w:rPr>
          <w:b/>
          <w:sz w:val="26"/>
          <w:szCs w:val="26"/>
        </w:rPr>
        <w:t>Ja nie twierdzę, że do tych spadków dojdzie</w:t>
      </w:r>
      <w:r>
        <w:rPr>
          <w:sz w:val="26"/>
          <w:szCs w:val="26"/>
        </w:rPr>
        <w:t xml:space="preserve"> (w swej pracy analitycznej w ogóle nie zajmuję się przewidywaniem przyszłości). Ja tylko czysto opisowo pragnę zauważyć, że w przypadku obu przytoczonych wyżej indeksów </w:t>
      </w:r>
      <w:r w:rsidRPr="003A570E">
        <w:rPr>
          <w:b/>
          <w:sz w:val="26"/>
          <w:szCs w:val="26"/>
        </w:rPr>
        <w:t>mamy do czynienia z niewypełnionymi formacjami nietypowego podwójnego szczytu</w:t>
      </w:r>
      <w:r>
        <w:rPr>
          <w:sz w:val="26"/>
          <w:szCs w:val="26"/>
        </w:rPr>
        <w:t xml:space="preserve"> i wyłącznie stwierdzam, że ich pojawienie się stwarza ryzyko spadków. </w:t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Nawiązują w tym momencie do teorii analizy technicznej, </w:t>
      </w:r>
      <w:proofErr w:type="gramStart"/>
      <w:r>
        <w:rPr>
          <w:sz w:val="26"/>
          <w:szCs w:val="26"/>
        </w:rPr>
        <w:t>zgodnie z która</w:t>
      </w:r>
      <w:proofErr w:type="gramEnd"/>
      <w:r>
        <w:rPr>
          <w:sz w:val="26"/>
          <w:szCs w:val="26"/>
        </w:rPr>
        <w:t xml:space="preserve"> formacja podwójnego dna stanowi zapowiedzieć zmiany trendu ze spadkowego na wzrostowy a formacja zapowiedź zmiany trendu ze wzrostowego na spadkowy. </w:t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Czy można dostrzec jakieś argumenty, które mogą (choć nie muszą) spowodować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unieważnienia” negatywnego scenariusza ?</w:t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Wydaje mi się, że tak. Po pierwsze warto wskazać na to, że ankietowani przez Stowarzyszenie Inwestorów Indywidualnych inwestorzy są pesymistami. </w:t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43,5 % z nich uważa, że w okresie kolejnych 6 miesięcy dojdzie do spadków cen akcji na giełdzie warszawskiej. Mniej (36,9%) sądzi, że w tym okresie zawitają do nas wzrosty. </w:t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Doświadczenie podpowiada, że wzrosty na GPW zaczynały się wówczas, gdy sporo inwestorów indywidualnych była nastawiona pesymistycznie. </w:t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Po drugie warto zauważyć, że znajdujemy się w raczej korzystnych dla posiadaczy akcji okresie przełomu roku obejmującym okres od końca października roku T do końca kwietnia roku T+1.</w:t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  <w:r w:rsidRPr="003A570E">
        <w:rPr>
          <w:b/>
          <w:color w:val="FF0000"/>
          <w:sz w:val="26"/>
          <w:szCs w:val="26"/>
        </w:rPr>
        <w:t xml:space="preserve">Czy jednak pesymizm oraz korzystna sezonowość wystarczą do pojawienia się fali wzrostów indeksu WIG20 oraz </w:t>
      </w:r>
      <w:proofErr w:type="gramStart"/>
      <w:r w:rsidRPr="003A570E">
        <w:rPr>
          <w:b/>
          <w:color w:val="FF0000"/>
          <w:sz w:val="26"/>
          <w:szCs w:val="26"/>
        </w:rPr>
        <w:t>WIG ?.</w:t>
      </w:r>
      <w:r w:rsidRPr="003A570E">
        <w:rPr>
          <w:color w:val="FF0000"/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Odpowiem w tej sposób: może tak się stać, ale na wykresie indeksów WIG20 oraz WIG </w:t>
      </w:r>
      <w:r w:rsidRPr="00E976BF">
        <w:rPr>
          <w:b/>
          <w:sz w:val="26"/>
          <w:szCs w:val="26"/>
          <w:u w:val="single"/>
        </w:rPr>
        <w:t>musiałyby pojawić jakieś sygnały zwiastujące rozpoczęcie trendu wzrostowego.</w:t>
      </w:r>
      <w:r>
        <w:rPr>
          <w:sz w:val="26"/>
          <w:szCs w:val="26"/>
        </w:rPr>
        <w:t xml:space="preserve"> </w:t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Pr="003A570E" w:rsidRDefault="00B16792" w:rsidP="00B16792">
      <w:pPr>
        <w:pStyle w:val="Bezodstpw"/>
        <w:jc w:val="both"/>
        <w:rPr>
          <w:b/>
          <w:color w:val="FF0000"/>
          <w:sz w:val="26"/>
          <w:szCs w:val="26"/>
          <w:u w:val="single"/>
        </w:rPr>
      </w:pPr>
      <w:r w:rsidRPr="00E976BF">
        <w:rPr>
          <w:b/>
          <w:sz w:val="26"/>
          <w:szCs w:val="26"/>
          <w:u w:val="single"/>
        </w:rPr>
        <w:t xml:space="preserve">Sygnałami tymi mogłyby być </w:t>
      </w:r>
      <w:r w:rsidRPr="003A570E">
        <w:rPr>
          <w:b/>
          <w:color w:val="FF0000"/>
          <w:sz w:val="26"/>
          <w:szCs w:val="26"/>
          <w:u w:val="single"/>
        </w:rPr>
        <w:t xml:space="preserve">na przykład </w:t>
      </w:r>
    </w:p>
    <w:p w:rsidR="00B16792" w:rsidRDefault="00B16792" w:rsidP="00B16792">
      <w:pPr>
        <w:pStyle w:val="Bezodstpw"/>
        <w:jc w:val="both"/>
        <w:rPr>
          <w:sz w:val="26"/>
          <w:szCs w:val="26"/>
        </w:rPr>
      </w:pPr>
    </w:p>
    <w:p w:rsidR="00B16792" w:rsidRPr="003A570E" w:rsidRDefault="00B16792" w:rsidP="00B1679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F64C"/>
        <w:jc w:val="both"/>
        <w:rPr>
          <w:b/>
          <w:color w:val="FF0000"/>
          <w:sz w:val="26"/>
          <w:szCs w:val="26"/>
        </w:rPr>
      </w:pPr>
      <w:r w:rsidRPr="003A570E">
        <w:rPr>
          <w:b/>
          <w:sz w:val="26"/>
          <w:szCs w:val="26"/>
        </w:rPr>
        <w:t xml:space="preserve">1.Powrót powyżej linii trendu wzrostowego poprowadzonej przez dołki z marca 1995 roku oraz lutego 2009 roku w przypadku indeksu WIG20 </w:t>
      </w:r>
      <w:r w:rsidRPr="003A570E">
        <w:rPr>
          <w:b/>
          <w:color w:val="FF0000"/>
          <w:sz w:val="26"/>
          <w:szCs w:val="26"/>
        </w:rPr>
        <w:t>(kluczowy warunek)</w:t>
      </w:r>
    </w:p>
    <w:p w:rsidR="00B16792" w:rsidRPr="003A570E" w:rsidRDefault="00B16792" w:rsidP="00B1679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F64C"/>
        <w:jc w:val="both"/>
        <w:rPr>
          <w:b/>
          <w:sz w:val="26"/>
          <w:szCs w:val="26"/>
        </w:rPr>
      </w:pPr>
    </w:p>
    <w:p w:rsidR="00B16792" w:rsidRPr="003A570E" w:rsidRDefault="00B16792" w:rsidP="00B1679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F64C"/>
        <w:jc w:val="both"/>
        <w:rPr>
          <w:b/>
          <w:sz w:val="26"/>
          <w:szCs w:val="26"/>
        </w:rPr>
      </w:pPr>
      <w:r w:rsidRPr="003A570E">
        <w:rPr>
          <w:b/>
          <w:sz w:val="26"/>
          <w:szCs w:val="26"/>
        </w:rPr>
        <w:t xml:space="preserve">2. Wybicie z jakiejś nawet bardzo małej formacji typowego lub nietypowego podwójnego dna na wykresie indeksu WIG20 lub WIG. </w:t>
      </w:r>
    </w:p>
    <w:p w:rsidR="00B16792" w:rsidRPr="003A570E" w:rsidRDefault="00B16792" w:rsidP="00B1679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F64C"/>
        <w:jc w:val="both"/>
        <w:rPr>
          <w:b/>
          <w:sz w:val="26"/>
          <w:szCs w:val="26"/>
        </w:rPr>
      </w:pPr>
    </w:p>
    <w:p w:rsidR="00B16792" w:rsidRPr="003A570E" w:rsidRDefault="00B16792" w:rsidP="00B1679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AF64C"/>
        <w:jc w:val="both"/>
        <w:rPr>
          <w:b/>
          <w:sz w:val="26"/>
          <w:szCs w:val="26"/>
        </w:rPr>
      </w:pPr>
      <w:r w:rsidRPr="003A570E">
        <w:rPr>
          <w:b/>
          <w:sz w:val="26"/>
          <w:szCs w:val="26"/>
        </w:rPr>
        <w:t>3.Pojawienie się formacji przenikania hossy, objęcia hossy lub formacji gwiazdy porannej na stworzonym w oparciu o dane tygodniowe wykresie indeksu WIG0 lub na takim samym wykresie indeksu WIG</w:t>
      </w:r>
    </w:p>
    <w:p w:rsidR="00B16792" w:rsidRPr="008B4215" w:rsidRDefault="00B16792" w:rsidP="00B16792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100"/>
          <w:szCs w:val="100"/>
        </w:rPr>
      </w:pPr>
      <w:r w:rsidRPr="008B4215">
        <w:rPr>
          <w:rFonts w:eastAsia="Times New Roman" w:cs="Times New Roman"/>
          <w:b/>
          <w:sz w:val="100"/>
          <w:szCs w:val="100"/>
        </w:rPr>
        <w:lastRenderedPageBreak/>
        <w:t xml:space="preserve">Ile wynosiła średnia procentowa zmiana kursu akcji spółki po wprowadzeniu jej do rubryki </w:t>
      </w:r>
      <w:proofErr w:type="gramStart"/>
      <w:r w:rsidRPr="008B4215">
        <w:rPr>
          <w:rFonts w:eastAsia="Times New Roman" w:cs="Times New Roman"/>
          <w:b/>
          <w:sz w:val="100"/>
          <w:szCs w:val="100"/>
        </w:rPr>
        <w:t>,,</w:t>
      </w:r>
      <w:proofErr w:type="gramEnd"/>
      <w:r w:rsidRPr="008B4215">
        <w:rPr>
          <w:rFonts w:eastAsia="Times New Roman" w:cs="Times New Roman"/>
          <w:b/>
          <w:sz w:val="100"/>
          <w:szCs w:val="100"/>
        </w:rPr>
        <w:t>Wykres do przemyślenia” w okresie 12 pierwszych miesięcy po jej wprowadzeniu do tej rubryki ?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  <w:r w:rsidRPr="008B4215">
        <w:rPr>
          <w:rFonts w:eastAsia="Times New Roman" w:cs="Times New Roman"/>
          <w:b/>
          <w:sz w:val="32"/>
          <w:szCs w:val="32"/>
          <w:u w:val="single"/>
        </w:rPr>
        <w:t xml:space="preserve">Obliczenia według stanu na </w:t>
      </w:r>
      <w:r>
        <w:rPr>
          <w:rFonts w:eastAsia="Times New Roman" w:cs="Times New Roman"/>
          <w:b/>
          <w:sz w:val="32"/>
          <w:szCs w:val="32"/>
          <w:u w:val="single"/>
        </w:rPr>
        <w:t>27</w:t>
      </w:r>
      <w:r w:rsidRPr="008B4215">
        <w:rPr>
          <w:rFonts w:eastAsia="Times New Roman" w:cs="Times New Roman"/>
          <w:b/>
          <w:sz w:val="32"/>
          <w:szCs w:val="32"/>
          <w:u w:val="single"/>
        </w:rPr>
        <w:t xml:space="preserve"> listopada 2015 roku</w:t>
      </w:r>
    </w:p>
    <w:p w:rsidR="00B16792" w:rsidRPr="008B4215" w:rsidRDefault="00B16792" w:rsidP="00B1679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8B4215">
        <w:rPr>
          <w:rFonts w:eastAsia="Times New Roman" w:cs="Times New Roman"/>
          <w:b/>
          <w:sz w:val="26"/>
          <w:szCs w:val="26"/>
        </w:rPr>
        <w:lastRenderedPageBreak/>
        <w:t xml:space="preserve">Wprowadzenie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Strona internetowa </w:t>
      </w:r>
      <w:hyperlink r:id="rId11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http://analizy-rynkowe.pl/</w:t>
        </w:r>
      </w:hyperlink>
      <w:r w:rsidRPr="008B4215">
        <w:rPr>
          <w:rFonts w:eastAsia="Times New Roman" w:cs="Times New Roman"/>
          <w:sz w:val="26"/>
          <w:szCs w:val="26"/>
        </w:rPr>
        <w:t xml:space="preserve"> prowadzona jest od września 2014 roku.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Co tydzień publikowany jest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>Raport Tygodniowy”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Od czasu do czasu umieszczam wybrane spółki w rubryce </w:t>
      </w:r>
      <w:proofErr w:type="gramStart"/>
      <w:r w:rsidRPr="008B4215">
        <w:rPr>
          <w:rFonts w:eastAsia="Times New Roman" w:cs="Times New Roman"/>
          <w:b/>
          <w:color w:val="FF0000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b/>
          <w:color w:val="FF0000"/>
          <w:sz w:val="26"/>
          <w:szCs w:val="26"/>
        </w:rPr>
        <w:t xml:space="preserve">Wykres do przemyślenia”.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Umieszczane są tam te przykładowe spółki, których kurs </w:t>
      </w:r>
      <w:r w:rsidRPr="008B4215">
        <w:rPr>
          <w:rFonts w:eastAsia="Times New Roman" w:cs="Times New Roman"/>
          <w:b/>
          <w:color w:val="FF0000"/>
          <w:sz w:val="26"/>
          <w:szCs w:val="26"/>
        </w:rPr>
        <w:t xml:space="preserve">wybił się z formacji podwójnego dna.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Formacja podwójnego dna ma </w:t>
      </w:r>
      <w:r w:rsidRPr="008B4215">
        <w:rPr>
          <w:rFonts w:eastAsia="Times New Roman" w:cs="Times New Roman"/>
          <w:b/>
          <w:sz w:val="26"/>
          <w:szCs w:val="26"/>
        </w:rPr>
        <w:t xml:space="preserve">2 </w:t>
      </w:r>
      <w:proofErr w:type="gramStart"/>
      <w:r w:rsidRPr="008B4215">
        <w:rPr>
          <w:rFonts w:eastAsia="Times New Roman" w:cs="Times New Roman"/>
          <w:b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b/>
          <w:sz w:val="26"/>
          <w:szCs w:val="26"/>
        </w:rPr>
        <w:t xml:space="preserve">zadania”.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Podstawowym, minimalnym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zadaniem” tej formacji jest jej wypełnienie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Drugim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zadaniem” tej formacji jest doprowadzenie do zmiany trendu ze spadkowego na wzrostowy.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Osobiście wyróżniam </w:t>
      </w:r>
      <w:r w:rsidRPr="008B4215">
        <w:rPr>
          <w:rFonts w:eastAsia="Times New Roman" w:cs="Times New Roman"/>
          <w:b/>
          <w:sz w:val="26"/>
          <w:szCs w:val="26"/>
        </w:rPr>
        <w:t>typowe oraz nietypowe podwójne dno.</w:t>
      </w:r>
      <w:r w:rsidRPr="008B4215">
        <w:rPr>
          <w:rFonts w:eastAsia="Times New Roman" w:cs="Times New Roman"/>
          <w:sz w:val="26"/>
          <w:szCs w:val="26"/>
        </w:rPr>
        <w:t xml:space="preserve">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Typowa formacja podwójnego dna charakteryzuje się tym, że dołki w formacji kształtują się na poziomie identycznym, bądź prawie identycznym.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>Natomiast w przypadku nietypowej formacji podwójnego dna kształtują się one na poziomie zupełnie odmiennym.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Od pierwszego numeru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postanowiłem, że będę </w:t>
      </w:r>
      <w:r w:rsidRPr="008B4215">
        <w:rPr>
          <w:rFonts w:eastAsia="Times New Roman" w:cs="Times New Roman"/>
          <w:b/>
          <w:sz w:val="26"/>
          <w:szCs w:val="26"/>
        </w:rPr>
        <w:t>porównywał</w:t>
      </w:r>
      <w:r w:rsidRPr="008B4215">
        <w:rPr>
          <w:rFonts w:eastAsia="Times New Roman" w:cs="Times New Roman"/>
          <w:sz w:val="26"/>
          <w:szCs w:val="26"/>
        </w:rPr>
        <w:t xml:space="preserve"> zachowanie kursu akcji spółki po wprowadzeniu jej do rubryki ,,Wykres do przemyślenia” </w:t>
      </w:r>
      <w:r w:rsidRPr="008B4215">
        <w:rPr>
          <w:rFonts w:eastAsia="Times New Roman" w:cs="Times New Roman"/>
          <w:b/>
          <w:sz w:val="26"/>
          <w:szCs w:val="26"/>
        </w:rPr>
        <w:t xml:space="preserve">z zachowaniem indeksu WIG20.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Mam świadomość, że podejście to może budzić kontrowersje, sprzeciw. Dobrze. Tak być musi.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Postanowiłem odpowiedzieć na pytanie: </w:t>
      </w:r>
      <w:proofErr w:type="gramStart"/>
      <w:r w:rsidRPr="008B4215">
        <w:rPr>
          <w:rFonts w:eastAsia="Times New Roman" w:cs="Times New Roman"/>
          <w:b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b/>
          <w:sz w:val="26"/>
          <w:szCs w:val="26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W związku z powyższym postanowiłem odpowiedzieć </w:t>
      </w:r>
      <w:r w:rsidRPr="008B4215">
        <w:rPr>
          <w:rFonts w:eastAsia="Times New Roman" w:cs="Times New Roman"/>
          <w:b/>
          <w:sz w:val="26"/>
          <w:szCs w:val="26"/>
        </w:rPr>
        <w:t>także</w:t>
      </w:r>
      <w:r w:rsidRPr="008B4215">
        <w:rPr>
          <w:rFonts w:eastAsia="Times New Roman" w:cs="Times New Roman"/>
          <w:sz w:val="26"/>
          <w:szCs w:val="26"/>
        </w:rPr>
        <w:t xml:space="preserve"> na pytanie: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>Ile wynosiła średnia procentowa zmiana indeksu WIG 20 w tym okresie ?”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Odpowiedź na te pytania przedstawiłem w tabeli na następnej stronie.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lastRenderedPageBreak/>
        <w:t xml:space="preserve">Tabela: Procentowa zmiana cen akcji czterech spółek, których akcje zostały wymienione w pierwszym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05.09.2014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04.09.2015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Immobile</w:t>
            </w:r>
            <w:proofErr w:type="spellEnd"/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2,04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2,35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 +15,2 %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Lena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3,99 zł.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4,44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  +11,3 %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</w:t>
            </w:r>
            <w:proofErr w:type="gramStart"/>
            <w:r w:rsidRPr="008B4215">
              <w:t xml:space="preserve">spółki  </w:t>
            </w:r>
            <w:proofErr w:type="spellStart"/>
            <w:r w:rsidRPr="008B4215">
              <w:t>Netmedia</w:t>
            </w:r>
            <w:proofErr w:type="spellEnd"/>
            <w:proofErr w:type="gramEnd"/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3,63 zł.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5,64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 +55,4 %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Rafako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4,25 zł.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6,72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 +58,1 %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  +35,0 %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2 541,42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2 146,47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   -15,5 %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drugim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12.09.2014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11.09.2015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Boryszew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6,50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5,15 zł. 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-20,8 %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-20,8 %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2 497,38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2 185,46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  -12,5 %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16 września na stronie internetowej </w:t>
      </w:r>
      <w:hyperlink r:id="rId12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15 września do 15 września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15.09.2014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15.09.2015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Erbud</w:t>
            </w:r>
            <w:proofErr w:type="spellEnd"/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26,50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32,90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24,2 %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24,2 %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2 489,77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2 185,88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-12,2 %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trzecim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19.09.2014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18.09.2015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IF Capital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1,32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0,98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2,3 %</w:t>
            </w:r>
          </w:p>
        </w:tc>
      </w:tr>
      <w:tr w:rsidR="00B16792" w:rsidRPr="008B4215" w:rsidTr="006254C8">
        <w:trPr>
          <w:trHeight w:val="310"/>
        </w:trPr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2,3 %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2 497,38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2 168,19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-13,2 %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Theme="minorEastAsia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lastRenderedPageBreak/>
        <w:t xml:space="preserve">Tabela: Procentowa zmiana ceny akcji spółki, której akcje zostały umieszczone 25 września na stronie internetowej </w:t>
      </w:r>
      <w:hyperlink r:id="rId13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24 września 2014 roku do 24 września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24.09.2014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18.09.2015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Capital Partners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1,85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2,40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+29,7 %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+29,7 %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2 489,77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2 082,95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-15,8 %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Theme="minorEastAsia" w:cs="Times New Roman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 akcji trzech spółek, których akcje zostały wymienione w czwartym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26.09.2014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25.09.2015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Asseco</w:t>
            </w:r>
            <w:proofErr w:type="spellEnd"/>
            <w:r w:rsidRPr="008B4215">
              <w:t xml:space="preserve"> Poland 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45,64 zł.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54,70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+19,9 %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</w:t>
            </w:r>
            <w:proofErr w:type="gramStart"/>
            <w:r w:rsidRPr="008B4215">
              <w:t>spółki  CD</w:t>
            </w:r>
            <w:proofErr w:type="gramEnd"/>
            <w:r w:rsidRPr="008B4215">
              <w:t xml:space="preserve"> Projekt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16,59 zł.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26,80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+61,5 %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Sygnity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17,60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8,82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- 49,9 %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+10,5% 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2484,02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2 168,19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- 15,8 %</w:t>
            </w:r>
          </w:p>
        </w:tc>
      </w:tr>
    </w:tbl>
    <w:p w:rsidR="00B16792" w:rsidRPr="008B4215" w:rsidRDefault="00B16792" w:rsidP="00B16792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piątym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03.10.2014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02.10.2015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Stalprodukt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244,10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278,15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+13,9 %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+13,9 %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2 444,06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2 036,32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-16,7 %</w:t>
            </w:r>
          </w:p>
        </w:tc>
      </w:tr>
    </w:tbl>
    <w:p w:rsidR="00B16792" w:rsidRPr="008B4215" w:rsidRDefault="00B16792" w:rsidP="00B16792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szóstym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20 października 2014 roku w rubryce ,,Wykres do przemyślenia” w okresie od 17 września do 16 października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Theme="minorEastAsia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17.10.2014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16.10.2015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Tauron</w:t>
            </w:r>
            <w:proofErr w:type="spellEnd"/>
            <w:r w:rsidRPr="008B4215">
              <w:t xml:space="preserve"> Polska Energia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5,21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3,23 zł. 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-38,0 %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-38,0 %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2 401,13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2 121,94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  -11,6 %</w:t>
            </w:r>
          </w:p>
        </w:tc>
      </w:tr>
    </w:tbl>
    <w:p w:rsidR="00B16792" w:rsidRPr="008B4215" w:rsidRDefault="00B16792" w:rsidP="00B16792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B16792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5A152F">
        <w:rPr>
          <w:rFonts w:eastAsia="Times New Roman" w:cs="Times New Roman"/>
          <w:sz w:val="26"/>
          <w:szCs w:val="26"/>
        </w:rPr>
        <w:lastRenderedPageBreak/>
        <w:t xml:space="preserve">Tabela: Procentowa zmiana ceny akcji spółki, której akcje zostały umieszczone 22 października na stronie internetowej </w:t>
      </w:r>
      <w:hyperlink r:id="rId14" w:history="1">
        <w:r w:rsidRPr="005A152F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5A152F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5A152F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5A152F">
        <w:rPr>
          <w:rFonts w:eastAsia="Times New Roman" w:cs="Times New Roman"/>
          <w:sz w:val="26"/>
          <w:szCs w:val="26"/>
        </w:rPr>
        <w:t xml:space="preserve"> do przemyślenia” w okresie od 21 października do 19 czerwca 2015 roku do 21 października 2015 roku oraz procentowa zmiana indeksu WIG 20 w tym okresie. </w:t>
      </w:r>
    </w:p>
    <w:p w:rsidR="00B16792" w:rsidRPr="005A152F" w:rsidRDefault="00B16792" w:rsidP="00B16792">
      <w:pPr>
        <w:spacing w:after="0" w:line="240" w:lineRule="auto"/>
        <w:jc w:val="both"/>
        <w:rPr>
          <w:rFonts w:eastAsiaTheme="minorEastAsia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21.10.2014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21.10.2015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Elektrotim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8,70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18,66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+ 114,5 %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t>Akcja spółki Relpol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6,70 zł. 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  -3,3 %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 + 55,6 %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2 423,77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2 105,65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-13,1 %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Theme="minorEastAsia" w:cs="Times New Roman"/>
        </w:rPr>
      </w:pPr>
    </w:p>
    <w:p w:rsidR="00B16792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5A152F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siódmym numerze </w:t>
      </w:r>
      <w:proofErr w:type="gramStart"/>
      <w:r w:rsidRPr="005A152F">
        <w:rPr>
          <w:rFonts w:eastAsia="Times New Roman" w:cs="Times New Roman"/>
          <w:sz w:val="26"/>
          <w:szCs w:val="26"/>
        </w:rPr>
        <w:t>,,</w:t>
      </w:r>
      <w:proofErr w:type="gramEnd"/>
      <w:r w:rsidRPr="005A152F">
        <w:rPr>
          <w:rFonts w:eastAsia="Times New Roman" w:cs="Times New Roman"/>
          <w:sz w:val="26"/>
          <w:szCs w:val="26"/>
        </w:rPr>
        <w:t xml:space="preserve">Raportu Tygodniowego” z 27 października 2014 roku w rubryce ,,Wykres do przemyślenia” w okresie od 24 października 2014 roku do 23 października 2015 roku oraz procentowa zmiana indeksu WIG 20 w tym okresie. </w:t>
      </w:r>
    </w:p>
    <w:p w:rsidR="00B16792" w:rsidRPr="005A152F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24.10.2014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23.10.2015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Tesgas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4,32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3,70 zł. 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-14,4 %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-14,4 %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2 401,13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2 107,43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-13,1 %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u w:val="single"/>
          <w:lang w:eastAsia="pl-PL"/>
        </w:rPr>
      </w:pPr>
    </w:p>
    <w:p w:rsidR="00B16792" w:rsidRDefault="00B16792" w:rsidP="00B1679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5A152F">
        <w:rPr>
          <w:rFonts w:eastAsia="Times New Roman" w:cs="Times New Roman"/>
          <w:sz w:val="28"/>
          <w:szCs w:val="28"/>
        </w:rPr>
        <w:t xml:space="preserve">Tabela: Procentowa zmiana ceny akcji spółki, której akcje zostały wymienione w numerze </w:t>
      </w:r>
      <w:proofErr w:type="gramStart"/>
      <w:r w:rsidRPr="005A152F">
        <w:rPr>
          <w:rFonts w:eastAsia="Times New Roman" w:cs="Times New Roman"/>
          <w:sz w:val="28"/>
          <w:szCs w:val="28"/>
        </w:rPr>
        <w:t>,,</w:t>
      </w:r>
      <w:proofErr w:type="gramEnd"/>
      <w:r w:rsidRPr="005A152F">
        <w:rPr>
          <w:rFonts w:eastAsia="Times New Roman" w:cs="Times New Roman"/>
          <w:sz w:val="28"/>
          <w:szCs w:val="28"/>
        </w:rPr>
        <w:t xml:space="preserve">Raportu Tygodniowego” z 3 listopada 2014 roku w rubryce ,,Wykres do przemyślenia” w okresie od 31 października 2014 roku do 30 października 2015 roku oraz procentowa zmiana indeksu WIG 20 w tym okresie. </w:t>
      </w:r>
    </w:p>
    <w:p w:rsidR="00B16792" w:rsidRPr="005A152F" w:rsidRDefault="00B16792" w:rsidP="00B1679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31.10.2014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30.10.2015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Enea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16,00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12,83 zł. 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-19,8 %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-19,8 %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2 463,68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2 060,03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-16,4 %</w:t>
            </w:r>
          </w:p>
        </w:tc>
      </w:tr>
    </w:tbl>
    <w:p w:rsidR="00B16792" w:rsidRPr="005A152F" w:rsidRDefault="00B16792" w:rsidP="00B16792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B16792" w:rsidRPr="005A152F" w:rsidRDefault="00B16792" w:rsidP="00B1679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5A152F">
        <w:rPr>
          <w:rFonts w:eastAsia="Times New Roman" w:cs="Times New Roman"/>
          <w:sz w:val="28"/>
          <w:szCs w:val="28"/>
        </w:rPr>
        <w:t xml:space="preserve">Tabela: Procentowa zmiana ceny akcji spółki, której akcje zostały wymienione w numerze </w:t>
      </w:r>
      <w:proofErr w:type="gramStart"/>
      <w:r w:rsidRPr="005A152F">
        <w:rPr>
          <w:rFonts w:eastAsia="Times New Roman" w:cs="Times New Roman"/>
          <w:sz w:val="28"/>
          <w:szCs w:val="28"/>
        </w:rPr>
        <w:t>,,</w:t>
      </w:r>
      <w:proofErr w:type="gramEnd"/>
      <w:r w:rsidRPr="005A152F">
        <w:rPr>
          <w:rFonts w:eastAsia="Times New Roman" w:cs="Times New Roman"/>
          <w:sz w:val="28"/>
          <w:szCs w:val="28"/>
        </w:rPr>
        <w:t>Raportu Tygodniowego” z 1 grudnia 2014 roku w rubryce ,,Wykres do przemyślenia” w okresie od 28 listopada 2014 roku do 2</w:t>
      </w:r>
      <w:r>
        <w:rPr>
          <w:rFonts w:eastAsia="Times New Roman" w:cs="Times New Roman"/>
          <w:sz w:val="28"/>
          <w:szCs w:val="28"/>
        </w:rPr>
        <w:t>7</w:t>
      </w:r>
      <w:r w:rsidRPr="005A152F">
        <w:rPr>
          <w:rFonts w:eastAsia="Times New Roman" w:cs="Times New Roman"/>
          <w:sz w:val="28"/>
          <w:szCs w:val="28"/>
        </w:rPr>
        <w:t xml:space="preserve"> listopada 2015 roku oraz procentowa zmiana indeksu WIG 20 w tym okresie. </w:t>
      </w:r>
    </w:p>
    <w:p w:rsidR="00B16792" w:rsidRPr="005A152F" w:rsidRDefault="00B16792" w:rsidP="00B16792">
      <w:pPr>
        <w:spacing w:after="0" w:line="240" w:lineRule="auto"/>
        <w:jc w:val="both"/>
        <w:rPr>
          <w:rFonts w:eastAsiaTheme="minorEastAsia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28.11.2014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Procad</w:t>
            </w:r>
            <w:proofErr w:type="spellEnd"/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1,06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1,8</w:t>
            </w:r>
            <w:r>
              <w:t>4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+</w:t>
            </w:r>
            <w:r>
              <w:t>73</w:t>
            </w:r>
            <w:r w:rsidRPr="008B4215">
              <w:t>,</w:t>
            </w:r>
            <w:r>
              <w:t>6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73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6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2 416,93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-1</w:t>
            </w:r>
            <w:r>
              <w:t>9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</w:tbl>
    <w:p w:rsidR="00B16792" w:rsidRPr="005A152F" w:rsidRDefault="00B16792" w:rsidP="00B16792">
      <w:pPr>
        <w:spacing w:after="0" w:line="240" w:lineRule="auto"/>
        <w:jc w:val="both"/>
        <w:rPr>
          <w:rFonts w:ascii="Calibri" w:eastAsia="Times New Roman" w:hAnsi="Calibri" w:cs="Times New Roman"/>
          <w:sz w:val="70"/>
          <w:szCs w:val="70"/>
          <w:u w:val="single"/>
          <w:lang w:eastAsia="pl-PL"/>
        </w:rPr>
      </w:pPr>
      <w:r w:rsidRPr="005A152F">
        <w:rPr>
          <w:rFonts w:ascii="Calibri" w:eastAsia="Times New Roman" w:hAnsi="Calibri" w:cs="Times New Roman"/>
          <w:sz w:val="70"/>
          <w:szCs w:val="70"/>
          <w:u w:val="single"/>
          <w:lang w:eastAsia="pl-PL"/>
        </w:rPr>
        <w:lastRenderedPageBreak/>
        <w:t>Wniosek końcowy z powyższych rozważań brzmi następująco:</w:t>
      </w:r>
    </w:p>
    <w:p w:rsidR="00B16792" w:rsidRPr="005A152F" w:rsidRDefault="00B16792" w:rsidP="00B16792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70"/>
          <w:szCs w:val="70"/>
          <w:u w:val="single"/>
          <w:lang w:eastAsia="pl-PL"/>
        </w:rPr>
      </w:pPr>
    </w:p>
    <w:p w:rsidR="00B16792" w:rsidRPr="005A152F" w:rsidRDefault="00B16792" w:rsidP="00B16792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70"/>
          <w:szCs w:val="70"/>
          <w:u w:val="single"/>
          <w:lang w:eastAsia="pl-PL"/>
        </w:rPr>
      </w:pPr>
      <w:r w:rsidRPr="005A152F">
        <w:rPr>
          <w:rFonts w:ascii="Calibri" w:eastAsia="Times New Roman" w:hAnsi="Calibri" w:cs="Times New Roman"/>
          <w:color w:val="000000"/>
          <w:sz w:val="70"/>
          <w:szCs w:val="70"/>
          <w:lang w:eastAsia="pl-PL"/>
        </w:rPr>
        <w:t xml:space="preserve">Średnia procentowa zmiana kursu akcji spółki po wprowadzeniu jej do rubryki </w:t>
      </w:r>
      <w:proofErr w:type="gramStart"/>
      <w:r w:rsidRPr="005A152F">
        <w:rPr>
          <w:rFonts w:ascii="Calibri" w:eastAsia="Times New Roman" w:hAnsi="Calibri" w:cs="Times New Roman"/>
          <w:b/>
          <w:color w:val="FF0000"/>
          <w:sz w:val="70"/>
          <w:szCs w:val="70"/>
          <w:lang w:eastAsia="pl-PL"/>
        </w:rPr>
        <w:t>,,</w:t>
      </w:r>
      <w:proofErr w:type="gramEnd"/>
      <w:r w:rsidRPr="005A152F">
        <w:rPr>
          <w:rFonts w:ascii="Calibri" w:eastAsia="Times New Roman" w:hAnsi="Calibri" w:cs="Times New Roman"/>
          <w:b/>
          <w:color w:val="FF0000"/>
          <w:sz w:val="70"/>
          <w:szCs w:val="70"/>
          <w:lang w:eastAsia="pl-PL"/>
        </w:rPr>
        <w:t>Wykres do przemyślenia”</w:t>
      </w:r>
      <w:r w:rsidRPr="005A152F">
        <w:rPr>
          <w:rFonts w:ascii="Calibri" w:eastAsia="Times New Roman" w:hAnsi="Calibri" w:cs="Times New Roman"/>
          <w:color w:val="000000"/>
          <w:sz w:val="70"/>
          <w:szCs w:val="70"/>
          <w:lang w:eastAsia="pl-PL"/>
        </w:rPr>
        <w:t xml:space="preserve"> w okresie 12 pierwszych miesięcy po jej wprowadzeniu do tej rubryki wynosiła </w:t>
      </w:r>
      <w:r w:rsidRPr="005A152F">
        <w:rPr>
          <w:rFonts w:ascii="Calibri" w:eastAsia="Times New Roman" w:hAnsi="Calibri" w:cs="Times New Roman"/>
          <w:b/>
          <w:color w:val="FF0000"/>
          <w:sz w:val="70"/>
          <w:szCs w:val="70"/>
          <w:lang w:eastAsia="pl-PL"/>
        </w:rPr>
        <w:t>plus 1</w:t>
      </w:r>
      <w:r>
        <w:rPr>
          <w:rFonts w:ascii="Calibri" w:eastAsia="Times New Roman" w:hAnsi="Calibri" w:cs="Times New Roman"/>
          <w:b/>
          <w:color w:val="FF0000"/>
          <w:sz w:val="70"/>
          <w:szCs w:val="70"/>
          <w:lang w:eastAsia="pl-PL"/>
        </w:rPr>
        <w:t>8</w:t>
      </w:r>
      <w:r w:rsidRPr="005A152F">
        <w:rPr>
          <w:rFonts w:ascii="Calibri" w:eastAsia="Times New Roman" w:hAnsi="Calibri" w:cs="Times New Roman"/>
          <w:b/>
          <w:color w:val="FF0000"/>
          <w:sz w:val="70"/>
          <w:szCs w:val="70"/>
          <w:lang w:eastAsia="pl-PL"/>
        </w:rPr>
        <w:t>,</w:t>
      </w:r>
      <w:r>
        <w:rPr>
          <w:rFonts w:ascii="Calibri" w:eastAsia="Times New Roman" w:hAnsi="Calibri" w:cs="Times New Roman"/>
          <w:b/>
          <w:color w:val="FF0000"/>
          <w:sz w:val="70"/>
          <w:szCs w:val="70"/>
          <w:lang w:eastAsia="pl-PL"/>
        </w:rPr>
        <w:t>5</w:t>
      </w:r>
      <w:r w:rsidRPr="005A152F">
        <w:rPr>
          <w:rFonts w:ascii="Calibri" w:eastAsia="Times New Roman" w:hAnsi="Calibri" w:cs="Times New Roman"/>
          <w:b/>
          <w:color w:val="FF0000"/>
          <w:sz w:val="70"/>
          <w:szCs w:val="70"/>
          <w:lang w:eastAsia="pl-PL"/>
        </w:rPr>
        <w:t xml:space="preserve"> %.</w:t>
      </w:r>
      <w:r w:rsidRPr="005A152F">
        <w:rPr>
          <w:rFonts w:ascii="Calibri" w:eastAsia="Times New Roman" w:hAnsi="Calibri" w:cs="Times New Roman"/>
          <w:color w:val="FF0000"/>
          <w:sz w:val="70"/>
          <w:szCs w:val="70"/>
          <w:lang w:eastAsia="pl-PL"/>
        </w:rPr>
        <w:t xml:space="preserve"> </w:t>
      </w:r>
      <w:r w:rsidRPr="005A152F">
        <w:rPr>
          <w:rFonts w:ascii="Calibri" w:eastAsia="Times New Roman" w:hAnsi="Calibri" w:cs="Times New Roman"/>
          <w:color w:val="000000" w:themeColor="text1"/>
          <w:sz w:val="70"/>
          <w:szCs w:val="70"/>
          <w:lang w:eastAsia="pl-PL"/>
        </w:rPr>
        <w:t xml:space="preserve">Średnia procentowa zmiana indeksu </w:t>
      </w:r>
      <w:r w:rsidRPr="005A152F">
        <w:rPr>
          <w:rFonts w:ascii="Calibri" w:eastAsia="Times New Roman" w:hAnsi="Calibri" w:cs="Times New Roman"/>
          <w:color w:val="000000" w:themeColor="text1"/>
          <w:sz w:val="70"/>
          <w:szCs w:val="70"/>
          <w:u w:val="single"/>
          <w:lang w:eastAsia="pl-PL"/>
        </w:rPr>
        <w:t xml:space="preserve">WIG20 </w:t>
      </w:r>
      <w:r w:rsidRPr="005A152F">
        <w:rPr>
          <w:rFonts w:ascii="Calibri" w:eastAsia="Times New Roman" w:hAnsi="Calibri" w:cs="Times New Roman"/>
          <w:color w:val="000000" w:themeColor="text1"/>
          <w:sz w:val="70"/>
          <w:szCs w:val="70"/>
          <w:lang w:eastAsia="pl-PL"/>
        </w:rPr>
        <w:t xml:space="preserve">w tym okresie wynosiła </w:t>
      </w:r>
      <w:r w:rsidRPr="005A152F">
        <w:rPr>
          <w:rFonts w:ascii="Calibri" w:eastAsia="Times New Roman" w:hAnsi="Calibri" w:cs="Times New Roman"/>
          <w:b/>
          <w:color w:val="000000" w:themeColor="text1"/>
          <w:sz w:val="70"/>
          <w:szCs w:val="70"/>
          <w:u w:val="single"/>
          <w:lang w:eastAsia="pl-PL"/>
        </w:rPr>
        <w:t>minus 14,</w:t>
      </w:r>
      <w:r>
        <w:rPr>
          <w:rFonts w:ascii="Calibri" w:eastAsia="Times New Roman" w:hAnsi="Calibri" w:cs="Times New Roman"/>
          <w:b/>
          <w:color w:val="000000" w:themeColor="text1"/>
          <w:sz w:val="70"/>
          <w:szCs w:val="70"/>
          <w:u w:val="single"/>
          <w:lang w:eastAsia="pl-PL"/>
        </w:rPr>
        <w:t>8</w:t>
      </w:r>
      <w:r w:rsidRPr="005A152F">
        <w:rPr>
          <w:rFonts w:ascii="Calibri" w:eastAsia="Times New Roman" w:hAnsi="Calibri" w:cs="Times New Roman"/>
          <w:b/>
          <w:color w:val="000000" w:themeColor="text1"/>
          <w:sz w:val="70"/>
          <w:szCs w:val="70"/>
          <w:u w:val="single"/>
          <w:lang w:eastAsia="pl-PL"/>
        </w:rPr>
        <w:t xml:space="preserve"> %. </w:t>
      </w:r>
    </w:p>
    <w:p w:rsidR="00B16792" w:rsidRPr="008B4215" w:rsidRDefault="00B16792" w:rsidP="00B16792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96"/>
          <w:szCs w:val="96"/>
        </w:rPr>
      </w:pPr>
      <w:r w:rsidRPr="008B4215">
        <w:rPr>
          <w:rFonts w:eastAsia="Times New Roman" w:cs="Times New Roman"/>
          <w:b/>
          <w:sz w:val="96"/>
          <w:szCs w:val="96"/>
        </w:rPr>
        <w:lastRenderedPageBreak/>
        <w:t xml:space="preserve">Spółki dla których nie można jeszcze obliczyć procentowej zmiany kursu akcji po wprowadzeniu jej do rubryki </w:t>
      </w:r>
      <w:proofErr w:type="gramStart"/>
      <w:r w:rsidRPr="008B4215">
        <w:rPr>
          <w:rFonts w:eastAsia="Times New Roman" w:cs="Times New Roman"/>
          <w:b/>
          <w:sz w:val="96"/>
          <w:szCs w:val="96"/>
        </w:rPr>
        <w:t>,,</w:t>
      </w:r>
      <w:proofErr w:type="gramEnd"/>
      <w:r w:rsidRPr="008B4215">
        <w:rPr>
          <w:rFonts w:eastAsia="Times New Roman" w:cs="Times New Roman"/>
          <w:b/>
          <w:sz w:val="96"/>
          <w:szCs w:val="96"/>
        </w:rPr>
        <w:t xml:space="preserve">Wykres do przemyślenia” w okresie 12 pierwszych miesięcy po jej wprowadzeniu do tej rubryki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B16792" w:rsidRPr="008B4215" w:rsidRDefault="00B16792" w:rsidP="00B1679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  <w:r w:rsidRPr="008B4215">
        <w:rPr>
          <w:rFonts w:eastAsia="Times New Roman" w:cs="Times New Roman"/>
          <w:b/>
          <w:sz w:val="32"/>
          <w:szCs w:val="32"/>
          <w:u w:val="single"/>
        </w:rPr>
        <w:t xml:space="preserve">Obliczenia według stanu na </w:t>
      </w:r>
      <w:r>
        <w:rPr>
          <w:rFonts w:eastAsia="Times New Roman" w:cs="Times New Roman"/>
          <w:b/>
          <w:sz w:val="32"/>
          <w:szCs w:val="32"/>
          <w:u w:val="single"/>
        </w:rPr>
        <w:t>27</w:t>
      </w:r>
      <w:r w:rsidRPr="008B4215">
        <w:rPr>
          <w:rFonts w:eastAsia="Times New Roman" w:cs="Times New Roman"/>
          <w:b/>
          <w:sz w:val="32"/>
          <w:szCs w:val="32"/>
          <w:u w:val="single"/>
        </w:rPr>
        <w:t xml:space="preserve"> listopada 2015 roku</w:t>
      </w:r>
    </w:p>
    <w:p w:rsidR="00B16792" w:rsidRPr="008B4215" w:rsidRDefault="00B16792" w:rsidP="00B16792">
      <w:pPr>
        <w:spacing w:after="0" w:line="240" w:lineRule="auto"/>
        <w:jc w:val="both"/>
        <w:rPr>
          <w:rFonts w:eastAsiaTheme="minorEastAsia" w:cs="Times New Roman"/>
        </w:rPr>
      </w:pPr>
      <w:r w:rsidRPr="008B4215">
        <w:rPr>
          <w:rFonts w:eastAsia="Times New Roman" w:cs="Times New Roman"/>
        </w:rPr>
        <w:lastRenderedPageBreak/>
        <w:t xml:space="preserve">Tabela: Procentowa zmiana ceny akcji spółki, której akcje zostały umieszczone 2 grudnia na stronie internetowej </w:t>
      </w:r>
      <w:hyperlink r:id="rId15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1 grudnia 2014 roku do </w:t>
      </w:r>
      <w:r>
        <w:rPr>
          <w:rFonts w:eastAsia="Times New Roman" w:cs="Times New Roman"/>
        </w:rPr>
        <w:t>27</w:t>
      </w:r>
      <w:r w:rsidRPr="008B4215">
        <w:rPr>
          <w:rFonts w:eastAsia="Times New Roman" w:cs="Times New Roman"/>
        </w:rPr>
        <w:t xml:space="preserve"> listopada 2015 roku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01.12.2014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PKO BP 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37,65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</w:t>
            </w:r>
            <w:r>
              <w:t>6</w:t>
            </w:r>
            <w:r w:rsidRPr="008B4215">
              <w:t>,</w:t>
            </w:r>
            <w:r>
              <w:t>57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-2</w:t>
            </w:r>
            <w:r>
              <w:t>9</w:t>
            </w:r>
            <w:r w:rsidRPr="008B4215">
              <w:t>,</w:t>
            </w:r>
            <w:r>
              <w:t>4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9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2 417,11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-1</w:t>
            </w:r>
            <w:r>
              <w:t>9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wymienione w numerze </w:t>
      </w:r>
      <w:proofErr w:type="gramStart"/>
      <w:r w:rsidRPr="008B4215">
        <w:rPr>
          <w:rFonts w:eastAsia="Times New Roman" w:cs="Times New Roman"/>
        </w:rPr>
        <w:t>,,</w:t>
      </w:r>
      <w:proofErr w:type="gramEnd"/>
      <w:r w:rsidRPr="008B4215">
        <w:rPr>
          <w:rFonts w:eastAsia="Times New Roman" w:cs="Times New Roman"/>
        </w:rPr>
        <w:t xml:space="preserve">Raportu Tygodniowego” z 15 grudnia 2014 roku w rubryce ,,Wykres do przemyślenia” w okresie od 12 grudnia 2014 roku do </w:t>
      </w:r>
      <w:r>
        <w:rPr>
          <w:rFonts w:eastAsia="Times New Roman" w:cs="Times New Roman"/>
        </w:rPr>
        <w:t>27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12.12.2014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Mercor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8,14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9,</w:t>
            </w:r>
            <w:r>
              <w:t>40</w:t>
            </w:r>
            <w:r w:rsidRPr="008B4215">
              <w:t xml:space="preserve"> zł. 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+1</w:t>
            </w:r>
            <w:r>
              <w:t>5</w:t>
            </w:r>
            <w:r w:rsidRPr="008B4215">
              <w:t>,</w:t>
            </w:r>
            <w:r>
              <w:t>5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+1</w:t>
            </w:r>
            <w:r>
              <w:rPr>
                <w:b/>
                <w:color w:val="FF0000"/>
              </w:rPr>
              <w:t>5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5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2 360,00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-  1</w:t>
            </w:r>
            <w:r>
              <w:t>8</w:t>
            </w:r>
            <w:r w:rsidRPr="008B4215">
              <w:t>,</w:t>
            </w:r>
            <w:r>
              <w:t>0</w:t>
            </w:r>
            <w:r w:rsidRPr="008B4215">
              <w:t xml:space="preserve">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2 stycznia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16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1 grudnia do </w:t>
      </w:r>
      <w:r>
        <w:rPr>
          <w:rFonts w:eastAsia="Times New Roman" w:cs="Times New Roman"/>
        </w:rPr>
        <w:t>27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30.12.2014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Comarch</w:t>
            </w:r>
            <w:proofErr w:type="spellEnd"/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115,50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</w:t>
            </w:r>
            <w:r>
              <w:t>16</w:t>
            </w:r>
            <w:r w:rsidRPr="008B4215">
              <w:t>,</w:t>
            </w:r>
            <w:r>
              <w:t>0</w:t>
            </w:r>
            <w:r w:rsidRPr="008B4215">
              <w:t>0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+0,</w:t>
            </w:r>
            <w:r>
              <w:t>4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+0,</w:t>
            </w:r>
            <w:r>
              <w:rPr>
                <w:b/>
                <w:color w:val="FF0000"/>
              </w:rPr>
              <w:t>4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2 315,94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-1</w:t>
            </w:r>
            <w:r>
              <w:t>6</w:t>
            </w:r>
            <w:r w:rsidRPr="008B4215">
              <w:t>,</w:t>
            </w:r>
            <w:r>
              <w:t>4</w:t>
            </w:r>
            <w:r w:rsidRPr="008B4215">
              <w:t xml:space="preserve"> 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Theme="minorEastAsia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12 stycznia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17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9 stycznia do </w:t>
      </w:r>
      <w:r>
        <w:rPr>
          <w:rFonts w:eastAsia="Times New Roman" w:cs="Times New Roman"/>
        </w:rPr>
        <w:t>27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09.01.2015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Muza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3,34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2</w:t>
            </w:r>
            <w:r w:rsidRPr="008B4215">
              <w:t>,</w:t>
            </w:r>
            <w:r>
              <w:t>98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</w:rPr>
              <w:t>10</w:t>
            </w:r>
            <w:r w:rsidRPr="008B421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8</w:t>
            </w:r>
            <w:r w:rsidRPr="008B4215">
              <w:rPr>
                <w:rFonts w:eastAsiaTheme="minorEastAsia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10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2 417,11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-1</w:t>
            </w:r>
            <w:r>
              <w:t>9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Theme="minorEastAsia" w:cs="Times New Roman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Theme="minorEastAsia" w:cs="Times New Roman"/>
        </w:rPr>
      </w:pPr>
    </w:p>
    <w:p w:rsidR="00B16792" w:rsidRPr="005A152F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5A152F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30 stycznia 2015 roku </w:t>
      </w:r>
      <w:proofErr w:type="gramStart"/>
      <w:r w:rsidRPr="005A152F">
        <w:rPr>
          <w:rFonts w:eastAsia="Times New Roman" w:cs="Times New Roman"/>
          <w:sz w:val="26"/>
          <w:szCs w:val="26"/>
        </w:rPr>
        <w:t>na  stronie</w:t>
      </w:r>
      <w:proofErr w:type="gramEnd"/>
      <w:r w:rsidRPr="005A152F">
        <w:rPr>
          <w:rFonts w:eastAsia="Times New Roman" w:cs="Times New Roman"/>
          <w:sz w:val="26"/>
          <w:szCs w:val="26"/>
        </w:rPr>
        <w:t xml:space="preserve"> internetowej </w:t>
      </w:r>
      <w:hyperlink r:id="rId18" w:history="1">
        <w:r w:rsidRPr="005A152F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5A152F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5A152F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5A152F">
        <w:rPr>
          <w:rFonts w:eastAsia="Times New Roman" w:cs="Times New Roman"/>
          <w:sz w:val="26"/>
          <w:szCs w:val="26"/>
        </w:rPr>
        <w:t xml:space="preserve"> do przemyślenia” w okresie od 29 stycznia do 2</w:t>
      </w:r>
      <w:r>
        <w:rPr>
          <w:rFonts w:eastAsia="Times New Roman" w:cs="Times New Roman"/>
          <w:sz w:val="26"/>
          <w:szCs w:val="26"/>
        </w:rPr>
        <w:t>7</w:t>
      </w:r>
      <w:r w:rsidRPr="005A152F">
        <w:rPr>
          <w:rFonts w:eastAsia="Times New Roman" w:cs="Times New Roman"/>
          <w:sz w:val="26"/>
          <w:szCs w:val="26"/>
        </w:rPr>
        <w:t xml:space="preserve"> listopada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29.01.2015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Lubawa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1,11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0</w:t>
            </w:r>
            <w:r w:rsidRPr="008B4215">
              <w:t>,</w:t>
            </w:r>
            <w:r>
              <w:t>89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19</w:t>
            </w:r>
            <w:r w:rsidRPr="008B421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8</w:t>
            </w:r>
            <w:r w:rsidRPr="008B4215">
              <w:rPr>
                <w:rFonts w:eastAsiaTheme="minorEastAsia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19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2 417,11 pkt. </w:t>
            </w:r>
          </w:p>
        </w:tc>
        <w:tc>
          <w:tcPr>
            <w:tcW w:w="2303" w:type="dxa"/>
            <w:hideMark/>
          </w:tcPr>
          <w:p w:rsidR="00B16792" w:rsidRPr="00D94362" w:rsidRDefault="00B16792" w:rsidP="006254C8">
            <w:pPr>
              <w:jc w:val="center"/>
              <w:rPr>
                <w:rFonts w:eastAsiaTheme="minorEastAsia"/>
                <w:b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-1</w:t>
            </w:r>
            <w:r>
              <w:t>9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</w:tbl>
    <w:p w:rsidR="00B16792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p w:rsidR="00B16792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lastRenderedPageBreak/>
        <w:t xml:space="preserve">Tabela: Procentowa zmiana ceny akcji spółki, której akcje zostały umieszczone 10 lutego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19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9 lutego do </w:t>
      </w:r>
      <w:r>
        <w:rPr>
          <w:rFonts w:eastAsia="Times New Roman" w:cs="Times New Roman"/>
        </w:rPr>
        <w:t>27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09.02.2015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Atrem</w:t>
            </w:r>
            <w:proofErr w:type="spellEnd"/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4,50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4,</w:t>
            </w:r>
            <w:r>
              <w:t>27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-5,1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-5,1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2 417,11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-1</w:t>
            </w:r>
            <w:r>
              <w:t>7</w:t>
            </w:r>
            <w:r w:rsidRPr="008B4215">
              <w:t>,</w:t>
            </w:r>
            <w:r>
              <w:t>3</w:t>
            </w:r>
            <w:r w:rsidRPr="008B4215">
              <w:t>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Theme="minorEastAsia" w:cs="Times New Roman"/>
          <w:b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3 marca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0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 marca do </w:t>
      </w:r>
      <w:r>
        <w:rPr>
          <w:rFonts w:eastAsia="Times New Roman" w:cs="Times New Roman"/>
        </w:rPr>
        <w:t>27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02.03.2015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Mostostal Warszawa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7,57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14,</w:t>
            </w:r>
            <w:r>
              <w:t>25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+</w:t>
            </w:r>
            <w:r>
              <w:t>88</w:t>
            </w:r>
            <w:r w:rsidRPr="008B4215">
              <w:t>,</w:t>
            </w:r>
            <w:r>
              <w:t>2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88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2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2 358,25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-1</w:t>
            </w:r>
            <w:r>
              <w:t>7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Theme="minorEastAsia" w:cs="Times New Roman"/>
          <w:b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9 kwietnia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1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8 kwietnia do </w:t>
      </w:r>
      <w:r>
        <w:rPr>
          <w:rFonts w:eastAsia="Times New Roman" w:cs="Times New Roman"/>
        </w:rPr>
        <w:t>27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08.04.2015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Ceramika Nowa Gala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1,25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1,</w:t>
            </w:r>
            <w:r>
              <w:t>30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4</w:t>
            </w:r>
            <w:r w:rsidRPr="008B4215">
              <w:t>,</w:t>
            </w:r>
            <w:r>
              <w:t>0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2 424,82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20</w:t>
            </w:r>
            <w:r w:rsidRPr="008B4215">
              <w:t>,</w:t>
            </w:r>
            <w:r>
              <w:t>2</w:t>
            </w:r>
            <w:r w:rsidRPr="008B4215">
              <w:t xml:space="preserve">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Theme="minorEastAsia" w:cs="Times New Roman"/>
          <w:sz w:val="34"/>
          <w:szCs w:val="34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5 maja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2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4 maja do </w:t>
      </w:r>
      <w:r>
        <w:rPr>
          <w:rFonts w:eastAsia="Times New Roman" w:cs="Times New Roman"/>
        </w:rPr>
        <w:t>27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04.05.2015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Polnord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11,10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11,</w:t>
            </w:r>
            <w:r>
              <w:t>97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7</w:t>
            </w:r>
            <w:r w:rsidRPr="008B4215">
              <w:t>,</w:t>
            </w:r>
            <w:r>
              <w:t>8</w:t>
            </w:r>
            <w:r w:rsidRPr="008B4215">
              <w:t xml:space="preserve"> 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  <w:r w:rsidRPr="008B4215">
              <w:rPr>
                <w:b/>
                <w:color w:val="FF0000"/>
              </w:rPr>
              <w:t xml:space="preserve"> 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2 523,09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23</w:t>
            </w:r>
            <w:r w:rsidRPr="008B4215">
              <w:t>,</w:t>
            </w:r>
            <w:r>
              <w:t>3</w:t>
            </w:r>
            <w:r w:rsidRPr="008B4215">
              <w:t xml:space="preserve">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 akcji trzech spółek, których akcje zostały umieszczone w dniu 1 lipca na stronie internetowej </w:t>
      </w:r>
      <w:hyperlink r:id="rId23" w:history="1">
        <w:r w:rsidRPr="008B4215">
          <w:rPr>
            <w:rFonts w:eastAsia="Times New Roman" w:cs="Times New Roman"/>
            <w:color w:val="0000FF" w:themeColor="hyperlink"/>
            <w:u w:val="single"/>
          </w:rPr>
          <w:t>http://analizy-rynkowe.pl/</w:t>
        </w:r>
      </w:hyperlink>
      <w:r w:rsidRPr="008B4215">
        <w:rPr>
          <w:rFonts w:eastAsia="Times New Roman" w:cs="Times New Roman"/>
        </w:rPr>
        <w:t xml:space="preserve"> w rubryce </w:t>
      </w:r>
      <w:proofErr w:type="gramStart"/>
      <w:r w:rsidRPr="008B4215">
        <w:rPr>
          <w:rFonts w:eastAsia="Times New Roman" w:cs="Times New Roman"/>
        </w:rPr>
        <w:t>,,</w:t>
      </w:r>
      <w:proofErr w:type="gramEnd"/>
      <w:r w:rsidRPr="008B4215">
        <w:rPr>
          <w:rFonts w:eastAsia="Times New Roman" w:cs="Times New Roman"/>
        </w:rPr>
        <w:t xml:space="preserve">Wykres do przemyślenia” w okresie od 30 czerwca 2015 roku do </w:t>
      </w:r>
      <w:r>
        <w:rPr>
          <w:rFonts w:eastAsia="Times New Roman" w:cs="Times New Roman"/>
        </w:rPr>
        <w:t>27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30.06.2015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TIM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9,49 zł.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9,</w:t>
            </w:r>
            <w:r>
              <w:t>37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   </w:t>
            </w:r>
            <w:r>
              <w:t>-1,3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</w:t>
            </w:r>
            <w:proofErr w:type="gramStart"/>
            <w:r w:rsidRPr="008B4215">
              <w:t xml:space="preserve">spółki  </w:t>
            </w:r>
            <w:proofErr w:type="spellStart"/>
            <w:r w:rsidRPr="008B4215">
              <w:t>Unima</w:t>
            </w:r>
            <w:proofErr w:type="spellEnd"/>
            <w:proofErr w:type="gramEnd"/>
            <w:r w:rsidRPr="008B4215">
              <w:t xml:space="preserve"> 2000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2,58 zł.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2,</w:t>
            </w:r>
            <w:r>
              <w:t>07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  -</w:t>
            </w:r>
            <w:r>
              <w:t>19</w:t>
            </w:r>
            <w:r w:rsidRPr="008B4215">
              <w:t>,</w:t>
            </w:r>
            <w:r>
              <w:t>8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Variant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1,77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1,68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   -5,1  %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 -</w:t>
            </w:r>
            <w:r>
              <w:rPr>
                <w:b/>
                <w:color w:val="FF0000"/>
              </w:rPr>
              <w:t>8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7</w:t>
            </w:r>
            <w:r w:rsidRPr="008B4215">
              <w:rPr>
                <w:b/>
                <w:color w:val="FF0000"/>
              </w:rPr>
              <w:t xml:space="preserve"> 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W</w:t>
            </w:r>
            <w:r w:rsidRPr="008B4215">
              <w:t>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2317,84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-1</w:t>
            </w:r>
            <w:r>
              <w:t>6</w:t>
            </w:r>
            <w:r w:rsidRPr="008B4215">
              <w:t>,</w:t>
            </w:r>
            <w:r>
              <w:t>5</w:t>
            </w:r>
            <w:r w:rsidRPr="008B4215">
              <w:t xml:space="preserve">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lastRenderedPageBreak/>
        <w:t xml:space="preserve">Tabela: Procentowa zmiana ceny akcji spółki, której akcje zostały umieszczone 21 lipca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4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21 lipca do </w:t>
      </w:r>
      <w:r>
        <w:rPr>
          <w:rFonts w:eastAsia="Times New Roman" w:cs="Times New Roman"/>
        </w:rPr>
        <w:t>27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21.07.2015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Ropczyce 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20,80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20,</w:t>
            </w:r>
            <w:r>
              <w:t>50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-1</w:t>
            </w:r>
            <w:r w:rsidRPr="008B4215">
              <w:t>,</w:t>
            </w:r>
            <w:r>
              <w:t>4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-1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2 444,63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13</w:t>
            </w:r>
            <w:r w:rsidRPr="008B4215">
              <w:t>,</w:t>
            </w:r>
            <w:r>
              <w:t>7</w:t>
            </w:r>
            <w:r w:rsidRPr="008B4215">
              <w:t xml:space="preserve"> 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23 lipca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5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22 lipca do </w:t>
      </w:r>
      <w:r>
        <w:rPr>
          <w:rFonts w:eastAsia="Times New Roman" w:cs="Times New Roman"/>
        </w:rPr>
        <w:t>27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22.07.2015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Eurocash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41,26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5</w:t>
            </w:r>
            <w:r>
              <w:t>2</w:t>
            </w:r>
            <w:r w:rsidRPr="008B4215">
              <w:t>,</w:t>
            </w:r>
            <w:r>
              <w:t>46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27</w:t>
            </w:r>
            <w:r w:rsidRPr="008B4215">
              <w:t>,</w:t>
            </w:r>
            <w:r>
              <w:t>1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1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2 185,83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11</w:t>
            </w:r>
            <w:r w:rsidRPr="008B4215">
              <w:t>,</w:t>
            </w:r>
            <w:r>
              <w:t>4</w:t>
            </w:r>
            <w:r w:rsidRPr="008B4215">
              <w:t xml:space="preserve">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23 lipca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6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 do </w:t>
      </w:r>
      <w:r>
        <w:rPr>
          <w:rFonts w:eastAsia="Times New Roman" w:cs="Times New Roman"/>
        </w:rPr>
        <w:t>27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02.09.2015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Agora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11,20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1</w:t>
            </w:r>
            <w:r>
              <w:t>3</w:t>
            </w:r>
            <w:r w:rsidRPr="008B4215">
              <w:t>,</w:t>
            </w:r>
            <w:r>
              <w:t>84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</w:t>
            </w:r>
            <w:r>
              <w:t>23,6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23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6</w:t>
            </w:r>
            <w:r w:rsidRPr="008B4215">
              <w:rPr>
                <w:b/>
                <w:color w:val="FF0000"/>
              </w:rPr>
              <w:t>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2 107,58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-</w:t>
            </w:r>
            <w:r>
              <w:t>8</w:t>
            </w:r>
            <w:r w:rsidRPr="008B4215">
              <w:t>,</w:t>
            </w:r>
            <w:r>
              <w:t>1</w:t>
            </w:r>
            <w:r w:rsidRPr="008B4215">
              <w:t>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23 lipca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27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3 do </w:t>
      </w:r>
      <w:r>
        <w:rPr>
          <w:rFonts w:eastAsia="Times New Roman" w:cs="Times New Roman"/>
        </w:rPr>
        <w:t>27</w:t>
      </w:r>
      <w:r w:rsidRPr="008B4215">
        <w:rPr>
          <w:rFonts w:eastAsia="Times New Roman" w:cs="Times New Roman"/>
        </w:rPr>
        <w:t xml:space="preserve"> listopada 2015 roku </w:t>
      </w:r>
      <w:r w:rsidRPr="008B4215">
        <w:rPr>
          <w:rFonts w:eastAsia="Times New Roman" w:cs="Times New Roman"/>
          <w:sz w:val="26"/>
          <w:szCs w:val="26"/>
        </w:rPr>
        <w:t xml:space="preserve">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03.09.2015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BZWBK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309,00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</w:t>
            </w:r>
            <w:r>
              <w:t>66</w:t>
            </w:r>
            <w:r w:rsidRPr="008B4215">
              <w:t>,</w:t>
            </w:r>
            <w:r>
              <w:t>10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-</w:t>
            </w:r>
            <w:r>
              <w:t>13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-</w:t>
            </w:r>
            <w:r>
              <w:rPr>
                <w:b/>
                <w:color w:val="FF0000"/>
              </w:rPr>
              <w:t>13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9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2 155,07 pkt. </w:t>
            </w:r>
          </w:p>
        </w:tc>
        <w:tc>
          <w:tcPr>
            <w:tcW w:w="2303" w:type="dxa"/>
            <w:hideMark/>
          </w:tcPr>
          <w:p w:rsidR="00B16792" w:rsidRPr="00D94362" w:rsidRDefault="00B16792" w:rsidP="006254C8">
            <w:pPr>
              <w:jc w:val="center"/>
              <w:rPr>
                <w:rFonts w:eastAsiaTheme="minorEastAsia"/>
                <w:b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-</w:t>
            </w:r>
            <w:r>
              <w:t>10</w:t>
            </w:r>
            <w:r w:rsidRPr="008B4215">
              <w:t>,</w:t>
            </w:r>
            <w:r>
              <w:t>2</w:t>
            </w:r>
            <w:r w:rsidRPr="008B4215">
              <w:t xml:space="preserve">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9 października na stronie internetowej </w:t>
      </w:r>
      <w:hyperlink r:id="rId28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8 października do </w:t>
      </w:r>
      <w:r>
        <w:rPr>
          <w:rFonts w:eastAsia="Times New Roman" w:cs="Times New Roman"/>
          <w:sz w:val="26"/>
          <w:szCs w:val="26"/>
        </w:rPr>
        <w:t>27</w:t>
      </w:r>
      <w:r w:rsidRPr="008B4215">
        <w:rPr>
          <w:rFonts w:eastAsia="Times New Roman" w:cs="Times New Roman"/>
          <w:sz w:val="26"/>
          <w:szCs w:val="26"/>
        </w:rPr>
        <w:t xml:space="preserve"> listopada 2015 roku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08.10.2015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Netmedia</w:t>
            </w:r>
            <w:proofErr w:type="spellEnd"/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5,69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5,</w:t>
            </w:r>
            <w:r>
              <w:t>14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- </w:t>
            </w:r>
            <w:r>
              <w:t>9</w:t>
            </w:r>
            <w:r w:rsidRPr="008B4215">
              <w:t>,</w:t>
            </w:r>
            <w:r>
              <w:t>7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t>Akcja spółki Stalprodukt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312,70 zł.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14</w:t>
            </w:r>
            <w:r w:rsidRPr="008B4215">
              <w:rPr>
                <w:color w:val="000000" w:themeColor="text1"/>
              </w:rPr>
              <w:t xml:space="preserve">,00 zł. 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0</w:t>
            </w:r>
            <w:r w:rsidRPr="008B421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  <w:r w:rsidRPr="008B4215">
              <w:rPr>
                <w:color w:val="000000" w:themeColor="text1"/>
              </w:rPr>
              <w:t xml:space="preserve"> 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4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6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2 126,48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9</w:t>
            </w:r>
            <w:r w:rsidRPr="008B4215">
              <w:t>,</w:t>
            </w:r>
            <w:r>
              <w:t>0</w:t>
            </w:r>
            <w:r w:rsidRPr="008B4215">
              <w:t xml:space="preserve">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lastRenderedPageBreak/>
        <w:t xml:space="preserve">Tabela: Procentowa zmiana ceny akcji spółki, której akcje zostały umieszczone 14 października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29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13 października do </w:t>
      </w:r>
      <w:r>
        <w:rPr>
          <w:rFonts w:eastAsia="Times New Roman" w:cs="Times New Roman"/>
          <w:sz w:val="26"/>
          <w:szCs w:val="26"/>
        </w:rPr>
        <w:t>27</w:t>
      </w:r>
      <w:r w:rsidRPr="008B4215">
        <w:rPr>
          <w:rFonts w:eastAsia="Times New Roman" w:cs="Times New Roman"/>
          <w:sz w:val="26"/>
          <w:szCs w:val="26"/>
        </w:rPr>
        <w:t xml:space="preserve"> listopada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13.10.2015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Cyfrowy Polsat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24,93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</w:t>
            </w:r>
            <w:r>
              <w:t>4</w:t>
            </w:r>
            <w:r w:rsidRPr="008B4215">
              <w:t>,</w:t>
            </w:r>
            <w:r>
              <w:t>80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</w:t>
            </w:r>
            <w:r>
              <w:t>-0,5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-0,5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2 123,43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-</w:t>
            </w:r>
            <w:r>
              <w:t>8</w:t>
            </w:r>
            <w:r w:rsidRPr="008B4215">
              <w:t>,</w:t>
            </w:r>
            <w:r>
              <w:t>8</w:t>
            </w:r>
            <w:r w:rsidRPr="008B4215">
              <w:t xml:space="preserve">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46"/>
          <w:szCs w:val="4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17 października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30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13 października do </w:t>
      </w:r>
      <w:r>
        <w:rPr>
          <w:rFonts w:eastAsia="Times New Roman" w:cs="Times New Roman"/>
          <w:sz w:val="26"/>
          <w:szCs w:val="26"/>
        </w:rPr>
        <w:t>27</w:t>
      </w:r>
      <w:r w:rsidRPr="008B4215">
        <w:rPr>
          <w:rFonts w:eastAsia="Times New Roman" w:cs="Times New Roman"/>
          <w:sz w:val="26"/>
          <w:szCs w:val="26"/>
        </w:rPr>
        <w:t xml:space="preserve"> listopada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16.10.2015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Akcja spółki Dębica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85,40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8</w:t>
            </w:r>
            <w:r>
              <w:t>8</w:t>
            </w:r>
            <w:r w:rsidRPr="008B4215">
              <w:t>,</w:t>
            </w:r>
            <w:r>
              <w:t>70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</w:t>
            </w:r>
            <w:r>
              <w:t>3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3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9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2 121,94 pkt. 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8</w:t>
            </w:r>
            <w:r w:rsidRPr="008B421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8</w:t>
            </w:r>
            <w:r w:rsidRPr="008B4215">
              <w:rPr>
                <w:rFonts w:eastAsiaTheme="minorEastAsia"/>
              </w:rPr>
              <w:t xml:space="preserve"> %</w:t>
            </w:r>
          </w:p>
        </w:tc>
      </w:tr>
    </w:tbl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46"/>
          <w:szCs w:val="4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4 listopada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31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3 do </w:t>
      </w:r>
      <w:r>
        <w:rPr>
          <w:rFonts w:eastAsia="Times New Roman" w:cs="Times New Roman"/>
          <w:sz w:val="26"/>
          <w:szCs w:val="26"/>
        </w:rPr>
        <w:t>27</w:t>
      </w:r>
      <w:r w:rsidRPr="008B4215">
        <w:rPr>
          <w:rFonts w:eastAsia="Times New Roman" w:cs="Times New Roman"/>
          <w:sz w:val="26"/>
          <w:szCs w:val="26"/>
        </w:rPr>
        <w:t xml:space="preserve"> listopada 2015 roku oraz procentowa zmiana indeksu WIG 20 w tym okresie.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Poziom – 03.11.2015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27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Alta 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2,19 zł.</w:t>
            </w:r>
          </w:p>
        </w:tc>
        <w:tc>
          <w:tcPr>
            <w:tcW w:w="2303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2,</w:t>
            </w:r>
            <w:r>
              <w:t>67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  2</w:t>
            </w:r>
            <w:r>
              <w:t>1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2</w:t>
            </w:r>
            <w:r>
              <w:rPr>
                <w:b/>
                <w:color w:val="FF0000"/>
              </w:rPr>
              <w:t>1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9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16792" w:rsidRPr="008B4215" w:rsidTr="006254C8">
        <w:tc>
          <w:tcPr>
            <w:tcW w:w="34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t xml:space="preserve">2 061,38 pkt. </w:t>
            </w:r>
          </w:p>
        </w:tc>
        <w:tc>
          <w:tcPr>
            <w:tcW w:w="2303" w:type="dxa"/>
            <w:hideMark/>
          </w:tcPr>
          <w:p w:rsidR="00B16792" w:rsidRPr="00D94362" w:rsidRDefault="00B16792" w:rsidP="006254C8">
            <w:pPr>
              <w:jc w:val="center"/>
              <w:rPr>
                <w:rFonts w:eastAsiaTheme="minorEastAsia"/>
                <w:b/>
              </w:rPr>
            </w:pPr>
            <w:r>
              <w:t>1 936</w:t>
            </w:r>
            <w:r w:rsidRPr="008B4215">
              <w:t>,</w:t>
            </w:r>
            <w:r>
              <w:t>05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16792" w:rsidRPr="008B4215" w:rsidRDefault="00B16792" w:rsidP="006254C8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</w:rPr>
              <w:t>6</w:t>
            </w:r>
            <w:r w:rsidRPr="008B421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1</w:t>
            </w:r>
            <w:r w:rsidRPr="008B4215">
              <w:rPr>
                <w:rFonts w:eastAsiaTheme="minorEastAsia"/>
              </w:rPr>
              <w:t xml:space="preserve"> %</w:t>
            </w:r>
          </w:p>
        </w:tc>
      </w:tr>
    </w:tbl>
    <w:p w:rsidR="00B16792" w:rsidRDefault="00B16792" w:rsidP="00B16792">
      <w:pPr>
        <w:spacing w:after="0" w:line="240" w:lineRule="auto"/>
        <w:jc w:val="both"/>
        <w:rPr>
          <w:rFonts w:eastAsia="Times New Roman" w:cs="Times New Roman"/>
          <w:sz w:val="32"/>
          <w:szCs w:val="32"/>
        </w:rPr>
      </w:pPr>
    </w:p>
    <w:p w:rsidR="00B16792" w:rsidRPr="002F14D5" w:rsidRDefault="00B16792" w:rsidP="00B16792">
      <w:pPr>
        <w:spacing w:after="0" w:line="240" w:lineRule="auto"/>
        <w:jc w:val="both"/>
        <w:rPr>
          <w:rFonts w:eastAsia="Times New Roman" w:cs="Times New Roman"/>
          <w:sz w:val="36"/>
          <w:szCs w:val="36"/>
          <w:u w:val="single"/>
        </w:rPr>
      </w:pPr>
      <w:r w:rsidRPr="002F14D5">
        <w:rPr>
          <w:rFonts w:eastAsia="Times New Roman" w:cs="Times New Roman"/>
          <w:sz w:val="36"/>
          <w:szCs w:val="36"/>
        </w:rPr>
        <w:t xml:space="preserve">Spółek, </w:t>
      </w:r>
      <w:r w:rsidRPr="002F14D5">
        <w:rPr>
          <w:rFonts w:eastAsia="Times New Roman" w:cs="Times New Roman"/>
          <w:sz w:val="36"/>
          <w:szCs w:val="36"/>
          <w:u w:val="single"/>
        </w:rPr>
        <w:t>dla których nie można jeszcze obliczyć</w:t>
      </w:r>
      <w:r w:rsidRPr="002F14D5">
        <w:rPr>
          <w:rFonts w:eastAsia="Times New Roman" w:cs="Times New Roman"/>
          <w:sz w:val="36"/>
          <w:szCs w:val="36"/>
        </w:rPr>
        <w:t xml:space="preserve"> procentowej zmiany kursu akcji po wprowadzeniu jej do rubryki </w:t>
      </w:r>
      <w:proofErr w:type="gramStart"/>
      <w:r w:rsidRPr="002F14D5">
        <w:rPr>
          <w:rFonts w:eastAsia="Times New Roman" w:cs="Times New Roman"/>
          <w:sz w:val="36"/>
          <w:szCs w:val="36"/>
        </w:rPr>
        <w:t>,,</w:t>
      </w:r>
      <w:proofErr w:type="gramEnd"/>
      <w:r w:rsidRPr="002F14D5">
        <w:rPr>
          <w:rFonts w:eastAsia="Times New Roman" w:cs="Times New Roman"/>
          <w:sz w:val="36"/>
          <w:szCs w:val="36"/>
        </w:rPr>
        <w:t xml:space="preserve">Wykres do przemyślenia” w okresie 12 pierwszych miesięcy po jej wprowadzeniu do tej rubryki </w:t>
      </w:r>
      <w:r w:rsidRPr="002F14D5">
        <w:rPr>
          <w:rFonts w:eastAsia="Times New Roman" w:cs="Times New Roman"/>
          <w:sz w:val="36"/>
          <w:szCs w:val="36"/>
          <w:u w:val="single"/>
        </w:rPr>
        <w:t xml:space="preserve">jest </w:t>
      </w:r>
      <w:r w:rsidRPr="002F14D5">
        <w:rPr>
          <w:rFonts w:eastAsia="Times New Roman" w:cs="Times New Roman"/>
          <w:b/>
          <w:sz w:val="36"/>
          <w:szCs w:val="36"/>
          <w:u w:val="single"/>
        </w:rPr>
        <w:t>21.</w:t>
      </w:r>
      <w:r w:rsidRPr="002F14D5">
        <w:rPr>
          <w:rFonts w:eastAsia="Times New Roman" w:cs="Times New Roman"/>
          <w:sz w:val="36"/>
          <w:szCs w:val="36"/>
          <w:u w:val="single"/>
        </w:rPr>
        <w:t xml:space="preserve"> </w:t>
      </w:r>
    </w:p>
    <w:p w:rsidR="00B16792" w:rsidRPr="002F14D5" w:rsidRDefault="00B16792" w:rsidP="00B16792">
      <w:pPr>
        <w:spacing w:after="0" w:line="240" w:lineRule="auto"/>
        <w:jc w:val="both"/>
        <w:rPr>
          <w:rFonts w:eastAsia="Times New Roman" w:cs="Times New Roman"/>
          <w:sz w:val="36"/>
          <w:szCs w:val="36"/>
          <w:u w:val="single"/>
        </w:rPr>
      </w:pPr>
    </w:p>
    <w:p w:rsidR="00B16792" w:rsidRPr="002F14D5" w:rsidRDefault="00B16792" w:rsidP="00B16792">
      <w:pPr>
        <w:spacing w:after="0" w:line="240" w:lineRule="auto"/>
        <w:jc w:val="both"/>
        <w:rPr>
          <w:rFonts w:eastAsia="Times New Roman" w:cs="Times New Roman"/>
          <w:sz w:val="36"/>
          <w:szCs w:val="36"/>
        </w:rPr>
      </w:pPr>
      <w:r w:rsidRPr="002F14D5">
        <w:rPr>
          <w:rFonts w:eastAsia="Times New Roman" w:cs="Times New Roman"/>
          <w:sz w:val="36"/>
          <w:szCs w:val="36"/>
        </w:rPr>
        <w:t xml:space="preserve">W odniesieniu do tej grupy </w:t>
      </w:r>
      <w:r w:rsidRPr="002F14D5">
        <w:rPr>
          <w:rFonts w:eastAsia="Times New Roman" w:cs="Times New Roman"/>
          <w:b/>
          <w:sz w:val="36"/>
          <w:szCs w:val="36"/>
          <w:u w:val="single"/>
        </w:rPr>
        <w:t>21 spółek</w:t>
      </w:r>
      <w:r w:rsidRPr="002F14D5">
        <w:rPr>
          <w:rFonts w:eastAsia="Times New Roman" w:cs="Times New Roman"/>
          <w:sz w:val="36"/>
          <w:szCs w:val="36"/>
        </w:rPr>
        <w:t xml:space="preserve"> można sformułować następujący wniosek: </w:t>
      </w:r>
    </w:p>
    <w:p w:rsidR="00B16792" w:rsidRPr="00103210" w:rsidRDefault="00B16792" w:rsidP="00B16792">
      <w:pPr>
        <w:spacing w:after="0" w:line="240" w:lineRule="auto"/>
        <w:jc w:val="both"/>
        <w:rPr>
          <w:rFonts w:eastAsia="Times New Roman" w:cs="Times New Roman"/>
          <w:sz w:val="200"/>
          <w:szCs w:val="200"/>
          <w:u w:val="single"/>
        </w:rPr>
      </w:pPr>
      <w:r w:rsidRPr="00103210">
        <w:rPr>
          <w:rFonts w:eastAsia="Times New Roman" w:cs="Times New Roman"/>
          <w:sz w:val="200"/>
          <w:szCs w:val="200"/>
          <w:u w:val="single"/>
        </w:rPr>
        <w:lastRenderedPageBreak/>
        <w:t xml:space="preserve">Wniosek </w:t>
      </w:r>
    </w:p>
    <w:p w:rsidR="00B16792" w:rsidRPr="00103210" w:rsidRDefault="00B16792" w:rsidP="00B16792">
      <w:pPr>
        <w:spacing w:after="0" w:line="240" w:lineRule="auto"/>
        <w:jc w:val="both"/>
        <w:rPr>
          <w:rFonts w:eastAsia="Times New Roman" w:cs="Times New Roman"/>
          <w:sz w:val="100"/>
          <w:szCs w:val="100"/>
        </w:rPr>
      </w:pPr>
    </w:p>
    <w:p w:rsidR="00B16792" w:rsidRPr="00103210" w:rsidRDefault="00B16792" w:rsidP="00B16792">
      <w:pPr>
        <w:spacing w:after="0" w:line="240" w:lineRule="auto"/>
        <w:jc w:val="both"/>
        <w:rPr>
          <w:rFonts w:eastAsia="Times New Roman" w:cs="Times New Roman"/>
          <w:sz w:val="70"/>
          <w:szCs w:val="70"/>
        </w:rPr>
      </w:pPr>
      <w:r w:rsidRPr="00103210">
        <w:rPr>
          <w:rFonts w:eastAsia="Times New Roman" w:cs="Times New Roman"/>
          <w:sz w:val="70"/>
          <w:szCs w:val="70"/>
        </w:rPr>
        <w:t xml:space="preserve">Warto zauważyć, że </w:t>
      </w:r>
    </w:p>
    <w:p w:rsidR="00B16792" w:rsidRPr="00103210" w:rsidRDefault="00B16792" w:rsidP="00B16792">
      <w:pPr>
        <w:spacing w:after="0" w:line="240" w:lineRule="auto"/>
        <w:jc w:val="both"/>
        <w:rPr>
          <w:rFonts w:eastAsia="Times New Roman" w:cs="Times New Roman"/>
          <w:sz w:val="80"/>
          <w:szCs w:val="80"/>
        </w:rPr>
      </w:pPr>
    </w:p>
    <w:p w:rsidR="00B16792" w:rsidRPr="00103210" w:rsidRDefault="00B16792" w:rsidP="00B16792">
      <w:pPr>
        <w:spacing w:after="0" w:line="240" w:lineRule="auto"/>
        <w:jc w:val="both"/>
        <w:rPr>
          <w:rFonts w:eastAsia="Times New Roman" w:cs="Times New Roman"/>
          <w:b/>
          <w:sz w:val="80"/>
          <w:szCs w:val="80"/>
        </w:rPr>
      </w:pPr>
      <w:r w:rsidRPr="00103210">
        <w:rPr>
          <w:rFonts w:eastAsia="Times New Roman" w:cs="Times New Roman"/>
          <w:b/>
          <w:color w:val="000000" w:themeColor="text1"/>
          <w:sz w:val="80"/>
          <w:szCs w:val="80"/>
        </w:rPr>
        <w:t xml:space="preserve">spośród </w:t>
      </w:r>
      <w:r w:rsidRPr="00103210">
        <w:rPr>
          <w:rFonts w:eastAsia="Times New Roman" w:cs="Times New Roman"/>
          <w:b/>
          <w:color w:val="000000" w:themeColor="text1"/>
          <w:sz w:val="80"/>
          <w:szCs w:val="80"/>
          <w:u w:val="single"/>
        </w:rPr>
        <w:t xml:space="preserve">21 </w:t>
      </w:r>
      <w:proofErr w:type="gramStart"/>
      <w:r w:rsidRPr="00103210">
        <w:rPr>
          <w:rFonts w:eastAsia="Times New Roman" w:cs="Times New Roman"/>
          <w:b/>
          <w:color w:val="000000" w:themeColor="text1"/>
          <w:sz w:val="80"/>
          <w:szCs w:val="80"/>
          <w:u w:val="single"/>
        </w:rPr>
        <w:t>spółek</w:t>
      </w:r>
      <w:r w:rsidRPr="00103210">
        <w:rPr>
          <w:rFonts w:eastAsia="Times New Roman" w:cs="Times New Roman"/>
          <w:sz w:val="80"/>
          <w:szCs w:val="80"/>
        </w:rPr>
        <w:t xml:space="preserve"> (których</w:t>
      </w:r>
      <w:proofErr w:type="gramEnd"/>
      <w:r w:rsidRPr="00103210">
        <w:rPr>
          <w:rFonts w:eastAsia="Times New Roman" w:cs="Times New Roman"/>
          <w:sz w:val="80"/>
          <w:szCs w:val="80"/>
        </w:rPr>
        <w:t xml:space="preserve"> lista </w:t>
      </w:r>
      <w:r w:rsidRPr="00103210">
        <w:rPr>
          <w:rFonts w:eastAsia="Times New Roman" w:cs="Times New Roman"/>
          <w:b/>
          <w:sz w:val="80"/>
          <w:szCs w:val="80"/>
        </w:rPr>
        <w:t>opublikowana jest na str. 1</w:t>
      </w:r>
      <w:r>
        <w:rPr>
          <w:rFonts w:eastAsia="Times New Roman" w:cs="Times New Roman"/>
          <w:b/>
          <w:sz w:val="80"/>
          <w:szCs w:val="80"/>
        </w:rPr>
        <w:t>3</w:t>
      </w:r>
      <w:r w:rsidRPr="00103210">
        <w:rPr>
          <w:rFonts w:eastAsia="Times New Roman" w:cs="Times New Roman"/>
          <w:b/>
          <w:sz w:val="80"/>
          <w:szCs w:val="80"/>
        </w:rPr>
        <w:t>-1</w:t>
      </w:r>
      <w:r>
        <w:rPr>
          <w:rFonts w:eastAsia="Times New Roman" w:cs="Times New Roman"/>
          <w:b/>
          <w:sz w:val="80"/>
          <w:szCs w:val="80"/>
        </w:rPr>
        <w:t>6</w:t>
      </w:r>
      <w:r w:rsidRPr="00103210">
        <w:rPr>
          <w:rFonts w:eastAsia="Times New Roman" w:cs="Times New Roman"/>
          <w:b/>
          <w:sz w:val="80"/>
          <w:szCs w:val="80"/>
        </w:rPr>
        <w:t xml:space="preserve">) </w:t>
      </w:r>
    </w:p>
    <w:p w:rsidR="00B16792" w:rsidRPr="00103210" w:rsidRDefault="00B16792" w:rsidP="00B16792">
      <w:pPr>
        <w:spacing w:after="0" w:line="240" w:lineRule="auto"/>
        <w:jc w:val="both"/>
        <w:rPr>
          <w:rFonts w:eastAsia="Times New Roman" w:cs="Times New Roman"/>
          <w:sz w:val="60"/>
          <w:szCs w:val="60"/>
        </w:rPr>
      </w:pPr>
    </w:p>
    <w:p w:rsidR="00B16792" w:rsidRPr="00103210" w:rsidRDefault="00B16792" w:rsidP="00B16792">
      <w:pPr>
        <w:spacing w:after="0" w:line="240" w:lineRule="auto"/>
        <w:jc w:val="both"/>
        <w:rPr>
          <w:rFonts w:eastAsia="Times New Roman" w:cs="Times New Roman"/>
          <w:b/>
          <w:sz w:val="60"/>
          <w:szCs w:val="60"/>
        </w:rPr>
      </w:pPr>
      <w:proofErr w:type="gramStart"/>
      <w:r w:rsidRPr="00103210">
        <w:rPr>
          <w:rFonts w:eastAsia="Times New Roman" w:cs="Times New Roman"/>
          <w:b/>
          <w:sz w:val="60"/>
          <w:szCs w:val="60"/>
        </w:rPr>
        <w:t>kursy</w:t>
      </w:r>
      <w:proofErr w:type="gramEnd"/>
      <w:r w:rsidRPr="00103210">
        <w:rPr>
          <w:rFonts w:eastAsia="Times New Roman" w:cs="Times New Roman"/>
          <w:b/>
          <w:sz w:val="60"/>
          <w:szCs w:val="60"/>
        </w:rPr>
        <w:t xml:space="preserve"> akcji </w:t>
      </w:r>
      <w:r w:rsidRPr="00103210">
        <w:rPr>
          <w:rFonts w:eastAsia="Times New Roman" w:cs="Times New Roman"/>
          <w:b/>
          <w:color w:val="FF0000"/>
          <w:sz w:val="60"/>
          <w:szCs w:val="60"/>
        </w:rPr>
        <w:t>17-u spółek</w:t>
      </w:r>
      <w:r w:rsidRPr="00103210">
        <w:rPr>
          <w:rFonts w:eastAsia="Times New Roman" w:cs="Times New Roman"/>
          <w:sz w:val="60"/>
          <w:szCs w:val="60"/>
        </w:rPr>
        <w:t xml:space="preserve"> od momentu owego zakwalifikowania do tej rubryki do dnia 27 listopada 2015 roku zachowywały się </w:t>
      </w:r>
      <w:r w:rsidRPr="00103210">
        <w:rPr>
          <w:rFonts w:eastAsia="Times New Roman" w:cs="Times New Roman"/>
          <w:b/>
          <w:color w:val="FF0000"/>
          <w:sz w:val="60"/>
          <w:szCs w:val="60"/>
          <w:u w:val="single"/>
        </w:rPr>
        <w:t>lepiej</w:t>
      </w:r>
      <w:r w:rsidRPr="00103210">
        <w:rPr>
          <w:rFonts w:eastAsia="Times New Roman" w:cs="Times New Roman"/>
          <w:b/>
          <w:color w:val="FF0000"/>
          <w:sz w:val="60"/>
          <w:szCs w:val="60"/>
        </w:rPr>
        <w:t xml:space="preserve"> od indeksu WIG20</w:t>
      </w:r>
      <w:r w:rsidRPr="00103210">
        <w:rPr>
          <w:rFonts w:eastAsia="Times New Roman" w:cs="Times New Roman"/>
          <w:b/>
          <w:sz w:val="60"/>
          <w:szCs w:val="60"/>
        </w:rPr>
        <w:t xml:space="preserve"> a 4-u </w:t>
      </w:r>
      <w:r w:rsidRPr="00103210">
        <w:rPr>
          <w:rFonts w:eastAsia="Times New Roman" w:cs="Times New Roman"/>
          <w:b/>
          <w:sz w:val="60"/>
          <w:szCs w:val="60"/>
          <w:u w:val="single"/>
        </w:rPr>
        <w:t xml:space="preserve">gorzej </w:t>
      </w:r>
      <w:r w:rsidRPr="00103210">
        <w:rPr>
          <w:rFonts w:eastAsia="Times New Roman" w:cs="Times New Roman"/>
          <w:b/>
          <w:sz w:val="60"/>
          <w:szCs w:val="60"/>
        </w:rPr>
        <w:t xml:space="preserve">od indeksu WIG20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color w:val="FF0000"/>
          <w:sz w:val="66"/>
          <w:szCs w:val="66"/>
        </w:rPr>
      </w:pPr>
      <w:proofErr w:type="gramStart"/>
      <w:r w:rsidRPr="008B4215">
        <w:rPr>
          <w:rFonts w:eastAsia="Times New Roman" w:cs="Times New Roman"/>
          <w:sz w:val="66"/>
          <w:szCs w:val="66"/>
        </w:rPr>
        <w:lastRenderedPageBreak/>
        <w:t xml:space="preserve">Uwaga ! – </w:t>
      </w:r>
      <w:proofErr w:type="gramEnd"/>
      <w:r w:rsidRPr="008B4215">
        <w:rPr>
          <w:rFonts w:eastAsia="Times New Roman" w:cs="Times New Roman"/>
          <w:sz w:val="66"/>
          <w:szCs w:val="66"/>
        </w:rPr>
        <w:t xml:space="preserve">na poprzedniej stronie przedstawiłem wyniki badań dotyczących zachowania kursów akcji tych spółek, które znalazły się w rubryce </w:t>
      </w:r>
      <w:proofErr w:type="gramStart"/>
      <w:r w:rsidRPr="008B4215">
        <w:rPr>
          <w:rFonts w:eastAsia="Times New Roman" w:cs="Times New Roman"/>
          <w:sz w:val="66"/>
          <w:szCs w:val="66"/>
        </w:rPr>
        <w:t>,,</w:t>
      </w:r>
      <w:proofErr w:type="gramEnd"/>
      <w:r w:rsidRPr="008B4215">
        <w:rPr>
          <w:rFonts w:eastAsia="Times New Roman" w:cs="Times New Roman"/>
          <w:sz w:val="66"/>
          <w:szCs w:val="66"/>
        </w:rPr>
        <w:t xml:space="preserve">Wykres do przemyślenia” </w:t>
      </w:r>
      <w:r w:rsidRPr="008B4215">
        <w:rPr>
          <w:rFonts w:eastAsia="Times New Roman" w:cs="Times New Roman"/>
          <w:b/>
          <w:color w:val="FF0000"/>
          <w:sz w:val="66"/>
          <w:szCs w:val="66"/>
          <w:u w:val="single"/>
        </w:rPr>
        <w:t>na przestrzeni ostatnich 12 miesięcy.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66"/>
          <w:szCs w:val="66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66"/>
          <w:szCs w:val="66"/>
        </w:rPr>
      </w:pPr>
      <w:r w:rsidRPr="008B4215">
        <w:rPr>
          <w:rFonts w:eastAsia="Times New Roman" w:cs="Times New Roman"/>
          <w:sz w:val="66"/>
          <w:szCs w:val="66"/>
        </w:rPr>
        <w:t xml:space="preserve">Spółki te będę starał się na prowadzonej przeze mnie stronie </w:t>
      </w:r>
      <w:proofErr w:type="gramStart"/>
      <w:r w:rsidRPr="008B4215">
        <w:rPr>
          <w:rFonts w:eastAsia="Times New Roman" w:cs="Times New Roman"/>
          <w:sz w:val="66"/>
          <w:szCs w:val="66"/>
        </w:rPr>
        <w:t xml:space="preserve">internetowej  </w:t>
      </w:r>
      <w:hyperlink r:id="rId32" w:history="1">
        <w:proofErr w:type="gramEnd"/>
        <w:r w:rsidRPr="008B4215">
          <w:rPr>
            <w:rFonts w:eastAsia="Times New Roman" w:cs="Times New Roman"/>
            <w:color w:val="0000FF" w:themeColor="hyperlink"/>
            <w:sz w:val="66"/>
            <w:szCs w:val="66"/>
            <w:u w:val="single"/>
          </w:rPr>
          <w:t>http://analizy-rynkowe.pl/</w:t>
        </w:r>
      </w:hyperlink>
      <w:r w:rsidRPr="008B4215">
        <w:rPr>
          <w:rFonts w:eastAsia="Times New Roman" w:cs="Times New Roman"/>
          <w:sz w:val="66"/>
          <w:szCs w:val="66"/>
        </w:rPr>
        <w:t xml:space="preserve"> </w:t>
      </w:r>
      <w:r w:rsidRPr="008B4215">
        <w:rPr>
          <w:rFonts w:eastAsia="Times New Roman" w:cs="Times New Roman"/>
          <w:b/>
          <w:color w:val="FF0000"/>
          <w:sz w:val="66"/>
          <w:szCs w:val="66"/>
          <w:u w:val="single"/>
        </w:rPr>
        <w:t>otaczać szczególną opieką intelektualną</w:t>
      </w:r>
      <w:r w:rsidRPr="008B4215">
        <w:rPr>
          <w:rFonts w:eastAsia="Times New Roman" w:cs="Times New Roman"/>
          <w:color w:val="FF0000"/>
          <w:sz w:val="66"/>
          <w:szCs w:val="66"/>
        </w:rPr>
        <w:t xml:space="preserve"> </w:t>
      </w:r>
      <w:r w:rsidRPr="008B4215">
        <w:rPr>
          <w:rFonts w:eastAsia="Times New Roman" w:cs="Times New Roman"/>
          <w:sz w:val="66"/>
          <w:szCs w:val="66"/>
        </w:rPr>
        <w:t xml:space="preserve">to znaczy analizy publikowane na tej stronie będą w znacznej mierzy dotyczyć właśnie tych spółek.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sz w:val="66"/>
          <w:szCs w:val="66"/>
        </w:rPr>
      </w:pPr>
    </w:p>
    <w:p w:rsidR="00B16792" w:rsidRPr="008B4215" w:rsidRDefault="00B16792" w:rsidP="00B16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</w:rPr>
      </w:pPr>
      <w:r w:rsidRPr="008B4215">
        <w:rPr>
          <w:rFonts w:eastAsia="Times New Roman" w:cs="Times New Roman"/>
          <w:b/>
          <w:color w:val="FFFFFF" w:themeColor="background1"/>
          <w:sz w:val="104"/>
          <w:szCs w:val="104"/>
        </w:rPr>
        <w:lastRenderedPageBreak/>
        <w:t>Generalny wniosek:</w:t>
      </w:r>
    </w:p>
    <w:p w:rsidR="00B16792" w:rsidRPr="008B4215" w:rsidRDefault="00B16792" w:rsidP="00B16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</w:rPr>
      </w:pPr>
      <w:r w:rsidRPr="008B4215">
        <w:rPr>
          <w:rFonts w:eastAsia="Times New Roman" w:cs="Times New Roman"/>
          <w:b/>
          <w:color w:val="FFFFFF" w:themeColor="background1"/>
          <w:sz w:val="104"/>
          <w:szCs w:val="104"/>
        </w:rPr>
        <w:t xml:space="preserve">kursy akcji spółki po wprowadzeniu jej do rubryki </w:t>
      </w:r>
      <w:proofErr w:type="gramStart"/>
      <w:r w:rsidRPr="008B4215">
        <w:rPr>
          <w:rFonts w:eastAsia="Times New Roman" w:cs="Times New Roman"/>
          <w:b/>
          <w:color w:val="FFFFFF" w:themeColor="background1"/>
          <w:sz w:val="104"/>
          <w:szCs w:val="104"/>
        </w:rPr>
        <w:t>,,</w:t>
      </w:r>
      <w:proofErr w:type="gramEnd"/>
      <w:r w:rsidRPr="008B4215">
        <w:rPr>
          <w:rFonts w:eastAsia="Times New Roman" w:cs="Times New Roman"/>
          <w:b/>
          <w:color w:val="FFFFFF" w:themeColor="background1"/>
          <w:sz w:val="104"/>
          <w:szCs w:val="104"/>
        </w:rPr>
        <w:t>Wykres do przemyślenia” zasadniczo rzecz biorąc wykazują relatywną przewagę nad indeksem WIG20</w:t>
      </w:r>
    </w:p>
    <w:p w:rsidR="00B16792" w:rsidRPr="008B4215" w:rsidRDefault="00B16792" w:rsidP="00B16792">
      <w:pPr>
        <w:rPr>
          <w:rFonts w:eastAsia="Times New Roman" w:cs="Times New Roman"/>
        </w:rPr>
      </w:pPr>
    </w:p>
    <w:p w:rsidR="00B16792" w:rsidRPr="008B4215" w:rsidRDefault="00B16792" w:rsidP="00B16792">
      <w:pPr>
        <w:rPr>
          <w:rFonts w:eastAsia="Times New Roman" w:cs="Times New Roman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b/>
        </w:rPr>
      </w:pPr>
      <w:r w:rsidRPr="008B4215">
        <w:rPr>
          <w:rFonts w:eastAsia="Times New Roman" w:cs="Times New Roman"/>
          <w:b/>
        </w:rPr>
        <w:lastRenderedPageBreak/>
        <w:t>Wnioski końcowe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p w:rsidR="00B16792" w:rsidRPr="008B4215" w:rsidRDefault="00B16792" w:rsidP="00B16792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  <w:r w:rsidRPr="008B4215">
        <w:rPr>
          <w:rFonts w:eastAsia="Times New Roman" w:cs="Times New Roman"/>
          <w:color w:val="000000" w:themeColor="text1"/>
        </w:rPr>
        <w:t xml:space="preserve">Kurs </w:t>
      </w:r>
      <w:r w:rsidRPr="008B4215">
        <w:rPr>
          <w:rFonts w:eastAsia="Times New Roman" w:cs="Times New Roman"/>
        </w:rPr>
        <w:t xml:space="preserve">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 w:rsidRPr="008B4215">
        <w:rPr>
          <w:rFonts w:eastAsia="Times New Roman" w:cs="Times New Roman"/>
          <w:b/>
          <w:color w:val="FF0000"/>
        </w:rPr>
        <w:t xml:space="preserve">do 4,4252 zł. </w:t>
      </w:r>
    </w:p>
    <w:p w:rsidR="00B16792" w:rsidRPr="008B4215" w:rsidRDefault="00B16792" w:rsidP="00B16792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</w:p>
    <w:p w:rsidR="00B16792" w:rsidRPr="008B4215" w:rsidRDefault="00B16792" w:rsidP="00B16792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  <w:r w:rsidRPr="008B4215">
        <w:rPr>
          <w:rFonts w:eastAsia="Times New Roman" w:cs="Times New Roman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co powinno dojść do wzrostu kursu euro (w złotych) do </w:t>
      </w:r>
      <w:r w:rsidRPr="008B4215">
        <w:rPr>
          <w:rFonts w:eastAsia="Times New Roman" w:cs="Times New Roman"/>
          <w:b/>
          <w:color w:val="FF0000"/>
        </w:rPr>
        <w:t xml:space="preserve">4,3607 zł.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</w:p>
    <w:p w:rsidR="00B16792" w:rsidRPr="0081241A" w:rsidRDefault="00B16792" w:rsidP="00B1679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/>
        </w:rPr>
      </w:pPr>
      <w:r w:rsidRPr="0081241A">
        <w:rPr>
          <w:rFonts w:eastAsia="Times New Roman" w:cs="Times New Roman"/>
          <w:b/>
          <w:color w:val="000000" w:themeColor="text1"/>
        </w:rPr>
        <w:t>WIG 20 przebił od góry wzrostową linię trendu</w:t>
      </w:r>
      <w:r w:rsidRPr="0081241A">
        <w:rPr>
          <w:rFonts w:eastAsia="Times New Roman" w:cs="Times New Roman"/>
          <w:color w:val="000000" w:themeColor="text1"/>
        </w:rPr>
        <w:t xml:space="preserve"> poprowadzoną przez dołki z marca 1995 roku oraz lutego 2009 roku. Na wykresie indeksu WIG20 doszło do wybicia z nietypowej formacji podwójnego szczytu.</w:t>
      </w:r>
      <w:r>
        <w:rPr>
          <w:rFonts w:eastAsia="Times New Roman" w:cs="Times New Roman"/>
          <w:color w:val="000000" w:themeColor="text1"/>
        </w:rPr>
        <w:t xml:space="preserve"> </w:t>
      </w:r>
      <w:r w:rsidRPr="00D500C0">
        <w:rPr>
          <w:rFonts w:eastAsia="Times New Roman" w:cs="Times New Roman"/>
          <w:b/>
          <w:color w:val="FF0000"/>
        </w:rPr>
        <w:t>Gdyby</w:t>
      </w:r>
      <w:r w:rsidRPr="0081241A">
        <w:rPr>
          <w:rFonts w:eastAsia="Times New Roman" w:cs="Times New Roman"/>
          <w:color w:val="000000" w:themeColor="text1"/>
        </w:rPr>
        <w:t xml:space="preserve"> formacja ta miała się wypełnić powinno dojść w dłuższym terminie do spadku indeksu do 1 576,8 pkt. WIG20 o 18,6 %. Gdyby formacja ta miała się wypełnić powinno dojść w dłuższym terminie jeszcze do spadku indeksu WIG DO 44 388,66 pkt., czyli o 7,5 %.</w:t>
      </w:r>
    </w:p>
    <w:p w:rsidR="00B16792" w:rsidRPr="0081241A" w:rsidRDefault="00B16792" w:rsidP="00B16792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</w:rPr>
      </w:pPr>
      <w:bookmarkStart w:id="0" w:name="_GoBack"/>
      <w:bookmarkEnd w:id="0"/>
    </w:p>
    <w:p w:rsidR="00B16792" w:rsidRPr="0081241A" w:rsidRDefault="00B16792" w:rsidP="00B1679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81241A">
        <w:rPr>
          <w:rFonts w:eastAsia="Times New Roman" w:cs="Times New Roman"/>
        </w:rPr>
        <w:t>Chciałbym być dobrze zrozumiany. Ja nie twierdzę, że do tych spadków dojdzie (w swej pracy analitycznej w ogóle nie zajmuję się przewidywaniem przyszłości). J</w:t>
      </w:r>
      <w:r w:rsidRPr="0081241A">
        <w:rPr>
          <w:rFonts w:eastAsia="Times New Roman" w:cs="Times New Roman"/>
          <w:b/>
        </w:rPr>
        <w:t xml:space="preserve">a tylko czysto opisowo pragnę zauważyć, że w przypadku obu przytoczonych wyżej indeksów mamy do czynienia z niewypełnionymi formacjami nietypowego podwójnego szczytu </w:t>
      </w:r>
      <w:r w:rsidRPr="0081241A">
        <w:rPr>
          <w:rFonts w:eastAsia="Times New Roman" w:cs="Times New Roman"/>
        </w:rPr>
        <w:t xml:space="preserve">i wyłącznie stwierdzam, że ich pojawienie się stwarza ryzyko spadków. </w:t>
      </w:r>
      <w:r w:rsidRPr="0081241A">
        <w:rPr>
          <w:rFonts w:eastAsia="Times New Roman" w:cs="Times New Roman"/>
          <w:b/>
          <w:color w:val="000000" w:themeColor="text1"/>
        </w:rPr>
        <w:t xml:space="preserve">Czy można dostrzec jakieś argumenty, które mogą (choć nie muszą) spowodować </w:t>
      </w:r>
      <w:proofErr w:type="gramStart"/>
      <w:r w:rsidRPr="0081241A">
        <w:rPr>
          <w:rFonts w:eastAsia="Times New Roman" w:cs="Times New Roman"/>
          <w:b/>
          <w:color w:val="000000" w:themeColor="text1"/>
        </w:rPr>
        <w:t>,,</w:t>
      </w:r>
      <w:proofErr w:type="gramEnd"/>
      <w:r w:rsidRPr="0081241A">
        <w:rPr>
          <w:rFonts w:eastAsia="Times New Roman" w:cs="Times New Roman"/>
          <w:b/>
          <w:color w:val="000000" w:themeColor="text1"/>
        </w:rPr>
        <w:t>unieważnienia” negatywnego scenariusza ?</w:t>
      </w:r>
      <w:r w:rsidRPr="0081241A">
        <w:rPr>
          <w:rFonts w:eastAsia="Times New Roman" w:cs="Times New Roman"/>
          <w:color w:val="000000" w:themeColor="text1"/>
        </w:rPr>
        <w:t xml:space="preserve"> </w:t>
      </w:r>
      <w:r w:rsidRPr="0081241A">
        <w:rPr>
          <w:rFonts w:eastAsia="Times New Roman" w:cs="Times New Roman"/>
          <w:b/>
          <w:color w:val="FF0000"/>
        </w:rPr>
        <w:t>Musiałby się pojawić jakieś sygnały.</w:t>
      </w:r>
      <w:r w:rsidRPr="0081241A">
        <w:rPr>
          <w:rFonts w:eastAsia="Times New Roman" w:cs="Times New Roman"/>
          <w:color w:val="000000" w:themeColor="text1"/>
        </w:rPr>
        <w:t xml:space="preserve"> Sygnałami tymi m</w:t>
      </w:r>
      <w:r w:rsidRPr="0081241A">
        <w:rPr>
          <w:rFonts w:eastAsia="Times New Roman" w:cs="Times New Roman"/>
        </w:rPr>
        <w:t>ogłyby być na przykład 1.Powrót powyżej linii trendu wzrostowego poprowadzonej przez dołki z marca 1995 roku oraz lutego 2009 roku w przypadku indeksu WIG20 (kluczowy warunek) 2. Wybicie z jakiejś nawet bardzo małej formacji typowego lub nietypowego podwójnego dna na wykresie indeksu WIG20 lub WIG oraz 3.Pojawienie się formacji przenikania hossy, objęcia hossy lub formacji gwiazdy porannej na stworzonym w oparciu o dane tygodniowe wykresie indeksu WIG0 lub na takim samym wykresie indeksu WIG</w:t>
      </w:r>
    </w:p>
    <w:p w:rsidR="00B16792" w:rsidRPr="0081241A" w:rsidRDefault="00B16792" w:rsidP="00B16792">
      <w:pPr>
        <w:spacing w:after="0" w:line="240" w:lineRule="auto"/>
        <w:ind w:left="720"/>
        <w:contextualSpacing/>
        <w:jc w:val="both"/>
        <w:rPr>
          <w:rFonts w:eastAsia="Times New Roman" w:cs="Times New Roman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Opracował: Sławomir Kłusek, </w:t>
      </w:r>
      <w:r>
        <w:rPr>
          <w:rFonts w:eastAsia="Times New Roman" w:cs="Times New Roman"/>
        </w:rPr>
        <w:t>30</w:t>
      </w:r>
      <w:r w:rsidRPr="008B4215">
        <w:rPr>
          <w:rFonts w:eastAsia="Times New Roman" w:cs="Times New Roman"/>
        </w:rPr>
        <w:t xml:space="preserve"> listopada 2015 roku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Powyższy raport stanowi wyłącznie wyraz osobistych opinii autora. 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Treści zawarte na stronie internetowej </w:t>
      </w:r>
      <w:hyperlink r:id="rId33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B4215">
        <w:rPr>
          <w:rFonts w:eastAsia="Times New Roman" w:cs="Times New Roman"/>
        </w:rPr>
        <w:t>Dz.U</w:t>
      </w:r>
      <w:proofErr w:type="spellEnd"/>
      <w:r w:rsidRPr="008B4215">
        <w:rPr>
          <w:rFonts w:eastAsia="Times New Roman" w:cs="Times New Roman"/>
        </w:rPr>
        <w:t xml:space="preserve">. </w:t>
      </w:r>
      <w:proofErr w:type="gramStart"/>
      <w:r w:rsidRPr="008B4215">
        <w:rPr>
          <w:rFonts w:eastAsia="Times New Roman" w:cs="Times New Roman"/>
        </w:rPr>
        <w:t>z</w:t>
      </w:r>
      <w:proofErr w:type="gramEnd"/>
      <w:r w:rsidRPr="008B4215">
        <w:rPr>
          <w:rFonts w:eastAsia="Times New Roman" w:cs="Times New Roman"/>
        </w:rPr>
        <w:t xml:space="preserve"> 2005 r. Nr 206, poz. 1715).</w:t>
      </w:r>
    </w:p>
    <w:p w:rsidR="00B16792" w:rsidRPr="008B4215" w:rsidRDefault="00B16792" w:rsidP="00B16792">
      <w:pPr>
        <w:spacing w:after="0" w:line="240" w:lineRule="auto"/>
        <w:jc w:val="both"/>
        <w:rPr>
          <w:rFonts w:eastAsia="Times New Roman" w:cs="Times New Roman"/>
        </w:rPr>
      </w:pPr>
    </w:p>
    <w:p w:rsidR="00B16792" w:rsidRDefault="00B16792" w:rsidP="00B16792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  <w:r w:rsidRPr="008B4215">
        <w:rPr>
          <w:rFonts w:eastAsia="Times New Roman" w:cs="Times New Roman"/>
        </w:rPr>
        <w:t xml:space="preserve">Autor nie ponosi odpowiedzialności za jakiekolwiek decyzje inwestycyjne podjęte na podstawie treści zawartych na stronie internetowej </w:t>
      </w:r>
      <w:hyperlink r:id="rId34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</w:p>
    <w:p w:rsidR="00B16792" w:rsidRDefault="00B16792" w:rsidP="00B16792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</w:p>
    <w:p w:rsidR="00B16792" w:rsidRDefault="00B16792" w:rsidP="00B16792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</w:p>
    <w:p w:rsidR="00B16792" w:rsidRPr="002E67E5" w:rsidRDefault="00B16792" w:rsidP="00B16792">
      <w:pPr>
        <w:spacing w:after="0" w:line="240" w:lineRule="auto"/>
        <w:jc w:val="both"/>
        <w:rPr>
          <w:b/>
          <w:color w:val="FF0000"/>
        </w:rPr>
      </w:pPr>
    </w:p>
    <w:p w:rsidR="00B16792" w:rsidRDefault="00B16792" w:rsidP="00B16792">
      <w:pPr>
        <w:pStyle w:val="Bezodstpw"/>
        <w:jc w:val="both"/>
        <w:rPr>
          <w:b/>
          <w:sz w:val="26"/>
          <w:szCs w:val="26"/>
          <w:u w:val="single"/>
        </w:rPr>
      </w:pPr>
    </w:p>
    <w:p w:rsidR="00B16792" w:rsidRDefault="00B16792" w:rsidP="00D454FD">
      <w:pPr>
        <w:spacing w:after="0" w:line="240" w:lineRule="auto"/>
        <w:jc w:val="both"/>
      </w:pPr>
    </w:p>
    <w:sectPr w:rsidR="00B1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806"/>
    <w:multiLevelType w:val="hybridMultilevel"/>
    <w:tmpl w:val="F59E7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97854"/>
    <w:multiLevelType w:val="hybridMultilevel"/>
    <w:tmpl w:val="6422D31C"/>
    <w:lvl w:ilvl="0" w:tplc="0FD6D906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E666A"/>
    <w:multiLevelType w:val="hybridMultilevel"/>
    <w:tmpl w:val="98B61FF6"/>
    <w:lvl w:ilvl="0" w:tplc="112E6D90">
      <w:start w:val="29"/>
      <w:numFmt w:val="bullet"/>
      <w:lvlText w:val=""/>
      <w:lvlJc w:val="left"/>
      <w:pPr>
        <w:ind w:left="780" w:hanging="42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FD"/>
    <w:rsid w:val="00733FBC"/>
    <w:rsid w:val="00B16792"/>
    <w:rsid w:val="00D454FD"/>
    <w:rsid w:val="00D500C0"/>
    <w:rsid w:val="00D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4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4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54F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4FD"/>
    <w:rPr>
      <w:vertAlign w:val="superscript"/>
    </w:rPr>
  </w:style>
  <w:style w:type="table" w:styleId="Tabela-Siatka">
    <w:name w:val="Table Grid"/>
    <w:basedOn w:val="Standardowy"/>
    <w:uiPriority w:val="59"/>
    <w:rsid w:val="00D4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454FD"/>
  </w:style>
  <w:style w:type="table" w:customStyle="1" w:styleId="Tabela-Siatka1">
    <w:name w:val="Tabela - Siatka1"/>
    <w:basedOn w:val="Standardowy"/>
    <w:next w:val="Tabela-Siatka"/>
    <w:uiPriority w:val="59"/>
    <w:rsid w:val="00D454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54FD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4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4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54F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4FD"/>
    <w:rPr>
      <w:vertAlign w:val="superscript"/>
    </w:rPr>
  </w:style>
  <w:style w:type="table" w:styleId="Tabela-Siatka">
    <w:name w:val="Table Grid"/>
    <w:basedOn w:val="Standardowy"/>
    <w:uiPriority w:val="59"/>
    <w:rsid w:val="00D4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454FD"/>
  </w:style>
  <w:style w:type="table" w:customStyle="1" w:styleId="Tabela-Siatka1">
    <w:name w:val="Tabela - Siatka1"/>
    <w:basedOn w:val="Standardowy"/>
    <w:next w:val="Tabela-Siatka"/>
    <w:uiPriority w:val="59"/>
    <w:rsid w:val="00D454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54F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34" Type="http://schemas.openxmlformats.org/officeDocument/2006/relationships/hyperlink" Target="http://www.analizy-rynkowe.pl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analizy-rynkowe.pl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33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analizy-rynkowe.pl/" TargetMode="External"/><Relationship Id="rId24" Type="http://schemas.openxmlformats.org/officeDocument/2006/relationships/hyperlink" Target="http://www.analizy-rynkowe.pl" TargetMode="External"/><Relationship Id="rId32" Type="http://schemas.openxmlformats.org/officeDocument/2006/relationships/hyperlink" Target="http://analizy-rynkowe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analizy-rynkowe.pl/" TargetMode="External"/><Relationship Id="rId28" Type="http://schemas.openxmlformats.org/officeDocument/2006/relationships/hyperlink" Target="http://www.analizy-rynkowe.p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www.analizy-rynkowe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3927</Words>
  <Characters>23564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cp:lastPrinted>2015-11-28T16:16:00Z</cp:lastPrinted>
  <dcterms:created xsi:type="dcterms:W3CDTF">2015-11-28T16:16:00Z</dcterms:created>
  <dcterms:modified xsi:type="dcterms:W3CDTF">2015-11-28T16:17:00Z</dcterms:modified>
</cp:coreProperties>
</file>