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C5" w:rsidRPr="002E67E5" w:rsidRDefault="00EC16C5" w:rsidP="00EC16C5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EC16C5" w:rsidRPr="002E67E5" w:rsidRDefault="00EC16C5" w:rsidP="00EC16C5">
      <w:pPr>
        <w:spacing w:after="0" w:line="240" w:lineRule="auto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EC16C5" w:rsidRPr="002E67E5" w:rsidRDefault="00EC16C5" w:rsidP="00EC16C5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EC16C5" w:rsidRPr="002E67E5" w:rsidRDefault="00EC16C5" w:rsidP="00EC16C5">
      <w:pPr>
        <w:spacing w:after="0" w:line="240" w:lineRule="auto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 w:rsidRPr="002E67E5"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EC16C5" w:rsidRPr="002E67E5" w:rsidRDefault="00EC16C5" w:rsidP="00EC16C5">
      <w:pPr>
        <w:spacing w:after="0" w:line="240" w:lineRule="auto"/>
        <w:jc w:val="center"/>
        <w:rPr>
          <w:sz w:val="48"/>
          <w:szCs w:val="48"/>
        </w:rPr>
      </w:pPr>
    </w:p>
    <w:p w:rsidR="00EC16C5" w:rsidRPr="002E67E5" w:rsidRDefault="00EC16C5" w:rsidP="00EC16C5">
      <w:pPr>
        <w:spacing w:after="0" w:line="240" w:lineRule="auto"/>
        <w:jc w:val="center"/>
        <w:rPr>
          <w:sz w:val="48"/>
          <w:szCs w:val="48"/>
        </w:rPr>
      </w:pPr>
    </w:p>
    <w:p w:rsidR="00EC16C5" w:rsidRPr="002E67E5" w:rsidRDefault="00EC16C5" w:rsidP="00EC16C5">
      <w:pPr>
        <w:spacing w:after="0" w:line="240" w:lineRule="auto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EC16C5" w:rsidRPr="002E67E5" w:rsidRDefault="00EC16C5" w:rsidP="00EC16C5">
      <w:pPr>
        <w:spacing w:after="0" w:line="240" w:lineRule="auto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16C5" w:rsidRPr="002E67E5" w:rsidRDefault="00EC16C5" w:rsidP="00EC16C5">
      <w:pPr>
        <w:jc w:val="center"/>
      </w:pPr>
      <w:r w:rsidRPr="002E67E5"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1B119A" w:rsidRDefault="001B119A" w:rsidP="00EC16C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19A" w:rsidRDefault="001B119A" w:rsidP="00EC16C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16C5" w:rsidRPr="002E67E5" w:rsidRDefault="00EC16C5" w:rsidP="00EC16C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Poniedziałek, 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2E67E5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listopada 2015 roku</w:t>
      </w:r>
    </w:p>
    <w:p w:rsidR="00EC16C5" w:rsidRPr="002E67E5" w:rsidRDefault="00EC16C5" w:rsidP="00EC16C5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16C5" w:rsidRPr="002E67E5" w:rsidRDefault="00EC16C5" w:rsidP="00EC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USD/PLN – perspektywa długoterminowa, kurs z </w:t>
      </w:r>
      <w:r>
        <w:t>20</w:t>
      </w:r>
      <w:r w:rsidR="0047626A">
        <w:t xml:space="preserve"> listopada 2015 roku = 3,9832</w:t>
      </w:r>
    </w:p>
    <w:p w:rsidR="00EC16C5" w:rsidRPr="002E67E5" w:rsidRDefault="00EC16C5" w:rsidP="00EC16C5">
      <w:pPr>
        <w:spacing w:after="0" w:line="240" w:lineRule="auto"/>
        <w:jc w:val="both"/>
      </w:pPr>
    </w:p>
    <w:p w:rsidR="00EC16C5" w:rsidRPr="002E67E5" w:rsidRDefault="007162F1" w:rsidP="00EC16C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53F2738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6C5" w:rsidRPr="002E67E5" w:rsidRDefault="00EC16C5" w:rsidP="00EC16C5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2E67E5">
        <w:rPr>
          <w:b/>
          <w:color w:val="FF0000"/>
        </w:rPr>
        <w:t xml:space="preserve">do 4,4252 zł. </w:t>
      </w:r>
    </w:p>
    <w:p w:rsidR="00EC16C5" w:rsidRPr="002E67E5" w:rsidRDefault="00EC16C5" w:rsidP="00EC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2E67E5">
        <w:t xml:space="preserve">Kurs EUR/PLN – perspektywa średniookresowa, kurs z </w:t>
      </w:r>
      <w:r>
        <w:t>20</w:t>
      </w:r>
      <w:r w:rsidR="0047626A">
        <w:t xml:space="preserve"> </w:t>
      </w:r>
      <w:proofErr w:type="gramStart"/>
      <w:r w:rsidR="0047626A">
        <w:t>listopada  2015 roku</w:t>
      </w:r>
      <w:proofErr w:type="gramEnd"/>
      <w:r w:rsidR="0047626A">
        <w:t xml:space="preserve"> = 4,2405</w:t>
      </w:r>
    </w:p>
    <w:p w:rsidR="00EC16C5" w:rsidRPr="002E67E5" w:rsidRDefault="00EC16C5" w:rsidP="00EC16C5">
      <w:pPr>
        <w:spacing w:after="0" w:line="240" w:lineRule="auto"/>
        <w:jc w:val="both"/>
      </w:pPr>
    </w:p>
    <w:p w:rsidR="00EC16C5" w:rsidRPr="002E67E5" w:rsidRDefault="007162F1" w:rsidP="00EC16C5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50B32EC4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16C5" w:rsidRDefault="00EC16C5" w:rsidP="00EC16C5">
      <w:pPr>
        <w:spacing w:after="0" w:line="240" w:lineRule="auto"/>
        <w:jc w:val="both"/>
        <w:rPr>
          <w:b/>
          <w:color w:val="FF0000"/>
        </w:rPr>
      </w:pPr>
      <w:r w:rsidRPr="002E67E5"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co powinno dojść do wzrostu kursu euro (w złotych) do </w:t>
      </w:r>
      <w:r w:rsidRPr="002E67E5">
        <w:rPr>
          <w:b/>
          <w:color w:val="FF0000"/>
        </w:rPr>
        <w:t xml:space="preserve">4,3607 zł. </w:t>
      </w:r>
    </w:p>
    <w:p w:rsidR="00B00B26" w:rsidRDefault="00B00B26" w:rsidP="00EC16C5">
      <w:pPr>
        <w:spacing w:after="0" w:line="240" w:lineRule="auto"/>
        <w:jc w:val="both"/>
        <w:rPr>
          <w:b/>
          <w:color w:val="FF0000"/>
        </w:rPr>
      </w:pPr>
    </w:p>
    <w:p w:rsidR="00B00B26" w:rsidRDefault="00B00B26" w:rsidP="00B00B2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9C70F4">
        <w:rPr>
          <w:sz w:val="26"/>
          <w:szCs w:val="26"/>
        </w:rPr>
        <w:lastRenderedPageBreak/>
        <w:t>WIG20 przy wzrostowej linii trendu</w:t>
      </w:r>
    </w:p>
    <w:p w:rsidR="00B00B26" w:rsidRDefault="00B00B26" w:rsidP="00B00B26">
      <w:pPr>
        <w:pStyle w:val="Bezodstpw"/>
        <w:jc w:val="center"/>
        <w:rPr>
          <w:sz w:val="26"/>
          <w:szCs w:val="26"/>
        </w:rPr>
      </w:pPr>
    </w:p>
    <w:p w:rsidR="00B00B26" w:rsidRDefault="00B00B26" w:rsidP="00B00B26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Indeks WIG20 znajduje się w pobliżu wzrostowej linii trendu poprowadzonej przez dołki z marca 1995 roku oraz lutego 2009 roku. </w:t>
      </w:r>
    </w:p>
    <w:p w:rsidR="00B00B26" w:rsidRDefault="00B00B26" w:rsidP="00B00B26">
      <w:pPr>
        <w:pStyle w:val="Bezodstpw"/>
        <w:rPr>
          <w:sz w:val="26"/>
          <w:szCs w:val="26"/>
        </w:rPr>
      </w:pPr>
    </w:p>
    <w:p w:rsidR="00B00B26" w:rsidRPr="009C70F4" w:rsidRDefault="00B00B26" w:rsidP="00B00B26">
      <w:pPr>
        <w:pStyle w:val="Bezodstpw"/>
        <w:rPr>
          <w:b/>
          <w:sz w:val="26"/>
          <w:szCs w:val="26"/>
          <w:u w:val="single"/>
        </w:rPr>
      </w:pPr>
      <w:r w:rsidRPr="009C70F4">
        <w:rPr>
          <w:b/>
          <w:sz w:val="26"/>
          <w:szCs w:val="26"/>
          <w:u w:val="single"/>
        </w:rPr>
        <w:t>WIG20</w:t>
      </w:r>
    </w:p>
    <w:p w:rsidR="00B00B26" w:rsidRDefault="00B00B26" w:rsidP="00B00B26">
      <w:pPr>
        <w:pStyle w:val="Bezodstpw"/>
        <w:rPr>
          <w:sz w:val="26"/>
          <w:szCs w:val="26"/>
        </w:rPr>
      </w:pPr>
    </w:p>
    <w:p w:rsidR="00B00B26" w:rsidRDefault="00B00B26" w:rsidP="00B00B26">
      <w:pPr>
        <w:pStyle w:val="Bezodstpw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37B19D3" wp14:editId="249A5A8B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stwarza szasnę na wzrosty, aczkolwiek nie jest ich gwarancją. Co przemawia za tym, że po dojściu od góry do tej linii trendu pojawią się </w:t>
      </w:r>
      <w:proofErr w:type="gramStart"/>
      <w:r>
        <w:rPr>
          <w:sz w:val="26"/>
          <w:szCs w:val="26"/>
        </w:rPr>
        <w:t>wzrosty ?</w:t>
      </w:r>
      <w:proofErr w:type="gramEnd"/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 w:rsidRPr="000A5626">
        <w:rPr>
          <w:b/>
          <w:color w:val="FF0000"/>
          <w:sz w:val="26"/>
          <w:szCs w:val="26"/>
        </w:rPr>
        <w:t>Przede wszystkim</w:t>
      </w:r>
      <w:r w:rsidRPr="000A562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to, że pojawiła się niewiara we wzrosty u inwestorów indywidualnych.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Spójrzmy na najnowsze wyniki badań prowadzonych przez Stowarzyszenie Inwestorów Indywidualnych. Okazuje się, że 33,1 % ankietowanych inwestorów wierzy w to, że na przestrzeni najbliższych 6 miesięcy pojawią się wzrosty, a 44,6 % sądzi, że panować będzie trend spadkowy.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Pr="001B119A" w:rsidRDefault="00B00B26" w:rsidP="00B00B2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Paradoksalnie to dobra </w:t>
      </w:r>
      <w:proofErr w:type="gramStart"/>
      <w:r>
        <w:rPr>
          <w:sz w:val="26"/>
          <w:szCs w:val="26"/>
        </w:rPr>
        <w:t xml:space="preserve">wiadomość !. </w:t>
      </w:r>
      <w:proofErr w:type="gramEnd"/>
      <w:r w:rsidRPr="001B119A">
        <w:rPr>
          <w:b/>
          <w:sz w:val="26"/>
          <w:szCs w:val="26"/>
        </w:rPr>
        <w:t xml:space="preserve">Wzrosty często są poprzedzone brakiem wiary w ich pojawienie się.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hyperlink r:id="rId12" w:history="1">
        <w:r w:rsidRPr="0001697D">
          <w:rPr>
            <w:rStyle w:val="Hipercze"/>
            <w:sz w:val="26"/>
            <w:szCs w:val="26"/>
          </w:rPr>
          <w:t>http://www.sii.org.pl/3438/edukacja-i-analizy/indeks-nastrojow-inwestorow.html</w:t>
        </w:r>
      </w:hyperlink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 w:rsidRPr="000A5626">
        <w:rPr>
          <w:b/>
          <w:color w:val="FF0000"/>
          <w:sz w:val="26"/>
          <w:szCs w:val="26"/>
        </w:rPr>
        <w:t>Po drugie</w:t>
      </w:r>
      <w:r w:rsidRPr="000A562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należy pamiętać, że znajdujemy się w stosunkowo korzystnym dla posiadaczy akcji okresie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przełomu roku” obejmującym okres pomiędzy końcem października roku T a końcem kwietnia roku T+1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Warto przypomnieć, że o </w:t>
      </w:r>
      <w:proofErr w:type="gramStart"/>
      <w:r>
        <w:rPr>
          <w:sz w:val="26"/>
          <w:szCs w:val="26"/>
        </w:rPr>
        <w:t>ile  (w</w:t>
      </w:r>
      <w:proofErr w:type="gramEnd"/>
      <w:r>
        <w:rPr>
          <w:sz w:val="26"/>
          <w:szCs w:val="26"/>
        </w:rPr>
        <w:t xml:space="preserve"> latach 1994-2015) </w:t>
      </w:r>
      <w:r w:rsidRPr="00A30FAB">
        <w:rPr>
          <w:b/>
          <w:sz w:val="26"/>
          <w:szCs w:val="26"/>
        </w:rPr>
        <w:t>w okresie pomiędzy końcem kwietnia a końcem października roku T indeks WIG20 średnio spadał o 3,4 %, o tyle w okresie pomiędzy końcem października roku T a końcem kwietnia roku T+1 indeks ten średnio zwyżkował o 10,7 %.</w:t>
      </w:r>
      <w:r>
        <w:rPr>
          <w:sz w:val="26"/>
          <w:szCs w:val="26"/>
        </w:rPr>
        <w:t xml:space="preserve">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Szczegółowe dane na ten przedstawiłem w poprzednim numerze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Raportu Tygodniowego” i zainteresowanych bardzo zachęcam do jego przeczytania (np. str.4-5, gdzie przedstawione są statystyki z poszczególnych lat.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hyperlink r:id="rId13" w:history="1">
        <w:r w:rsidRPr="0001697D">
          <w:rPr>
            <w:rStyle w:val="Hipercze"/>
            <w:sz w:val="26"/>
            <w:szCs w:val="26"/>
          </w:rPr>
          <w:t>http://analizy-rynkowe.pl/wp-content/uploads/2015/11/RAPORT-TYGODNIOWY-16-11-20153.pdf</w:t>
        </w:r>
      </w:hyperlink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Pr="001B119A" w:rsidRDefault="00B00B26" w:rsidP="00B00B26">
      <w:pPr>
        <w:pStyle w:val="Bezodstpw"/>
        <w:jc w:val="both"/>
        <w:rPr>
          <w:b/>
          <w:sz w:val="26"/>
          <w:szCs w:val="26"/>
        </w:rPr>
      </w:pPr>
      <w:r w:rsidRPr="000A5626">
        <w:rPr>
          <w:b/>
          <w:color w:val="FF0000"/>
          <w:sz w:val="26"/>
          <w:szCs w:val="26"/>
        </w:rPr>
        <w:t>Kolejnym trzecim argumentem</w:t>
      </w:r>
      <w:r w:rsidRPr="000A562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przemawiającym za tym, że wzrosty indeksu WIG20 są realne jest </w:t>
      </w:r>
      <w:r w:rsidRPr="000A5626">
        <w:rPr>
          <w:b/>
          <w:sz w:val="26"/>
          <w:szCs w:val="26"/>
        </w:rPr>
        <w:t>wybicie z formacji typowego podwójnego dna</w:t>
      </w:r>
      <w:r>
        <w:rPr>
          <w:sz w:val="26"/>
          <w:szCs w:val="26"/>
        </w:rPr>
        <w:t xml:space="preserve">, do jakiego doszło w przypadku </w:t>
      </w:r>
      <w:r w:rsidRPr="001B119A">
        <w:rPr>
          <w:b/>
          <w:sz w:val="26"/>
          <w:szCs w:val="26"/>
        </w:rPr>
        <w:t xml:space="preserve">indeksu chińskiego rynku akcji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Pr="00827E6B" w:rsidRDefault="00B00B26" w:rsidP="00B00B2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CHINY - </w:t>
      </w:r>
      <w:r w:rsidRPr="00827E6B">
        <w:rPr>
          <w:b/>
          <w:sz w:val="26"/>
          <w:szCs w:val="26"/>
          <w:u w:val="single"/>
        </w:rPr>
        <w:t>SSE B-SHARE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0904463" wp14:editId="499C6527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Dlaczego to jest </w:t>
      </w:r>
      <w:proofErr w:type="gramStart"/>
      <w:r>
        <w:rPr>
          <w:sz w:val="26"/>
          <w:szCs w:val="26"/>
        </w:rPr>
        <w:t xml:space="preserve">ważne ? </w:t>
      </w:r>
      <w:proofErr w:type="gramEnd"/>
      <w:r>
        <w:rPr>
          <w:sz w:val="26"/>
          <w:szCs w:val="26"/>
        </w:rPr>
        <w:t xml:space="preserve">Generalnie </w:t>
      </w:r>
      <w:proofErr w:type="gramStart"/>
      <w:r>
        <w:rPr>
          <w:sz w:val="26"/>
          <w:szCs w:val="26"/>
        </w:rPr>
        <w:t>mówiąc dlatego</w:t>
      </w:r>
      <w:proofErr w:type="gramEnd"/>
      <w:r>
        <w:rPr>
          <w:sz w:val="26"/>
          <w:szCs w:val="26"/>
        </w:rPr>
        <w:t xml:space="preserve">, że </w:t>
      </w:r>
      <w:r w:rsidRPr="00A30FAB">
        <w:rPr>
          <w:b/>
          <w:sz w:val="26"/>
          <w:szCs w:val="26"/>
        </w:rPr>
        <w:t>chiński rynek akcji jest największym rynkiem akcji w gronie rynków wschodzących</w:t>
      </w:r>
      <w:r>
        <w:rPr>
          <w:sz w:val="26"/>
          <w:szCs w:val="26"/>
        </w:rPr>
        <w:t xml:space="preserve">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Jeżeli ten indeks rósłby (a po wybiciu z formacji podwójnego dna pojawia się na to duża szansa) to </w:t>
      </w:r>
      <w:r w:rsidRPr="001B119A">
        <w:rPr>
          <w:b/>
          <w:sz w:val="26"/>
          <w:szCs w:val="26"/>
        </w:rPr>
        <w:t>powinny również rosnąć indeksy rynków wschodzących</w:t>
      </w:r>
      <w:r>
        <w:rPr>
          <w:sz w:val="26"/>
          <w:szCs w:val="26"/>
        </w:rPr>
        <w:t xml:space="preserve">. Może to zainteresować inwestorów do dokonywania wpłat to tych funduszy, dzięki temu będą one miały więcej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wolnej gotówki” i można sądzić, że będą chciały one gdzieś tą ,,wolną gotówkę” zainwestować.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Do grupy rynków wschodzących zaliczana jest także Polska.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gramStart"/>
      <w:r>
        <w:rPr>
          <w:sz w:val="26"/>
          <w:szCs w:val="26"/>
        </w:rPr>
        <w:t>razie więc</w:t>
      </w:r>
      <w:proofErr w:type="gramEnd"/>
      <w:r>
        <w:rPr>
          <w:sz w:val="26"/>
          <w:szCs w:val="26"/>
        </w:rPr>
        <w:t xml:space="preserve"> sprawdzenia się tego pozytywnego scenariusza pojawić się powinna szansa na wzrosty także u nas, gdyż kapitał zagraniczny napłynąłby wówczas też w nieco większej skali na giełdę warszawską.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Eksperyment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>efekt przełomu roku”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Warto przypomnieć, że obecnie przeprowadzam eksperyment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efekt przełomu roku”. Przypomnę, że w eksperymencie tym bierze udział 11 spółek. 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Nazwa</w:t>
            </w:r>
          </w:p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proofErr w:type="gramStart"/>
            <w:r>
              <w:rPr>
                <w:color w:val="000000" w:themeColor="text1"/>
                <w:sz w:val="30"/>
                <w:szCs w:val="30"/>
              </w:rPr>
              <w:t>spółki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Data wprowadzenia spółki do rubryki 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,,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Wykres do przemyślenia”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Unima2000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Variant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1 lipca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Ropczyce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21 lipca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Eurocash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23 lipca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Agora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3 września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BZWBK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4 września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Netmedia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pStyle w:val="Bezodstpw"/>
              <w:jc w:val="center"/>
              <w:rPr>
                <w:color w:val="000000" w:themeColor="text1"/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9 października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Stalprodukt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9 października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Cyfrowy Polsat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14 października 2015 roku</w:t>
            </w:r>
          </w:p>
        </w:tc>
      </w:tr>
      <w:tr w:rsidR="00B00B26" w:rsidTr="004478E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Dębica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26" w:rsidRDefault="00B00B26" w:rsidP="004478E6">
            <w:pPr>
              <w:jc w:val="center"/>
              <w:rPr>
                <w:sz w:val="34"/>
                <w:szCs w:val="34"/>
              </w:rPr>
            </w:pPr>
            <w:r>
              <w:rPr>
                <w:color w:val="000000" w:themeColor="text1"/>
                <w:sz w:val="34"/>
                <w:szCs w:val="34"/>
              </w:rPr>
              <w:t>17 października 2015 roku</w:t>
            </w:r>
          </w:p>
        </w:tc>
      </w:tr>
    </w:tbl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u w:val="single"/>
        </w:rPr>
        <w:t>Hipoteza przyjęta w eksperymencie brzmi</w:t>
      </w:r>
      <w:r>
        <w:rPr>
          <w:color w:val="000000" w:themeColor="text1"/>
          <w:sz w:val="26"/>
          <w:szCs w:val="26"/>
        </w:rPr>
        <w:t xml:space="preserve">: średnia procentowa zmiana kursów akcji wybranych 11 spółek notowanych na Giełdzie Papierów Wartościowych w Warszawie będzie pomiędzy 30 października 2015 roku a 29 kwietnia 2016 roku wyższa od procentowej zmiany indeksu WIG20 w tym okresie. Jak </w:t>
      </w:r>
      <w:proofErr w:type="gramStart"/>
      <w:r>
        <w:rPr>
          <w:color w:val="000000" w:themeColor="text1"/>
          <w:sz w:val="26"/>
          <w:szCs w:val="26"/>
        </w:rPr>
        <w:t xml:space="preserve">będzie ? </w:t>
      </w:r>
      <w:proofErr w:type="gramEnd"/>
      <w:r>
        <w:rPr>
          <w:color w:val="000000" w:themeColor="text1"/>
          <w:sz w:val="26"/>
          <w:szCs w:val="26"/>
        </w:rPr>
        <w:t xml:space="preserve">Czas pokaże. </w:t>
      </w:r>
    </w:p>
    <w:p w:rsidR="00B00B26" w:rsidRDefault="00B00B26" w:rsidP="00B00B26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 wynikach eksperymentu będę informował na stronie internetowej </w:t>
      </w:r>
      <w:hyperlink r:id="rId15" w:history="1">
        <w:r>
          <w:rPr>
            <w:rStyle w:val="Hipercze"/>
            <w:sz w:val="26"/>
            <w:szCs w:val="26"/>
          </w:rPr>
          <w:t>http://analizy-rynkowe.pl/</w:t>
        </w:r>
      </w:hyperlink>
      <w:r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w dniach: 29 stycznia oraz 29 kwietnia 2016 roku </w:t>
      </w:r>
    </w:p>
    <w:p w:rsidR="00B00B26" w:rsidRDefault="00B00B26" w:rsidP="00B00B26">
      <w:pPr>
        <w:pStyle w:val="Bezodstpw"/>
        <w:jc w:val="both"/>
        <w:rPr>
          <w:color w:val="000000" w:themeColor="text1"/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Zachęcam do zapoznania się ze szczegółami eksperymentu….</w:t>
      </w:r>
    </w:p>
    <w:p w:rsidR="00B00B26" w:rsidRDefault="00B00B26" w:rsidP="00B00B26">
      <w:pPr>
        <w:pStyle w:val="Bezodstpw"/>
        <w:jc w:val="both"/>
        <w:rPr>
          <w:sz w:val="26"/>
          <w:szCs w:val="26"/>
        </w:rPr>
      </w:pPr>
    </w:p>
    <w:p w:rsidR="00B00B26" w:rsidRDefault="00B00B26" w:rsidP="00B00B26">
      <w:pPr>
        <w:pStyle w:val="Bezodstpw"/>
        <w:jc w:val="both"/>
        <w:rPr>
          <w:rStyle w:val="Hipercze"/>
          <w:sz w:val="26"/>
          <w:szCs w:val="26"/>
        </w:rPr>
      </w:pPr>
      <w:hyperlink r:id="rId16" w:history="1">
        <w:r w:rsidRPr="0001697D">
          <w:rPr>
            <w:rStyle w:val="Hipercze"/>
            <w:sz w:val="26"/>
            <w:szCs w:val="26"/>
          </w:rPr>
          <w:t>http://analizy-rynkowe.pl/rozpoczynam-kolejny-eksperyment-tym-razem-bedzie-to-eksperyment-efekt-przelomu-roku/</w:t>
        </w:r>
      </w:hyperlink>
    </w:p>
    <w:p w:rsidR="00B00B26" w:rsidRPr="008B4215" w:rsidRDefault="00B00B26" w:rsidP="00B00B26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</w:rPr>
      </w:pPr>
      <w:r w:rsidRPr="008B4215">
        <w:rPr>
          <w:rFonts w:eastAsia="Times New Roman" w:cs="Times New Roman"/>
          <w:b/>
          <w:sz w:val="100"/>
          <w:szCs w:val="100"/>
        </w:rPr>
        <w:lastRenderedPageBreak/>
        <w:t xml:space="preserve">Ile wynosiła średnia procentowa zmiana kursu akcji spółki po wprowadzeniu jej do rubryki </w:t>
      </w:r>
      <w:proofErr w:type="gramStart"/>
      <w:r w:rsidRPr="008B4215">
        <w:rPr>
          <w:rFonts w:eastAsia="Times New Roman" w:cs="Times New Roman"/>
          <w:b/>
          <w:sz w:val="100"/>
          <w:szCs w:val="100"/>
        </w:rPr>
        <w:t>,,</w:t>
      </w:r>
      <w:proofErr w:type="gramEnd"/>
      <w:r w:rsidRPr="008B4215">
        <w:rPr>
          <w:rFonts w:eastAsia="Times New Roman" w:cs="Times New Roman"/>
          <w:b/>
          <w:sz w:val="100"/>
          <w:szCs w:val="100"/>
        </w:rPr>
        <w:t>Wykres do przemyślenia” w okresie 12 pierwszych miesięcy po jej wprowadzeniu do tej rubryki ?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>20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 listopada 2015 roku</w:t>
      </w:r>
    </w:p>
    <w:p w:rsidR="00B00B26" w:rsidRPr="008B4215" w:rsidRDefault="00B00B26" w:rsidP="00B00B2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b/>
          <w:sz w:val="26"/>
          <w:szCs w:val="26"/>
        </w:rPr>
        <w:lastRenderedPageBreak/>
        <w:t xml:space="preserve">Wprowadzenie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Strona internetowa </w:t>
      </w:r>
      <w:hyperlink r:id="rId17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26"/>
          <w:szCs w:val="26"/>
        </w:rPr>
        <w:t xml:space="preserve"> prowadzona jest od września 2014 roku.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Co tydzień publikowany jest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Raport Tygodniowy”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czasu do czasu umieszczam wybrane spółki w rubryce </w:t>
      </w:r>
      <w:proofErr w:type="gramStart"/>
      <w:r w:rsidRPr="008B4215">
        <w:rPr>
          <w:rFonts w:eastAsia="Times New Roman" w:cs="Times New Roman"/>
          <w:b/>
          <w:color w:val="FF0000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Wykres do przemyślenia”.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color w:val="FF0000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Umieszczane są tam te przykładowe spółki, których kurs </w:t>
      </w:r>
      <w:r w:rsidRPr="008B4215">
        <w:rPr>
          <w:rFonts w:eastAsia="Times New Roman" w:cs="Times New Roman"/>
          <w:b/>
          <w:color w:val="FF0000"/>
          <w:sz w:val="26"/>
          <w:szCs w:val="26"/>
        </w:rPr>
        <w:t xml:space="preserve">wybił się z formacji podwójnego dna.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Formacja podwójnego dna ma </w:t>
      </w:r>
      <w:r w:rsidRPr="008B4215">
        <w:rPr>
          <w:rFonts w:eastAsia="Times New Roman" w:cs="Times New Roman"/>
          <w:b/>
          <w:sz w:val="26"/>
          <w:szCs w:val="26"/>
        </w:rPr>
        <w:t xml:space="preserve">2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 xml:space="preserve">zadania”.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Podstawowym, minimalnym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jej wypełnienie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Drugim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zadaniem” tej formacji jest doprowadzenie do zmiany trendu ze spadkowego na wzrostowy.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Osobiście wyróżniam </w:t>
      </w:r>
      <w:r w:rsidRPr="008B4215">
        <w:rPr>
          <w:rFonts w:eastAsia="Times New Roman" w:cs="Times New Roman"/>
          <w:b/>
          <w:sz w:val="26"/>
          <w:szCs w:val="26"/>
        </w:rPr>
        <w:t>typowe oraz nietypowe podwójne dno.</w:t>
      </w:r>
      <w:r w:rsidRPr="008B4215">
        <w:rPr>
          <w:rFonts w:eastAsia="Times New Roman" w:cs="Times New Roman"/>
          <w:sz w:val="26"/>
          <w:szCs w:val="26"/>
        </w:rPr>
        <w:t xml:space="preserve">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Typowa formacja podwójnego dna charakteryzuje się tym, że dołki w formacji kształtują się na poziomie identycznym, bądź prawie identycznym.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>Natomiast w przypadku nietypowej formacji podwójnego dna kształtują się one na poziomie zupełnie odmiennym.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 pierwszego numeru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postanowiłem, że będę </w:t>
      </w:r>
      <w:r w:rsidRPr="008B4215">
        <w:rPr>
          <w:rFonts w:eastAsia="Times New Roman" w:cs="Times New Roman"/>
          <w:b/>
          <w:sz w:val="26"/>
          <w:szCs w:val="26"/>
        </w:rPr>
        <w:t>porównywał</w:t>
      </w:r>
      <w:r w:rsidRPr="008B4215">
        <w:rPr>
          <w:rFonts w:eastAsia="Times New Roman" w:cs="Times New Roman"/>
          <w:sz w:val="26"/>
          <w:szCs w:val="26"/>
        </w:rPr>
        <w:t xml:space="preserve"> zachowanie kursu akcji spółki po wprowadzeniu jej do rubryki ,,Wykres do przemyślenia” </w:t>
      </w:r>
      <w:r w:rsidRPr="008B4215">
        <w:rPr>
          <w:rFonts w:eastAsia="Times New Roman" w:cs="Times New Roman"/>
          <w:b/>
          <w:sz w:val="26"/>
          <w:szCs w:val="26"/>
        </w:rPr>
        <w:t xml:space="preserve">z zachowaniem indeksu WIG20.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Mam świadomość, że podejście to może budzić kontrowersje, sprzeciw. Dobrze. Tak być musi.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Postanowiłem odpowiedzieć na pytanie: </w:t>
      </w:r>
      <w:proofErr w:type="gramStart"/>
      <w:r w:rsidRPr="008B4215">
        <w:rPr>
          <w:rFonts w:eastAsia="Times New Roman" w:cs="Times New Roman"/>
          <w:b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b/>
          <w:sz w:val="26"/>
          <w:szCs w:val="26"/>
        </w:rPr>
        <w:t>Ile wynosiła średnia procentowa zmiana kursu akcji spółki po wprowadzeniu jej do rubryki ,,Wykres do przemyślenia” w okresie 12 pierwszych miesięcy po jej wprowadzeniu do tej rubryki ?”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W związku z powyższym postanowiłem odpowiedzieć </w:t>
      </w:r>
      <w:r w:rsidRPr="008B4215">
        <w:rPr>
          <w:rFonts w:eastAsia="Times New Roman" w:cs="Times New Roman"/>
          <w:b/>
          <w:sz w:val="26"/>
          <w:szCs w:val="26"/>
        </w:rPr>
        <w:t>także</w:t>
      </w:r>
      <w:r w:rsidRPr="008B4215">
        <w:rPr>
          <w:rFonts w:eastAsia="Times New Roman" w:cs="Times New Roman"/>
          <w:sz w:val="26"/>
          <w:szCs w:val="26"/>
        </w:rPr>
        <w:t xml:space="preserve"> na pytanie: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>Ile wynosiła średnia procentowa zmiana indeksu WIG 20 w tym okresie ?”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Odpowiedź na te pytania przedstawiłem w tabeli na następnej stronie.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 akcji czterech spółek, których akcje zostały wymienione w pierwszym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05.09.2014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04.09.2015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Immobile</w:t>
            </w:r>
            <w:proofErr w:type="spell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2,04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2,35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+15,2 %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Lena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3,99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4,44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+11,3 %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Netmedia</w:t>
            </w:r>
            <w:proofErr w:type="spellEnd"/>
            <w:proofErr w:type="gram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3,63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5,64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+55,4 %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Rafako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4,25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6,72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+58,1 %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 +35,0 %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2 541,42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2 146,47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 -15,5 %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drugim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12.09.2014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11.09.2015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Boryszew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6,50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5,15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-20,8 %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-20,8 %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2 185,46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-12,5 %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16 września na stronie internetowej </w:t>
      </w:r>
      <w:hyperlink r:id="rId18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15 września do 15 września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15.09.2014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15.09.2015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Erbud</w:t>
            </w:r>
            <w:proofErr w:type="spell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26,50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32,90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24,2 %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24,2 %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2 185,88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-12,2 %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trzecim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19.09.2014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IF Capital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1,32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0,98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2,3 %</w:t>
            </w:r>
          </w:p>
        </w:tc>
      </w:tr>
      <w:tr w:rsidR="00B00B26" w:rsidRPr="008B4215" w:rsidTr="004478E6">
        <w:trPr>
          <w:trHeight w:val="310"/>
        </w:trPr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2,3 %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2 497,38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-13,2 %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25 września na stronie internetowej </w:t>
      </w:r>
      <w:hyperlink r:id="rId19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24 września 2014 roku do 24 września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24.09.2014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18.09.2015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Capital Partners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1,85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2,40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+29,7 %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+29,7 %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2 489,77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2 082,95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-15,8 %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 akcji trzech spółek, których akcje zostały wymienione w czwartym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26.09.2014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25.09.2015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Asseco</w:t>
            </w:r>
            <w:proofErr w:type="spellEnd"/>
            <w:r w:rsidRPr="008B4215">
              <w:t xml:space="preserve"> Poland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45,64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54,70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+19,9 %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>spółki  CD</w:t>
            </w:r>
            <w:proofErr w:type="gramEnd"/>
            <w:r w:rsidRPr="008B4215">
              <w:t xml:space="preserve"> Projekt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16,59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26,80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+61,5 %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Sygnity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17,60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8,82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- 49,9 %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+10,5% 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2484,02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2 168,19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- 15,8 %</w:t>
            </w:r>
          </w:p>
        </w:tc>
      </w:tr>
    </w:tbl>
    <w:p w:rsidR="00B00B26" w:rsidRPr="008B4215" w:rsidRDefault="00B00B26" w:rsidP="00B00B2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piątym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03.10.2014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02.10.2015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244,10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278,15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+13,9 %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+13,9 %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2 444,06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2 036,32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-16,7 %</w:t>
            </w:r>
          </w:p>
        </w:tc>
      </w:tr>
    </w:tbl>
    <w:p w:rsidR="00B00B26" w:rsidRPr="008B4215" w:rsidRDefault="00B00B26" w:rsidP="00B00B2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wymienione w szóstym numerze </w:t>
      </w:r>
      <w:proofErr w:type="gramStart"/>
      <w:r w:rsidRPr="008B4215">
        <w:rPr>
          <w:rFonts w:eastAsia="Times New Roman" w:cs="Times New Roman"/>
          <w:sz w:val="26"/>
          <w:szCs w:val="26"/>
        </w:rPr>
        <w:t>,,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17.10.2014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Tauron</w:t>
            </w:r>
            <w:proofErr w:type="spellEnd"/>
            <w:r w:rsidRPr="008B4215">
              <w:t xml:space="preserve"> Polska Energia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5,21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3,23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-38,0 %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-38,0 %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2 121,94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-11,6 %</w:t>
            </w:r>
          </w:p>
        </w:tc>
      </w:tr>
    </w:tbl>
    <w:p w:rsidR="00B00B26" w:rsidRPr="008B4215" w:rsidRDefault="00B00B26" w:rsidP="00B00B26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22 października na stronie internetowej </w:t>
      </w:r>
      <w:hyperlink r:id="rId20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21 października do 19 czerwca 2015 roku do 21 października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21.10.2014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21.10.2015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Elektrotim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8,70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18,66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+ 114,5 %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Relpol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6,70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-3,3 %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+ 55,6 %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2 423,77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2 105,65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wymienione w siódmym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24.10.2014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23.10.2015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Tesgas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4,32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3,70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-14,4 %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-14,4 %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2 401,13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2 107,43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-13,1 %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wymienione w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31.10.2014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30.10.2015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Enea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16,00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12,83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-19,8 %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-19,8 %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2 463,68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2 060,03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-16,4 %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ascii="Calibri" w:eastAsia="Times New Roman" w:hAnsi="Calibri" w:cs="Times New Roman"/>
          <w:sz w:val="50"/>
          <w:szCs w:val="50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  <w:r w:rsidRPr="008B4215"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  <w:t>Wniosek końcowy z powyższych rozważań brzmi następująco:</w:t>
      </w:r>
    </w:p>
    <w:p w:rsidR="00B00B26" w:rsidRPr="008B4215" w:rsidRDefault="00B00B26" w:rsidP="00B00B2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6"/>
          <w:szCs w:val="36"/>
          <w:u w:val="single"/>
          <w:lang w:eastAsia="pl-PL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</w:rPr>
      </w:pPr>
      <w:r w:rsidRPr="008B4215">
        <w:rPr>
          <w:rFonts w:ascii="Calibri" w:eastAsia="Times New Roman" w:hAnsi="Calibri" w:cs="Times New Roman"/>
          <w:color w:val="000000"/>
          <w:sz w:val="44"/>
          <w:szCs w:val="44"/>
          <w:lang w:eastAsia="pl-PL"/>
        </w:rPr>
        <w:t xml:space="preserve">Średnia procentowa zmiana kursu akcji spółki po wprowadzeniu jej do rubryki </w:t>
      </w:r>
      <w:proofErr w:type="gramStart"/>
      <w:r w:rsidRPr="008B4215">
        <w:rPr>
          <w:rFonts w:ascii="Calibri" w:eastAsia="Times New Roman" w:hAnsi="Calibri" w:cs="Times New Roman"/>
          <w:color w:val="FF0000"/>
          <w:sz w:val="44"/>
          <w:szCs w:val="44"/>
          <w:lang w:eastAsia="pl-PL"/>
        </w:rPr>
        <w:t>,,</w:t>
      </w:r>
      <w:proofErr w:type="gramEnd"/>
      <w:r w:rsidRPr="008B4215">
        <w:rPr>
          <w:rFonts w:ascii="Calibri" w:eastAsia="Times New Roman" w:hAnsi="Calibri" w:cs="Times New Roman"/>
          <w:color w:val="FF0000"/>
          <w:sz w:val="44"/>
          <w:szCs w:val="44"/>
          <w:lang w:eastAsia="pl-PL"/>
        </w:rPr>
        <w:t>Wykres do przemyślenia”</w:t>
      </w:r>
      <w:r w:rsidRPr="008B4215">
        <w:rPr>
          <w:rFonts w:ascii="Calibri" w:eastAsia="Times New Roman" w:hAnsi="Calibri" w:cs="Times New Roman"/>
          <w:color w:val="000000"/>
          <w:sz w:val="44"/>
          <w:szCs w:val="44"/>
          <w:lang w:eastAsia="pl-PL"/>
        </w:rPr>
        <w:t xml:space="preserve"> w okresie 12 pierwszych miesięcy po jej wprowadzeniu do tej rubryki wynosiła </w:t>
      </w:r>
      <w:r w:rsidRPr="008B4215">
        <w:rPr>
          <w:rFonts w:ascii="Calibri" w:eastAsia="Times New Roman" w:hAnsi="Calibri" w:cs="Times New Roman"/>
          <w:color w:val="FF0000"/>
          <w:sz w:val="44"/>
          <w:szCs w:val="44"/>
          <w:lang w:eastAsia="pl-PL"/>
        </w:rPr>
        <w:t xml:space="preserve">plus 15,3 %. </w:t>
      </w:r>
      <w:r w:rsidRPr="008B4215">
        <w:rPr>
          <w:rFonts w:ascii="Calibri" w:eastAsia="Times New Roman" w:hAnsi="Calibri" w:cs="Times New Roman"/>
          <w:color w:val="000000" w:themeColor="text1"/>
          <w:sz w:val="44"/>
          <w:szCs w:val="44"/>
          <w:lang w:eastAsia="pl-PL"/>
        </w:rPr>
        <w:t xml:space="preserve">Średnia procentowa zmiana indeksu </w:t>
      </w:r>
      <w:r w:rsidRPr="008B4215"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</w:rPr>
        <w:t xml:space="preserve">WIG20 </w:t>
      </w:r>
      <w:r w:rsidRPr="008B4215">
        <w:rPr>
          <w:rFonts w:ascii="Calibri" w:eastAsia="Times New Roman" w:hAnsi="Calibri" w:cs="Times New Roman"/>
          <w:color w:val="000000" w:themeColor="text1"/>
          <w:sz w:val="44"/>
          <w:szCs w:val="44"/>
          <w:lang w:eastAsia="pl-PL"/>
        </w:rPr>
        <w:t xml:space="preserve">w tym okresie wynosiła </w:t>
      </w:r>
      <w:r w:rsidRPr="008B4215"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</w:rPr>
        <w:t xml:space="preserve">minus 14,5 %. </w:t>
      </w:r>
    </w:p>
    <w:p w:rsidR="00B00B26" w:rsidRPr="008B4215" w:rsidRDefault="00B00B26" w:rsidP="00B00B26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96"/>
          <w:szCs w:val="96"/>
        </w:rPr>
      </w:pPr>
      <w:r w:rsidRPr="008B4215">
        <w:rPr>
          <w:rFonts w:eastAsia="Times New Roman" w:cs="Times New Roman"/>
          <w:b/>
          <w:sz w:val="96"/>
          <w:szCs w:val="96"/>
        </w:rPr>
        <w:lastRenderedPageBreak/>
        <w:t xml:space="preserve">Spółki dla których nie można jeszcze obliczyć procentowej zmiany kursu akcji po wprowadzeniu jej do rubryki </w:t>
      </w:r>
      <w:proofErr w:type="gramStart"/>
      <w:r w:rsidRPr="008B4215">
        <w:rPr>
          <w:rFonts w:eastAsia="Times New Roman" w:cs="Times New Roman"/>
          <w:b/>
          <w:sz w:val="96"/>
          <w:szCs w:val="96"/>
        </w:rPr>
        <w:t>,,</w:t>
      </w:r>
      <w:proofErr w:type="gramEnd"/>
      <w:r w:rsidRPr="008B4215">
        <w:rPr>
          <w:rFonts w:eastAsia="Times New Roman" w:cs="Times New Roman"/>
          <w:b/>
          <w:sz w:val="96"/>
          <w:szCs w:val="96"/>
        </w:rPr>
        <w:t xml:space="preserve">Wykres do przemyślenia” w okresie 12 pierwszych miesięcy po jej wprowadzeniu do tej rubryki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B00B26" w:rsidRPr="008B4215" w:rsidRDefault="00B00B26" w:rsidP="00B00B2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</w:rPr>
      </w:pP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Obliczenia według stanu na </w:t>
      </w:r>
      <w:r>
        <w:rPr>
          <w:rFonts w:eastAsia="Times New Roman" w:cs="Times New Roman"/>
          <w:b/>
          <w:sz w:val="32"/>
          <w:szCs w:val="32"/>
          <w:u w:val="single"/>
        </w:rPr>
        <w:t>20</w:t>
      </w:r>
      <w:r w:rsidRPr="008B4215">
        <w:rPr>
          <w:rFonts w:eastAsia="Times New Roman" w:cs="Times New Roman"/>
          <w:b/>
          <w:sz w:val="32"/>
          <w:szCs w:val="32"/>
          <w:u w:val="single"/>
        </w:rPr>
        <w:t xml:space="preserve"> listopada 2015 roku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wymienione w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1 grudnia 2014 roku w rubryce ,,Wykres do przemyślenia” w okresie od 28 listopada 2014 roku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28.11.2014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Procad</w:t>
            </w:r>
            <w:proofErr w:type="spell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1,06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1,8</w:t>
            </w:r>
            <w:r>
              <w:t>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75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75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2 416,93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6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 grudnia na stronie internetowej </w:t>
      </w:r>
      <w:hyperlink r:id="rId21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1 grudnia 2014 roku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01.12.2014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PKO BP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37,65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27,</w:t>
            </w:r>
            <w:r>
              <w:t>88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-2</w:t>
            </w:r>
            <w:r>
              <w:t>5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-2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6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wymienione w numerze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Raportu Tygodniowego” z 15 grudnia 2014 roku w rubryce ,,Wykres do przemyślenia” w okresie od 12 grudnia 2014 roku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12.12.2014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Mercor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8,14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9,</w:t>
            </w:r>
            <w:r>
              <w:t>19</w:t>
            </w:r>
            <w:r w:rsidRPr="008B4215">
              <w:t xml:space="preserve">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+1</w:t>
            </w:r>
            <w:r>
              <w:t>2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+1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2 360,00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-  1</w:t>
            </w:r>
            <w:r>
              <w:t>4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2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1 grudnia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30.12.2014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Comarch</w:t>
            </w:r>
            <w:proofErr w:type="spell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115,50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16</w:t>
            </w:r>
            <w:r w:rsidRPr="008B4215">
              <w:t>,50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+0,</w:t>
            </w:r>
            <w:r>
              <w:t>9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+0,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2 315,94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2</w:t>
            </w:r>
            <w:r w:rsidRPr="008B4215">
              <w:t>,</w:t>
            </w:r>
            <w:r>
              <w:t>7</w:t>
            </w:r>
            <w:r w:rsidRPr="008B4215">
              <w:t xml:space="preserve"> 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12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3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stycznia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09.01.2015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Muza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3,34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</w:t>
            </w:r>
            <w:r w:rsidRPr="008B4215">
              <w:t>,</w:t>
            </w:r>
            <w:r>
              <w:t>99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10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5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10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6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ceny akcji spółki, której akcje zostały umieszczone 30 stycznia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4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29 stycznia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29.01.2015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Lubawa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1,11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0</w:t>
            </w:r>
            <w:r w:rsidRPr="008B4215">
              <w:t>,</w:t>
            </w:r>
            <w:r>
              <w:t>93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16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2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16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00B26" w:rsidRPr="00D94362" w:rsidRDefault="00B00B26" w:rsidP="004478E6">
            <w:pPr>
              <w:jc w:val="center"/>
              <w:rPr>
                <w:rFonts w:eastAsiaTheme="minorEastAsia"/>
                <w:b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6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10 lutego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5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9 lutego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09.02.2015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Atrem</w:t>
            </w:r>
            <w:proofErr w:type="spell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4,50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4,</w:t>
            </w:r>
            <w:r>
              <w:t>25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-5,6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-5,6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2 417,11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3</w:t>
            </w:r>
            <w:r w:rsidRPr="008B4215">
              <w:t>,</w:t>
            </w:r>
            <w:r>
              <w:t>6</w:t>
            </w:r>
            <w:r w:rsidRPr="008B4215">
              <w:t>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  <w:b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3 marca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6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marca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02.03.2015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Mostostal Warszawa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7,57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14,</w:t>
            </w:r>
            <w:r>
              <w:t>29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+</w:t>
            </w:r>
            <w:r>
              <w:t>88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+</w:t>
            </w:r>
            <w:r>
              <w:rPr>
                <w:b/>
                <w:color w:val="FF0000"/>
              </w:rPr>
              <w:t>88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2 358,25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4</w:t>
            </w:r>
            <w:r w:rsidRPr="008B4215">
              <w:t>,</w:t>
            </w:r>
            <w:r>
              <w:t>3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  <w:b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9 kwietnia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7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8 kwietnia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08.04.2015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Ceramika Nowa Gala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1,25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</w:t>
            </w:r>
            <w:r>
              <w:t>34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7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2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2 424,82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-1</w:t>
            </w:r>
            <w:r>
              <w:t>6</w:t>
            </w:r>
            <w:r w:rsidRPr="008B4215">
              <w:t>,</w:t>
            </w:r>
            <w:r>
              <w:t>5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  <w:sz w:val="34"/>
          <w:szCs w:val="34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5 maja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28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4 maja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04.05.2015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Polnord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11,10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11,</w:t>
            </w:r>
            <w:r>
              <w:t>30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1</w:t>
            </w:r>
            <w:r w:rsidRPr="008B4215">
              <w:t>,</w:t>
            </w:r>
            <w:r>
              <w:t>8</w:t>
            </w:r>
            <w:r w:rsidRPr="008B4215">
              <w:t xml:space="preserve"> 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2 523,09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19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lastRenderedPageBreak/>
        <w:t xml:space="preserve">Tabela: Procentowa zmiana cen akcji trzech spółek, których akcje zostały umieszczone w dniu 1 lipca na stronie internetowej </w:t>
      </w:r>
      <w:hyperlink r:id="rId29" w:history="1">
        <w:r w:rsidRPr="008B4215">
          <w:rPr>
            <w:rFonts w:eastAsia="Times New Roman" w:cs="Times New Roman"/>
            <w:color w:val="0000FF" w:themeColor="hyperlink"/>
            <w:u w:val="single"/>
          </w:rPr>
          <w:t>http://analizy-rynkowe.pl/</w:t>
        </w:r>
      </w:hyperlink>
      <w:r w:rsidRPr="008B4215">
        <w:rPr>
          <w:rFonts w:eastAsia="Times New Roman" w:cs="Times New Roman"/>
        </w:rPr>
        <w:t xml:space="preserve"> w rubryce </w:t>
      </w:r>
      <w:proofErr w:type="gramStart"/>
      <w:r w:rsidRPr="008B4215">
        <w:rPr>
          <w:rFonts w:eastAsia="Times New Roman" w:cs="Times New Roman"/>
        </w:rPr>
        <w:t>,,</w:t>
      </w:r>
      <w:proofErr w:type="gramEnd"/>
      <w:r w:rsidRPr="008B4215">
        <w:rPr>
          <w:rFonts w:eastAsia="Times New Roman" w:cs="Times New Roman"/>
        </w:rPr>
        <w:t xml:space="preserve">Wykres do przemyślenia” w okresie od 30 czerwca 2015 roku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30.06.2015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TIM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9,49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9,</w:t>
            </w:r>
            <w:r>
              <w:t>38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 </w:t>
            </w:r>
            <w:r>
              <w:t>-1,2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</w:t>
            </w:r>
            <w:proofErr w:type="gramStart"/>
            <w:r w:rsidRPr="008B4215">
              <w:t xml:space="preserve">spółki  </w:t>
            </w:r>
            <w:proofErr w:type="spellStart"/>
            <w:r w:rsidRPr="008B4215">
              <w:t>Unima</w:t>
            </w:r>
            <w:proofErr w:type="spellEnd"/>
            <w:proofErr w:type="gramEnd"/>
            <w:r w:rsidRPr="008B4215">
              <w:t xml:space="preserve"> 2000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2,58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</w:t>
            </w:r>
            <w:r>
              <w:t>17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-</w:t>
            </w:r>
            <w:r>
              <w:t>15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Variant</w:t>
            </w:r>
            <w:proofErr w:type="spellEnd"/>
            <w:r w:rsidRPr="008B4215">
              <w:t xml:space="preserve">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1,77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1,68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   -5,1  %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 -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2317,84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-1</w:t>
            </w:r>
            <w:r>
              <w:t>2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21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30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21 lipca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21.07.2015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Ropczyce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20,80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20,</w:t>
            </w:r>
            <w:r>
              <w:t>25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-2</w:t>
            </w:r>
            <w:r w:rsidRPr="008B4215">
              <w:t>,</w:t>
            </w:r>
            <w:r>
              <w:t>6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6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2 444,63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9</w:t>
            </w:r>
            <w:r w:rsidRPr="008B4215">
              <w:t>,</w:t>
            </w:r>
            <w:r>
              <w:t>9</w:t>
            </w:r>
            <w:r w:rsidRPr="008B4215">
              <w:t xml:space="preserve"> 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31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22 lipca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22.07.2015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Eurocash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41,26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5</w:t>
            </w:r>
            <w:r>
              <w:t>3</w:t>
            </w:r>
            <w:r w:rsidRPr="008B4215">
              <w:t>,</w:t>
            </w:r>
            <w:r>
              <w:t>65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3</w:t>
            </w:r>
            <w:r>
              <w:t>0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2 185,83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7</w:t>
            </w:r>
            <w:r w:rsidRPr="008B4215">
              <w:t>,5 %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</w:rPr>
        <w:t>na  stronie</w:t>
      </w:r>
      <w:proofErr w:type="gramEnd"/>
      <w:r w:rsidRPr="008B4215">
        <w:rPr>
          <w:rFonts w:eastAsia="Times New Roman" w:cs="Times New Roman"/>
        </w:rPr>
        <w:t xml:space="preserve"> internetowej </w:t>
      </w:r>
      <w:hyperlink r:id="rId32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w </w:t>
      </w:r>
      <w:proofErr w:type="gramStart"/>
      <w:r w:rsidRPr="008B4215">
        <w:rPr>
          <w:rFonts w:eastAsia="Times New Roman" w:cs="Times New Roman"/>
        </w:rPr>
        <w:t>rubryce  ,,Wykres</w:t>
      </w:r>
      <w:proofErr w:type="gramEnd"/>
      <w:r w:rsidRPr="008B4215">
        <w:rPr>
          <w:rFonts w:eastAsia="Times New Roman" w:cs="Times New Roman"/>
        </w:rPr>
        <w:t xml:space="preserve"> do przemyślenia” w okresie od 2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02.09.2015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Agora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11,20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1</w:t>
            </w:r>
            <w:r>
              <w:t>3</w:t>
            </w:r>
            <w:r w:rsidRPr="008B4215">
              <w:t>,</w:t>
            </w:r>
            <w:r>
              <w:t>15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1</w:t>
            </w:r>
            <w:r w:rsidRPr="008B4215">
              <w:t>7</w:t>
            </w:r>
            <w:r>
              <w:t>,4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1</w:t>
            </w:r>
            <w:r w:rsidRPr="008B4215">
              <w:rPr>
                <w:b/>
                <w:color w:val="FF0000"/>
              </w:rPr>
              <w:t>7,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>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2 107,58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4</w:t>
            </w:r>
            <w:r w:rsidRPr="008B4215">
              <w:t>,</w:t>
            </w:r>
            <w:r>
              <w:t>1</w:t>
            </w:r>
            <w:r w:rsidRPr="008B4215">
              <w:t>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23 lipca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3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do </w:t>
      </w:r>
      <w:r>
        <w:rPr>
          <w:rFonts w:eastAsia="Times New Roman" w:cs="Times New Roman"/>
        </w:rPr>
        <w:t>20</w:t>
      </w:r>
      <w:r w:rsidRPr="008B4215">
        <w:rPr>
          <w:rFonts w:eastAsia="Times New Roman" w:cs="Times New Roman"/>
        </w:rPr>
        <w:t xml:space="preserve"> listopada 2015 roku </w:t>
      </w:r>
      <w:r w:rsidRPr="008B4215">
        <w:rPr>
          <w:rFonts w:eastAsia="Times New Roman" w:cs="Times New Roman"/>
          <w:sz w:val="26"/>
          <w:szCs w:val="26"/>
        </w:rPr>
        <w:t xml:space="preserve">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03.09.2015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BZWBK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309,00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</w:t>
            </w:r>
            <w:r>
              <w:t>78</w:t>
            </w:r>
            <w:r w:rsidRPr="008B4215">
              <w:t>,</w:t>
            </w:r>
            <w:r>
              <w:t>95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9</w:t>
            </w:r>
            <w:r w:rsidRPr="008B4215">
              <w:t>,</w:t>
            </w:r>
            <w:r>
              <w:t>7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-</w:t>
            </w:r>
            <w:r>
              <w:rPr>
                <w:b/>
                <w:color w:val="FF0000"/>
              </w:rPr>
              <w:t>9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2 155,07 pkt. </w:t>
            </w:r>
          </w:p>
        </w:tc>
        <w:tc>
          <w:tcPr>
            <w:tcW w:w="2303" w:type="dxa"/>
            <w:hideMark/>
          </w:tcPr>
          <w:p w:rsidR="00B00B26" w:rsidRPr="00D94362" w:rsidRDefault="00B00B26" w:rsidP="004478E6">
            <w:pPr>
              <w:jc w:val="center"/>
              <w:rPr>
                <w:rFonts w:eastAsiaTheme="minorEastAsia"/>
                <w:b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-</w:t>
            </w:r>
            <w:r>
              <w:t>6</w:t>
            </w:r>
            <w:r w:rsidRPr="008B4215">
              <w:t>,</w:t>
            </w:r>
            <w:r>
              <w:t>2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lastRenderedPageBreak/>
        <w:t xml:space="preserve">Tabela: Procentowa zmiana ceny akcji spółki, której akcje zostały umieszczone 9 października na stronie internetowej </w:t>
      </w:r>
      <w:hyperlink r:id="rId34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8 października do </w:t>
      </w:r>
      <w:r>
        <w:rPr>
          <w:rFonts w:eastAsia="Times New Roman" w:cs="Times New Roman"/>
          <w:sz w:val="26"/>
          <w:szCs w:val="26"/>
        </w:rPr>
        <w:t>20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Theme="minorEastAsia" w:cs="Times New Roman"/>
          <w:sz w:val="26"/>
          <w:szCs w:val="2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08.10.2015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</w:t>
            </w:r>
            <w:proofErr w:type="spellStart"/>
            <w:r w:rsidRPr="008B4215">
              <w:t>Netmedia</w:t>
            </w:r>
            <w:proofErr w:type="spellEnd"/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5,69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5,</w:t>
            </w:r>
            <w:r>
              <w:t>10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- </w:t>
            </w:r>
            <w:r>
              <w:t>10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t>Akcja spółki Stalprodukt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312,70 zł.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17</w:t>
            </w:r>
            <w:r w:rsidRPr="008B4215">
              <w:rPr>
                <w:color w:val="000000" w:themeColor="text1"/>
              </w:rPr>
              <w:t xml:space="preserve">,00 zł. 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color w:val="000000" w:themeColor="text1"/>
              </w:rPr>
            </w:pPr>
            <w:r w:rsidRPr="008B4215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1</w:t>
            </w:r>
            <w:r w:rsidRPr="008B421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Pr="008B4215">
              <w:rPr>
                <w:color w:val="000000" w:themeColor="text1"/>
              </w:rPr>
              <w:t xml:space="preserve"> 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5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2 126,48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-</w:t>
            </w:r>
            <w:r>
              <w:t>4</w:t>
            </w:r>
            <w:r w:rsidRPr="008B4215">
              <w:t>,</w:t>
            </w:r>
            <w:r>
              <w:t>9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14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5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do </w:t>
      </w:r>
      <w:r>
        <w:rPr>
          <w:rFonts w:eastAsia="Times New Roman" w:cs="Times New Roman"/>
          <w:sz w:val="26"/>
          <w:szCs w:val="26"/>
        </w:rPr>
        <w:t>20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13.10.2015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Cyfrowy Polsat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24,93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25,</w:t>
            </w:r>
            <w:r>
              <w:t>68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</w:t>
            </w:r>
            <w:r>
              <w:t>3</w:t>
            </w:r>
            <w:r w:rsidRPr="008B4215">
              <w:t>,</w:t>
            </w:r>
            <w:r>
              <w:t>0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0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2 123,43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-</w:t>
            </w:r>
            <w:r>
              <w:t>4</w:t>
            </w:r>
            <w:r w:rsidRPr="008B4215">
              <w:t>,</w:t>
            </w:r>
            <w:r>
              <w:t>8</w:t>
            </w:r>
            <w:r w:rsidRPr="008B4215"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46"/>
          <w:szCs w:val="4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17 października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6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13 października do </w:t>
      </w:r>
      <w:r>
        <w:rPr>
          <w:rFonts w:eastAsia="Times New Roman" w:cs="Times New Roman"/>
          <w:sz w:val="26"/>
          <w:szCs w:val="26"/>
        </w:rPr>
        <w:t>20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16.10.2015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Akcja spółki Dębica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85,40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8</w:t>
            </w:r>
            <w:r>
              <w:t>8</w:t>
            </w:r>
            <w:r w:rsidRPr="008B4215">
              <w:t>,</w:t>
            </w:r>
            <w:r>
              <w:t>16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</w:t>
            </w:r>
            <w:r>
              <w:t>3</w:t>
            </w:r>
            <w:r w:rsidRPr="008B4215">
              <w:t>,2 %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3</w:t>
            </w:r>
            <w:r w:rsidRPr="008B4215">
              <w:rPr>
                <w:b/>
                <w:color w:val="FF0000"/>
              </w:rPr>
              <w:t>,2 %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2 121,94 pkt. 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4</w:t>
            </w:r>
            <w:r w:rsidRPr="008B4215">
              <w:rPr>
                <w:rFonts w:eastAsiaTheme="minorEastAsia"/>
              </w:rPr>
              <w:t>,7 %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46"/>
          <w:szCs w:val="4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8B4215">
        <w:rPr>
          <w:rFonts w:eastAsia="Times New Roman" w:cs="Times New Roman"/>
          <w:sz w:val="26"/>
          <w:szCs w:val="26"/>
        </w:rPr>
        <w:t xml:space="preserve">Tabela: Procentowa zmiana ceny akcji spółki, której akcje zostały umieszczone 4 listopada 2015 roku </w:t>
      </w:r>
      <w:proofErr w:type="gramStart"/>
      <w:r w:rsidRPr="008B4215">
        <w:rPr>
          <w:rFonts w:eastAsia="Times New Roman" w:cs="Times New Roman"/>
          <w:sz w:val="26"/>
          <w:szCs w:val="26"/>
        </w:rPr>
        <w:t>na  stronie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internetowej </w:t>
      </w:r>
      <w:hyperlink r:id="rId37" w:history="1">
        <w:r w:rsidRPr="008B4215">
          <w:rPr>
            <w:rFonts w:eastAsia="Times New Roman" w:cs="Times New Roman"/>
            <w:color w:val="0000FF" w:themeColor="hyperlink"/>
            <w:sz w:val="26"/>
            <w:szCs w:val="26"/>
            <w:u w:val="single"/>
          </w:rPr>
          <w:t>www.analizy-rynkowe.pl</w:t>
        </w:r>
      </w:hyperlink>
      <w:r w:rsidRPr="008B4215">
        <w:rPr>
          <w:rFonts w:eastAsia="Times New Roman" w:cs="Times New Roman"/>
          <w:sz w:val="26"/>
          <w:szCs w:val="26"/>
        </w:rPr>
        <w:t xml:space="preserve"> w </w:t>
      </w:r>
      <w:proofErr w:type="gramStart"/>
      <w:r w:rsidRPr="008B4215">
        <w:rPr>
          <w:rFonts w:eastAsia="Times New Roman" w:cs="Times New Roman"/>
          <w:sz w:val="26"/>
          <w:szCs w:val="26"/>
        </w:rPr>
        <w:t>rubryce  ,,Wykres</w:t>
      </w:r>
      <w:proofErr w:type="gramEnd"/>
      <w:r w:rsidRPr="008B4215">
        <w:rPr>
          <w:rFonts w:eastAsia="Times New Roman" w:cs="Times New Roman"/>
          <w:sz w:val="26"/>
          <w:szCs w:val="26"/>
        </w:rPr>
        <w:t xml:space="preserve"> do przemyślenia” w okresie od 3 do </w:t>
      </w:r>
      <w:r>
        <w:rPr>
          <w:rFonts w:eastAsia="Times New Roman" w:cs="Times New Roman"/>
          <w:sz w:val="26"/>
          <w:szCs w:val="26"/>
        </w:rPr>
        <w:t>20</w:t>
      </w:r>
      <w:r w:rsidRPr="008B4215">
        <w:rPr>
          <w:rFonts w:eastAsia="Times New Roman" w:cs="Times New Roman"/>
          <w:sz w:val="26"/>
          <w:szCs w:val="26"/>
        </w:rPr>
        <w:t xml:space="preserve"> listopada 2015 roku oraz procentowa zmiana indeksu WIG 20 w tym okresie.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Instrument finansowy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Poziom – 03.11.2015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</w:rPr>
            </w:pPr>
            <w:r w:rsidRPr="008B4215">
              <w:t xml:space="preserve">Poziom – </w:t>
            </w:r>
            <w:r>
              <w:t>20</w:t>
            </w:r>
            <w:r w:rsidRPr="008B4215">
              <w:t>.11.2015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Zmiana (w %)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Akcja spółki Alta 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2,19 zł.</w:t>
            </w:r>
          </w:p>
        </w:tc>
        <w:tc>
          <w:tcPr>
            <w:tcW w:w="2303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2,7</w:t>
            </w:r>
            <w:r>
              <w:t>9</w:t>
            </w:r>
            <w:r w:rsidRPr="008B4215">
              <w:t xml:space="preserve"> zł.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  2</w:t>
            </w:r>
            <w:r>
              <w:t>7</w:t>
            </w:r>
            <w:r w:rsidRPr="008B4215">
              <w:t>,</w:t>
            </w:r>
            <w:r>
              <w:t>4</w:t>
            </w:r>
            <w:r w:rsidRPr="008B4215"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8B4215">
              <w:rPr>
                <w:b/>
                <w:color w:val="FF0000"/>
              </w:rPr>
              <w:t xml:space="preserve">  2</w:t>
            </w:r>
            <w:r>
              <w:rPr>
                <w:b/>
                <w:color w:val="FF0000"/>
              </w:rPr>
              <w:t>7</w:t>
            </w:r>
            <w:r w:rsidRPr="008B421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4</w:t>
            </w:r>
            <w:r w:rsidRPr="008B4215">
              <w:rPr>
                <w:b/>
                <w:color w:val="FF0000"/>
              </w:rPr>
              <w:t xml:space="preserve"> %</w:t>
            </w:r>
          </w:p>
        </w:tc>
      </w:tr>
      <w:tr w:rsidR="00B00B26" w:rsidRPr="008B4215" w:rsidTr="004478E6">
        <w:tc>
          <w:tcPr>
            <w:tcW w:w="34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>WIG 20</w:t>
            </w:r>
          </w:p>
        </w:tc>
        <w:tc>
          <w:tcPr>
            <w:tcW w:w="2302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t xml:space="preserve">2 061,38 pkt. </w:t>
            </w:r>
          </w:p>
        </w:tc>
        <w:tc>
          <w:tcPr>
            <w:tcW w:w="2303" w:type="dxa"/>
            <w:hideMark/>
          </w:tcPr>
          <w:p w:rsidR="00B00B26" w:rsidRPr="00D94362" w:rsidRDefault="00B00B26" w:rsidP="004478E6">
            <w:pPr>
              <w:jc w:val="center"/>
              <w:rPr>
                <w:rFonts w:eastAsiaTheme="minorEastAsia"/>
                <w:b/>
              </w:rPr>
            </w:pPr>
            <w:r>
              <w:t>2 021</w:t>
            </w:r>
            <w:r w:rsidRPr="008B4215">
              <w:t>,</w:t>
            </w:r>
            <w:r>
              <w:t>91</w:t>
            </w:r>
            <w:r w:rsidRPr="008B4215">
              <w:t xml:space="preserve"> pkt.</w:t>
            </w:r>
          </w:p>
        </w:tc>
        <w:tc>
          <w:tcPr>
            <w:tcW w:w="1134" w:type="dxa"/>
            <w:hideMark/>
          </w:tcPr>
          <w:p w:rsidR="00B00B26" w:rsidRPr="008B4215" w:rsidRDefault="00B00B26" w:rsidP="004478E6">
            <w:pPr>
              <w:jc w:val="center"/>
              <w:rPr>
                <w:rFonts w:eastAsiaTheme="minorEastAsia"/>
              </w:rPr>
            </w:pPr>
            <w:r w:rsidRPr="008B4215">
              <w:rPr>
                <w:rFonts w:eastAsiaTheme="minorEastAsia"/>
              </w:rPr>
              <w:t xml:space="preserve"> -</w:t>
            </w:r>
            <w:r>
              <w:rPr>
                <w:rFonts w:eastAsiaTheme="minorEastAsia"/>
              </w:rPr>
              <w:t>1</w:t>
            </w:r>
            <w:r w:rsidRPr="008B4215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9</w:t>
            </w:r>
            <w:r w:rsidRPr="008B4215">
              <w:rPr>
                <w:rFonts w:eastAsiaTheme="minorEastAsia"/>
              </w:rPr>
              <w:t xml:space="preserve"> %</w:t>
            </w:r>
          </w:p>
        </w:tc>
      </w:tr>
    </w:tbl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40"/>
          <w:szCs w:val="40"/>
          <w:u w:val="single"/>
        </w:rPr>
      </w:pPr>
      <w:r w:rsidRPr="008B4215">
        <w:rPr>
          <w:rFonts w:eastAsia="Times New Roman" w:cs="Times New Roman"/>
          <w:sz w:val="40"/>
          <w:szCs w:val="40"/>
        </w:rPr>
        <w:lastRenderedPageBreak/>
        <w:t xml:space="preserve">Spółek, </w:t>
      </w:r>
      <w:r w:rsidRPr="008B4215">
        <w:rPr>
          <w:rFonts w:eastAsia="Times New Roman" w:cs="Times New Roman"/>
          <w:sz w:val="40"/>
          <w:szCs w:val="40"/>
          <w:u w:val="single"/>
        </w:rPr>
        <w:t>dla których nie można jeszcze obliczyć</w:t>
      </w:r>
      <w:r w:rsidRPr="008B4215">
        <w:rPr>
          <w:rFonts w:eastAsia="Times New Roman" w:cs="Times New Roman"/>
          <w:sz w:val="40"/>
          <w:szCs w:val="40"/>
        </w:rPr>
        <w:t xml:space="preserve"> procentowej zmiany kursu akcji po wprowadzeniu jej do rubryki </w:t>
      </w:r>
      <w:proofErr w:type="gramStart"/>
      <w:r w:rsidRPr="008B4215">
        <w:rPr>
          <w:rFonts w:eastAsia="Times New Roman" w:cs="Times New Roman"/>
          <w:sz w:val="40"/>
          <w:szCs w:val="40"/>
        </w:rPr>
        <w:t>,,</w:t>
      </w:r>
      <w:proofErr w:type="gramEnd"/>
      <w:r w:rsidRPr="008B4215">
        <w:rPr>
          <w:rFonts w:eastAsia="Times New Roman" w:cs="Times New Roman"/>
          <w:sz w:val="40"/>
          <w:szCs w:val="40"/>
        </w:rPr>
        <w:t xml:space="preserve">Wykres do przemyślenia” w okresie 12 pierwszych miesięcy po jej wprowadzeniu do tej rubryki </w:t>
      </w:r>
      <w:r w:rsidRPr="008B4215">
        <w:rPr>
          <w:rFonts w:eastAsia="Times New Roman" w:cs="Times New Roman"/>
          <w:sz w:val="40"/>
          <w:szCs w:val="40"/>
          <w:u w:val="single"/>
        </w:rPr>
        <w:t xml:space="preserve">jest </w:t>
      </w:r>
      <w:r w:rsidRPr="008B4215">
        <w:rPr>
          <w:rFonts w:eastAsia="Times New Roman" w:cs="Times New Roman"/>
          <w:b/>
          <w:sz w:val="40"/>
          <w:szCs w:val="40"/>
          <w:u w:val="single"/>
        </w:rPr>
        <w:t>22.</w:t>
      </w:r>
      <w:r w:rsidRPr="008B4215">
        <w:rPr>
          <w:rFonts w:eastAsia="Times New Roman" w:cs="Times New Roman"/>
          <w:sz w:val="40"/>
          <w:szCs w:val="40"/>
          <w:u w:val="single"/>
        </w:rPr>
        <w:t xml:space="preserve">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40"/>
          <w:szCs w:val="40"/>
          <w:u w:val="single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40"/>
          <w:szCs w:val="40"/>
        </w:rPr>
      </w:pPr>
      <w:r w:rsidRPr="008B4215">
        <w:rPr>
          <w:rFonts w:eastAsia="Times New Roman" w:cs="Times New Roman"/>
          <w:sz w:val="40"/>
          <w:szCs w:val="40"/>
        </w:rPr>
        <w:t xml:space="preserve">W odniesieniu do tej grupy </w:t>
      </w:r>
      <w:r w:rsidRPr="008B4215">
        <w:rPr>
          <w:rFonts w:eastAsia="Times New Roman" w:cs="Times New Roman"/>
          <w:b/>
          <w:sz w:val="40"/>
          <w:szCs w:val="40"/>
          <w:u w:val="single"/>
        </w:rPr>
        <w:t>22 spółek</w:t>
      </w:r>
      <w:r w:rsidRPr="008B4215">
        <w:rPr>
          <w:rFonts w:eastAsia="Times New Roman" w:cs="Times New Roman"/>
          <w:sz w:val="40"/>
          <w:szCs w:val="40"/>
        </w:rPr>
        <w:t xml:space="preserve"> można sformułować następujący wniosek: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46"/>
          <w:szCs w:val="46"/>
          <w:u w:val="single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50"/>
          <w:szCs w:val="50"/>
          <w:u w:val="single"/>
        </w:rPr>
      </w:pPr>
      <w:r w:rsidRPr="008B4215">
        <w:rPr>
          <w:rFonts w:eastAsia="Times New Roman" w:cs="Times New Roman"/>
          <w:sz w:val="50"/>
          <w:szCs w:val="50"/>
          <w:u w:val="single"/>
        </w:rPr>
        <w:t xml:space="preserve">Wniosek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64"/>
          <w:szCs w:val="64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56"/>
          <w:szCs w:val="56"/>
        </w:rPr>
      </w:pPr>
      <w:r w:rsidRPr="008B4215">
        <w:rPr>
          <w:rFonts w:eastAsia="Times New Roman" w:cs="Times New Roman"/>
          <w:sz w:val="56"/>
          <w:szCs w:val="56"/>
        </w:rPr>
        <w:t xml:space="preserve">Warto zauważyć, że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56"/>
          <w:szCs w:val="5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56"/>
          <w:szCs w:val="56"/>
        </w:rPr>
      </w:pPr>
      <w:r w:rsidRPr="008B4215">
        <w:rPr>
          <w:rFonts w:eastAsia="Times New Roman" w:cs="Times New Roman"/>
          <w:b/>
          <w:color w:val="000000" w:themeColor="text1"/>
          <w:sz w:val="56"/>
          <w:szCs w:val="56"/>
        </w:rPr>
        <w:t xml:space="preserve">spośród </w:t>
      </w:r>
      <w:r w:rsidRPr="008B4215">
        <w:rPr>
          <w:rFonts w:eastAsia="Times New Roman" w:cs="Times New Roman"/>
          <w:b/>
          <w:color w:val="000000" w:themeColor="text1"/>
          <w:sz w:val="56"/>
          <w:szCs w:val="56"/>
          <w:u w:val="single"/>
        </w:rPr>
        <w:t xml:space="preserve">22 </w:t>
      </w:r>
      <w:proofErr w:type="gramStart"/>
      <w:r w:rsidRPr="008B4215">
        <w:rPr>
          <w:rFonts w:eastAsia="Times New Roman" w:cs="Times New Roman"/>
          <w:b/>
          <w:color w:val="000000" w:themeColor="text1"/>
          <w:sz w:val="56"/>
          <w:szCs w:val="56"/>
          <w:u w:val="single"/>
        </w:rPr>
        <w:t>spółek</w:t>
      </w:r>
      <w:r w:rsidRPr="008B4215">
        <w:rPr>
          <w:rFonts w:eastAsia="Times New Roman" w:cs="Times New Roman"/>
          <w:sz w:val="56"/>
          <w:szCs w:val="56"/>
        </w:rPr>
        <w:t xml:space="preserve"> (których</w:t>
      </w:r>
      <w:proofErr w:type="gramEnd"/>
      <w:r w:rsidRPr="008B4215">
        <w:rPr>
          <w:rFonts w:eastAsia="Times New Roman" w:cs="Times New Roman"/>
          <w:sz w:val="56"/>
          <w:szCs w:val="56"/>
        </w:rPr>
        <w:t xml:space="preserve"> lista </w:t>
      </w:r>
      <w:r w:rsidRPr="008B4215">
        <w:rPr>
          <w:rFonts w:eastAsia="Times New Roman" w:cs="Times New Roman"/>
          <w:b/>
          <w:sz w:val="56"/>
          <w:szCs w:val="56"/>
        </w:rPr>
        <w:t>opublikowana jest na str. 1</w:t>
      </w:r>
      <w:r w:rsidR="001B119A">
        <w:rPr>
          <w:rFonts w:eastAsia="Times New Roman" w:cs="Times New Roman"/>
          <w:b/>
          <w:sz w:val="56"/>
          <w:szCs w:val="56"/>
        </w:rPr>
        <w:t>1</w:t>
      </w:r>
      <w:r w:rsidRPr="008B4215">
        <w:rPr>
          <w:rFonts w:eastAsia="Times New Roman" w:cs="Times New Roman"/>
          <w:b/>
          <w:sz w:val="56"/>
          <w:szCs w:val="56"/>
        </w:rPr>
        <w:t>-1</w:t>
      </w:r>
      <w:r w:rsidR="001B119A">
        <w:rPr>
          <w:rFonts w:eastAsia="Times New Roman" w:cs="Times New Roman"/>
          <w:b/>
          <w:sz w:val="56"/>
          <w:szCs w:val="56"/>
        </w:rPr>
        <w:t>5</w:t>
      </w:r>
      <w:r w:rsidRPr="008B4215">
        <w:rPr>
          <w:rFonts w:eastAsia="Times New Roman" w:cs="Times New Roman"/>
          <w:b/>
          <w:sz w:val="56"/>
          <w:szCs w:val="56"/>
        </w:rPr>
        <w:t xml:space="preserve">)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56"/>
          <w:szCs w:val="5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56"/>
          <w:szCs w:val="56"/>
        </w:rPr>
      </w:pPr>
      <w:proofErr w:type="gramStart"/>
      <w:r w:rsidRPr="008B4215">
        <w:rPr>
          <w:rFonts w:eastAsia="Times New Roman" w:cs="Times New Roman"/>
          <w:b/>
          <w:sz w:val="56"/>
          <w:szCs w:val="56"/>
        </w:rPr>
        <w:t>kursy</w:t>
      </w:r>
      <w:proofErr w:type="gramEnd"/>
      <w:r w:rsidRPr="008B4215">
        <w:rPr>
          <w:rFonts w:eastAsia="Times New Roman" w:cs="Times New Roman"/>
          <w:b/>
          <w:sz w:val="56"/>
          <w:szCs w:val="56"/>
        </w:rPr>
        <w:t xml:space="preserve"> akcji </w:t>
      </w:r>
      <w:r w:rsidRPr="008B4215">
        <w:rPr>
          <w:rFonts w:eastAsia="Times New Roman" w:cs="Times New Roman"/>
          <w:b/>
          <w:color w:val="FF0000"/>
          <w:sz w:val="56"/>
          <w:szCs w:val="56"/>
        </w:rPr>
        <w:t>1</w:t>
      </w:r>
      <w:r>
        <w:rPr>
          <w:rFonts w:eastAsia="Times New Roman" w:cs="Times New Roman"/>
          <w:b/>
          <w:color w:val="FF0000"/>
          <w:sz w:val="56"/>
          <w:szCs w:val="56"/>
        </w:rPr>
        <w:t>8</w:t>
      </w:r>
      <w:r w:rsidRPr="008B4215">
        <w:rPr>
          <w:rFonts w:eastAsia="Times New Roman" w:cs="Times New Roman"/>
          <w:b/>
          <w:color w:val="FF0000"/>
          <w:sz w:val="56"/>
          <w:szCs w:val="56"/>
        </w:rPr>
        <w:t>-u spółek</w:t>
      </w:r>
      <w:r w:rsidRPr="008B4215">
        <w:rPr>
          <w:rFonts w:eastAsia="Times New Roman" w:cs="Times New Roman"/>
          <w:sz w:val="56"/>
          <w:szCs w:val="56"/>
        </w:rPr>
        <w:t xml:space="preserve"> od momentu owego zakwalifikowania do tej rubryki do dnia </w:t>
      </w:r>
      <w:r>
        <w:rPr>
          <w:rFonts w:eastAsia="Times New Roman" w:cs="Times New Roman"/>
          <w:sz w:val="56"/>
          <w:szCs w:val="56"/>
        </w:rPr>
        <w:t>20</w:t>
      </w:r>
      <w:r w:rsidRPr="008B4215">
        <w:rPr>
          <w:rFonts w:eastAsia="Times New Roman" w:cs="Times New Roman"/>
          <w:sz w:val="56"/>
          <w:szCs w:val="56"/>
        </w:rPr>
        <w:t xml:space="preserve"> listopada 2015 roku zachowywały się </w:t>
      </w:r>
      <w:r w:rsidRPr="008B4215">
        <w:rPr>
          <w:rFonts w:eastAsia="Times New Roman" w:cs="Times New Roman"/>
          <w:b/>
          <w:color w:val="FF0000"/>
          <w:sz w:val="56"/>
          <w:szCs w:val="56"/>
          <w:u w:val="single"/>
        </w:rPr>
        <w:t>lepiej</w:t>
      </w:r>
      <w:r w:rsidRPr="008B4215">
        <w:rPr>
          <w:rFonts w:eastAsia="Times New Roman" w:cs="Times New Roman"/>
          <w:b/>
          <w:color w:val="FF0000"/>
          <w:sz w:val="56"/>
          <w:szCs w:val="56"/>
        </w:rPr>
        <w:t xml:space="preserve"> od indeksu WIG20</w:t>
      </w:r>
      <w:r w:rsidRPr="008B4215">
        <w:rPr>
          <w:rFonts w:eastAsia="Times New Roman" w:cs="Times New Roman"/>
          <w:b/>
          <w:sz w:val="56"/>
          <w:szCs w:val="56"/>
        </w:rPr>
        <w:t xml:space="preserve">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  <w:sz w:val="56"/>
          <w:szCs w:val="56"/>
        </w:rPr>
      </w:pPr>
      <w:proofErr w:type="gramStart"/>
      <w:r w:rsidRPr="008B4215">
        <w:rPr>
          <w:rFonts w:eastAsia="Times New Roman" w:cs="Times New Roman"/>
          <w:b/>
          <w:sz w:val="56"/>
          <w:szCs w:val="56"/>
        </w:rPr>
        <w:t>a</w:t>
      </w:r>
      <w:proofErr w:type="gramEnd"/>
      <w:r w:rsidRPr="008B4215">
        <w:rPr>
          <w:rFonts w:eastAsia="Times New Roman" w:cs="Times New Roman"/>
          <w:b/>
          <w:sz w:val="56"/>
          <w:szCs w:val="56"/>
        </w:rPr>
        <w:t xml:space="preserve"> </w:t>
      </w:r>
      <w:r>
        <w:rPr>
          <w:rFonts w:eastAsia="Times New Roman" w:cs="Times New Roman"/>
          <w:b/>
          <w:sz w:val="56"/>
          <w:szCs w:val="56"/>
        </w:rPr>
        <w:t>4</w:t>
      </w:r>
      <w:r w:rsidRPr="008B4215">
        <w:rPr>
          <w:rFonts w:eastAsia="Times New Roman" w:cs="Times New Roman"/>
          <w:b/>
          <w:sz w:val="56"/>
          <w:szCs w:val="56"/>
        </w:rPr>
        <w:t xml:space="preserve">-u </w:t>
      </w:r>
      <w:r w:rsidRPr="008B4215">
        <w:rPr>
          <w:rFonts w:eastAsia="Times New Roman" w:cs="Times New Roman"/>
          <w:b/>
          <w:sz w:val="56"/>
          <w:szCs w:val="56"/>
          <w:u w:val="single"/>
        </w:rPr>
        <w:t xml:space="preserve">gorzej </w:t>
      </w:r>
      <w:r w:rsidRPr="008B4215">
        <w:rPr>
          <w:rFonts w:eastAsia="Times New Roman" w:cs="Times New Roman"/>
          <w:b/>
          <w:sz w:val="56"/>
          <w:szCs w:val="56"/>
        </w:rPr>
        <w:t xml:space="preserve">od indeksu WIG20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color w:val="FF0000"/>
          <w:sz w:val="66"/>
          <w:szCs w:val="66"/>
        </w:rPr>
      </w:pPr>
      <w:proofErr w:type="gramStart"/>
      <w:r w:rsidRPr="008B4215">
        <w:rPr>
          <w:rFonts w:eastAsia="Times New Roman" w:cs="Times New Roman"/>
          <w:sz w:val="66"/>
          <w:szCs w:val="66"/>
        </w:rPr>
        <w:lastRenderedPageBreak/>
        <w:t xml:space="preserve">Uwaga ! – 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na poprzedniej stronie przedstawiłem wyniki badań dotyczących zachowania kursów akcji tych spółek, które znalazły się w rubryce </w:t>
      </w:r>
      <w:proofErr w:type="gramStart"/>
      <w:r w:rsidRPr="008B4215">
        <w:rPr>
          <w:rFonts w:eastAsia="Times New Roman" w:cs="Times New Roman"/>
          <w:sz w:val="66"/>
          <w:szCs w:val="66"/>
        </w:rPr>
        <w:t>,,</w:t>
      </w:r>
      <w:proofErr w:type="gramEnd"/>
      <w:r w:rsidRPr="008B4215">
        <w:rPr>
          <w:rFonts w:eastAsia="Times New Roman" w:cs="Times New Roman"/>
          <w:sz w:val="66"/>
          <w:szCs w:val="66"/>
        </w:rPr>
        <w:t xml:space="preserve">Wykres do przemyślenia”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na przestrzeni ostatnich 12 miesięcy.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  <w:r w:rsidRPr="008B4215">
        <w:rPr>
          <w:rFonts w:eastAsia="Times New Roman" w:cs="Times New Roman"/>
          <w:sz w:val="66"/>
          <w:szCs w:val="66"/>
        </w:rPr>
        <w:t xml:space="preserve">Spółki te będę starał się na prowadzonej przeze mnie stronie </w:t>
      </w:r>
      <w:proofErr w:type="gramStart"/>
      <w:r w:rsidRPr="008B4215">
        <w:rPr>
          <w:rFonts w:eastAsia="Times New Roman" w:cs="Times New Roman"/>
          <w:sz w:val="66"/>
          <w:szCs w:val="66"/>
        </w:rPr>
        <w:t xml:space="preserve">internetowej  </w:t>
      </w:r>
      <w:hyperlink r:id="rId38" w:history="1">
        <w:proofErr w:type="gramEnd"/>
        <w:r w:rsidRPr="008B4215">
          <w:rPr>
            <w:rFonts w:eastAsia="Times New Roman" w:cs="Times New Roman"/>
            <w:color w:val="0000FF" w:themeColor="hyperlink"/>
            <w:sz w:val="66"/>
            <w:szCs w:val="66"/>
            <w:u w:val="single"/>
          </w:rPr>
          <w:t>http://analizy-rynkowe.pl/</w:t>
        </w:r>
      </w:hyperlink>
      <w:r w:rsidRPr="008B4215">
        <w:rPr>
          <w:rFonts w:eastAsia="Times New Roman" w:cs="Times New Roman"/>
          <w:sz w:val="66"/>
          <w:szCs w:val="66"/>
        </w:rPr>
        <w:t xml:space="preserve"> </w:t>
      </w:r>
      <w:r w:rsidRPr="008B4215">
        <w:rPr>
          <w:rFonts w:eastAsia="Times New Roman" w:cs="Times New Roman"/>
          <w:b/>
          <w:color w:val="FF0000"/>
          <w:sz w:val="66"/>
          <w:szCs w:val="66"/>
          <w:u w:val="single"/>
        </w:rPr>
        <w:t>otaczać szczególną opieką intelektualną</w:t>
      </w:r>
      <w:r w:rsidRPr="008B4215">
        <w:rPr>
          <w:rFonts w:eastAsia="Times New Roman" w:cs="Times New Roman"/>
          <w:color w:val="FF0000"/>
          <w:sz w:val="66"/>
          <w:szCs w:val="66"/>
        </w:rPr>
        <w:t xml:space="preserve"> </w:t>
      </w:r>
      <w:r w:rsidRPr="008B4215">
        <w:rPr>
          <w:rFonts w:eastAsia="Times New Roman" w:cs="Times New Roman"/>
          <w:sz w:val="66"/>
          <w:szCs w:val="66"/>
        </w:rPr>
        <w:t xml:space="preserve">to znaczy analizy publikowane na tej stronie będą w znacznej mierzy dotyczyć właśnie tych spółek.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sz w:val="66"/>
          <w:szCs w:val="66"/>
        </w:rPr>
      </w:pPr>
    </w:p>
    <w:p w:rsidR="00B00B26" w:rsidRPr="008B4215" w:rsidRDefault="00B00B26" w:rsidP="00B0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lastRenderedPageBreak/>
        <w:t>Generalny wniosek:</w:t>
      </w:r>
    </w:p>
    <w:p w:rsidR="00B00B26" w:rsidRPr="008B4215" w:rsidRDefault="00B00B26" w:rsidP="00B0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 xml:space="preserve">kursy akcji spółki po wprowadzeniu jej do rubryki </w:t>
      </w:r>
      <w:proofErr w:type="gramStart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,,</w:t>
      </w:r>
      <w:proofErr w:type="gramEnd"/>
      <w:r w:rsidRPr="008B4215">
        <w:rPr>
          <w:rFonts w:eastAsia="Times New Roman" w:cs="Times New Roman"/>
          <w:b/>
          <w:color w:val="FFFFFF" w:themeColor="background1"/>
          <w:sz w:val="104"/>
          <w:szCs w:val="104"/>
        </w:rPr>
        <w:t>Wykres do przemyślenia” zasadniczo rzecz biorąc wykazują relatywną przewagę nad indeksem WIG20</w:t>
      </w:r>
    </w:p>
    <w:p w:rsidR="00B00B26" w:rsidRPr="008B4215" w:rsidRDefault="00B00B26" w:rsidP="00B00B26">
      <w:pPr>
        <w:rPr>
          <w:rFonts w:eastAsia="Times New Roman" w:cs="Times New Roman"/>
        </w:rPr>
      </w:pPr>
    </w:p>
    <w:p w:rsidR="00B00B26" w:rsidRPr="008B4215" w:rsidRDefault="00B00B26" w:rsidP="00B00B26">
      <w:pPr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b/>
        </w:rPr>
      </w:pPr>
      <w:r w:rsidRPr="008B4215">
        <w:rPr>
          <w:rFonts w:eastAsia="Times New Roman" w:cs="Times New Roman"/>
          <w:b/>
        </w:rPr>
        <w:lastRenderedPageBreak/>
        <w:t>Wnioski końcowe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  <w:color w:val="000000" w:themeColor="text1"/>
        </w:rPr>
        <w:t xml:space="preserve">Kurs </w:t>
      </w:r>
      <w:r w:rsidRPr="008B4215">
        <w:rPr>
          <w:rFonts w:eastAsia="Times New Roman" w:cs="Times New Roman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 w:rsidRPr="008B4215">
        <w:rPr>
          <w:rFonts w:eastAsia="Times New Roman" w:cs="Times New Roman"/>
          <w:b/>
          <w:color w:val="FF0000"/>
        </w:rPr>
        <w:t xml:space="preserve">do 4,4252 zł. </w:t>
      </w:r>
    </w:p>
    <w:p w:rsidR="00B00B26" w:rsidRPr="008B4215" w:rsidRDefault="00B00B26" w:rsidP="00B00B26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</w:p>
    <w:p w:rsidR="00B00B26" w:rsidRPr="008B4215" w:rsidRDefault="00B00B26" w:rsidP="00B00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</w:rPr>
      </w:pPr>
      <w:r w:rsidRPr="008B4215">
        <w:rPr>
          <w:rFonts w:eastAsia="Times New Roman" w:cs="Times New Roman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co powinno dojść do wzrostu kursu euro (w złotych) do </w:t>
      </w:r>
      <w:r w:rsidRPr="008B4215">
        <w:rPr>
          <w:rFonts w:eastAsia="Times New Roman" w:cs="Times New Roman"/>
          <w:b/>
          <w:color w:val="FF0000"/>
        </w:rPr>
        <w:t xml:space="preserve">4,3607 zł.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:rsidR="00B00B26" w:rsidRPr="001263EF" w:rsidRDefault="00B00B26" w:rsidP="00B0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</w:rPr>
      </w:pPr>
      <w:r w:rsidRPr="008B4215">
        <w:rPr>
          <w:rFonts w:eastAsia="Times New Roman" w:cs="Times New Roman"/>
          <w:b/>
          <w:color w:val="000000" w:themeColor="text1"/>
        </w:rPr>
        <w:t>WIG 20 doszedł do wzrostowej linii trendu</w:t>
      </w:r>
      <w:r w:rsidRPr="008B4215">
        <w:rPr>
          <w:rFonts w:eastAsia="Times New Roman" w:cs="Times New Roman"/>
          <w:color w:val="000000" w:themeColor="text1"/>
        </w:rPr>
        <w:t xml:space="preserve"> poprowadzonej przez dołki z marca 1995 roku oraz lutego 2009 roku. </w:t>
      </w:r>
      <w:r w:rsidRPr="008B4215">
        <w:rPr>
          <w:rFonts w:eastAsia="Times New Roman" w:cs="Times New Roman"/>
          <w:b/>
          <w:color w:val="000000" w:themeColor="text1"/>
        </w:rPr>
        <w:t>Jednocześnie oscylator stochastyczny</w:t>
      </w:r>
      <w:r w:rsidRPr="008B4215">
        <w:rPr>
          <w:rFonts w:eastAsia="Times New Roman" w:cs="Times New Roman"/>
          <w:color w:val="000000" w:themeColor="text1"/>
        </w:rPr>
        <w:t xml:space="preserve"> obliczany w oparciu o dane miesięczne </w:t>
      </w:r>
      <w:r w:rsidRPr="008B4215">
        <w:rPr>
          <w:rFonts w:eastAsia="Times New Roman" w:cs="Times New Roman"/>
          <w:b/>
          <w:color w:val="000000" w:themeColor="text1"/>
        </w:rPr>
        <w:t>doszedł do strefy wyprzedania</w:t>
      </w:r>
      <w:r w:rsidRPr="008B4215">
        <w:rPr>
          <w:rFonts w:eastAsia="Times New Roman" w:cs="Times New Roman"/>
          <w:color w:val="000000" w:themeColor="text1"/>
        </w:rPr>
        <w:t xml:space="preserve">. Z najnowszych danych wynika, że </w:t>
      </w:r>
      <w:r w:rsidRPr="008B4215">
        <w:rPr>
          <w:rFonts w:eastAsia="Times New Roman" w:cs="Times New Roman"/>
          <w:b/>
          <w:color w:val="000000" w:themeColor="text1"/>
        </w:rPr>
        <w:t xml:space="preserve">inwestorzy </w:t>
      </w:r>
      <w:r w:rsidRPr="008B4215">
        <w:rPr>
          <w:rFonts w:eastAsia="Times New Roman" w:cs="Times New Roman"/>
          <w:color w:val="000000" w:themeColor="text1"/>
        </w:rPr>
        <w:t xml:space="preserve">indywidualni ankietowani przez Stowarzyszenie Inwestorów Indywidualnych </w:t>
      </w:r>
      <w:r w:rsidRPr="008B4215">
        <w:rPr>
          <w:rFonts w:eastAsia="Times New Roman" w:cs="Times New Roman"/>
          <w:b/>
          <w:color w:val="000000" w:themeColor="text1"/>
        </w:rPr>
        <w:t>są pesymistami</w:t>
      </w:r>
      <w:r w:rsidRPr="008B4215">
        <w:rPr>
          <w:rFonts w:eastAsia="Times New Roman" w:cs="Times New Roman"/>
          <w:color w:val="000000" w:themeColor="text1"/>
        </w:rPr>
        <w:t xml:space="preserve">, gdyż większość z nich spodziewa się spadków cen akcji na giełdzie warszawskiej w perspektywie 6 miesięcy. Paradoksalnie może być to dobry znak dla posiadaczy polskich akcji. Warto bowiem pamiętać, że jedno z popularnych powiedź giełdowych brzmi: </w:t>
      </w:r>
      <w:proofErr w:type="gramStart"/>
      <w:r w:rsidRPr="008B4215">
        <w:rPr>
          <w:rFonts w:eastAsia="Times New Roman" w:cs="Times New Roman"/>
          <w:b/>
          <w:color w:val="000000" w:themeColor="text1"/>
        </w:rPr>
        <w:t>,,</w:t>
      </w:r>
      <w:proofErr w:type="gramEnd"/>
      <w:r w:rsidRPr="008B4215">
        <w:rPr>
          <w:rFonts w:eastAsia="Times New Roman" w:cs="Times New Roman"/>
          <w:b/>
          <w:color w:val="000000" w:themeColor="text1"/>
        </w:rPr>
        <w:t xml:space="preserve">kupuj pesymizm, sprzedawaj optymizm”. </w:t>
      </w:r>
    </w:p>
    <w:p w:rsidR="00B00B26" w:rsidRPr="001263EF" w:rsidRDefault="00B00B26" w:rsidP="00B00B26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</w:rPr>
      </w:pPr>
    </w:p>
    <w:p w:rsidR="00B00B26" w:rsidRPr="001263EF" w:rsidRDefault="00B00B26" w:rsidP="00B0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1263EF">
        <w:rPr>
          <w:rFonts w:eastAsia="Times New Roman" w:cs="Times New Roman"/>
        </w:rPr>
        <w:t xml:space="preserve">Na wykresie </w:t>
      </w:r>
      <w:r>
        <w:rPr>
          <w:rFonts w:eastAsia="Times New Roman" w:cs="Times New Roman"/>
        </w:rPr>
        <w:t xml:space="preserve">indeksu chińskiego rynku akcji doszło do wybicia z formacji podwójnego dna, co zapowiada wzrosty tego indeksu o ponad 25 %. Jest to pozytywna wiadomość także dla indeksu WIG20. Dzięki temu </w:t>
      </w:r>
      <w:proofErr w:type="gramStart"/>
      <w:r>
        <w:rPr>
          <w:rFonts w:eastAsia="Times New Roman" w:cs="Times New Roman"/>
        </w:rPr>
        <w:t>powstaje bowiem</w:t>
      </w:r>
      <w:proofErr w:type="gramEnd"/>
      <w:r>
        <w:rPr>
          <w:rFonts w:eastAsia="Times New Roman" w:cs="Times New Roman"/>
        </w:rPr>
        <w:t xml:space="preserve"> </w:t>
      </w:r>
      <w:r w:rsidRPr="001263EF">
        <w:rPr>
          <w:rFonts w:eastAsia="Times New Roman" w:cs="Times New Roman"/>
          <w:b/>
        </w:rPr>
        <w:t>szansa na wzrost indeksu rynków wschodzących,</w:t>
      </w:r>
      <w:r>
        <w:rPr>
          <w:rFonts w:eastAsia="Times New Roman" w:cs="Times New Roman"/>
        </w:rPr>
        <w:t xml:space="preserve"> do której to grupy rynków zaliczany jest także polski rynek akcji. </w:t>
      </w:r>
    </w:p>
    <w:p w:rsidR="00B00B26" w:rsidRPr="008B4215" w:rsidRDefault="00B00B26" w:rsidP="00B00B26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Aktualnie </w:t>
      </w:r>
      <w:r w:rsidRPr="008B4215">
        <w:rPr>
          <w:rFonts w:eastAsia="Times New Roman" w:cs="Times New Roman"/>
          <w:b/>
        </w:rPr>
        <w:t xml:space="preserve">rozpoczynam eksperyment </w:t>
      </w:r>
      <w:proofErr w:type="gramStart"/>
      <w:r w:rsidRPr="008B4215">
        <w:rPr>
          <w:rFonts w:eastAsia="Times New Roman" w:cs="Times New Roman"/>
          <w:b/>
        </w:rPr>
        <w:t>,,</w:t>
      </w:r>
      <w:proofErr w:type="gramEnd"/>
      <w:r w:rsidRPr="008B4215">
        <w:rPr>
          <w:rFonts w:eastAsia="Times New Roman" w:cs="Times New Roman"/>
          <w:b/>
        </w:rPr>
        <w:t>efekt przełomu roku”</w:t>
      </w:r>
      <w:r w:rsidRPr="008B4215">
        <w:rPr>
          <w:rFonts w:eastAsia="Times New Roman" w:cs="Times New Roman"/>
        </w:rPr>
        <w:t xml:space="preserve">. W ramach tego eksperymentu założyłem, że średnia procentowa zmiana kursów akcji wybranych </w:t>
      </w:r>
      <w:r w:rsidRPr="008B4215">
        <w:rPr>
          <w:rFonts w:eastAsia="Times New Roman" w:cs="Times New Roman"/>
          <w:b/>
          <w:color w:val="FF0000"/>
        </w:rPr>
        <w:t>11 spółek</w:t>
      </w:r>
      <w:r w:rsidRPr="008B4215">
        <w:rPr>
          <w:rFonts w:eastAsia="Times New Roman" w:cs="Times New Roman"/>
          <w:color w:val="FF0000"/>
        </w:rPr>
        <w:t xml:space="preserve"> </w:t>
      </w:r>
      <w:r w:rsidRPr="008B4215">
        <w:rPr>
          <w:rFonts w:eastAsia="Times New Roman" w:cs="Times New Roman"/>
        </w:rPr>
        <w:t xml:space="preserve">notowanych na Giełdzie Papierów Wartościowych w Warszawie będzie pomiędzy 30 października 2015 roku a 29 kwietnia 2016 roku wyższa od procentowej zmiany indeksu WIG20 w tym okresie. </w:t>
      </w:r>
      <w:r w:rsidRPr="008B4215">
        <w:rPr>
          <w:rFonts w:eastAsia="Times New Roman" w:cs="Times New Roman"/>
          <w:b/>
          <w:color w:val="FF0000"/>
        </w:rPr>
        <w:t>O tym, jakie to spółki można się przekonać analizując poniższy link</w:t>
      </w:r>
      <w:r w:rsidRPr="008B4215">
        <w:rPr>
          <w:rFonts w:eastAsia="Times New Roman" w:cs="Times New Roman"/>
          <w:b/>
        </w:rPr>
        <w:t>:</w:t>
      </w:r>
      <w:r w:rsidRPr="008B4215">
        <w:rPr>
          <w:rFonts w:eastAsia="Times New Roman" w:cs="Times New Roman"/>
        </w:rPr>
        <w:t xml:space="preserve"> </w:t>
      </w:r>
      <w:hyperlink r:id="rId39" w:history="1">
        <w:r w:rsidRPr="008B4215">
          <w:rPr>
            <w:rFonts w:eastAsia="Times New Roman" w:cs="Times New Roman"/>
            <w:color w:val="0000FF" w:themeColor="hyperlink"/>
            <w:u w:val="single"/>
          </w:rPr>
          <w:t>http://analizy-rynkowe.pl/rozpoczynam-kolejny-eksperyment-tym-razem-bedzie-to-eksperyment-efekt-przelomu-roku/</w:t>
        </w:r>
      </w:hyperlink>
      <w:r w:rsidRPr="008B4215">
        <w:rPr>
          <w:rFonts w:eastAsia="Times New Roman" w:cs="Times New Roman"/>
        </w:rPr>
        <w:t xml:space="preserve"> </w:t>
      </w:r>
    </w:p>
    <w:p w:rsidR="00B00B26" w:rsidRPr="008B4215" w:rsidRDefault="00B00B26" w:rsidP="00B00B26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Opracował: Sławomir Kłusek, </w:t>
      </w:r>
      <w:r>
        <w:rPr>
          <w:rFonts w:eastAsia="Times New Roman" w:cs="Times New Roman"/>
        </w:rPr>
        <w:t>23</w:t>
      </w:r>
      <w:r w:rsidRPr="008B4215">
        <w:rPr>
          <w:rFonts w:eastAsia="Times New Roman" w:cs="Times New Roman"/>
        </w:rPr>
        <w:t xml:space="preserve"> listopada 2015 roku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Powyższy raport stanowi wyłącznie wyraz osobistych opinii autora. 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  <w:r w:rsidRPr="008B4215">
        <w:rPr>
          <w:rFonts w:eastAsia="Times New Roman" w:cs="Times New Roman"/>
        </w:rPr>
        <w:t xml:space="preserve">Treści zawarte na stronie internetowej </w:t>
      </w:r>
      <w:hyperlink r:id="rId40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  <w:r w:rsidRPr="008B4215">
        <w:rPr>
          <w:rFonts w:eastAsia="Times New Roman" w:cs="Times New Roman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B4215">
        <w:rPr>
          <w:rFonts w:eastAsia="Times New Roman" w:cs="Times New Roman"/>
        </w:rPr>
        <w:t>Dz.U</w:t>
      </w:r>
      <w:proofErr w:type="spellEnd"/>
      <w:r w:rsidRPr="008B4215">
        <w:rPr>
          <w:rFonts w:eastAsia="Times New Roman" w:cs="Times New Roman"/>
        </w:rPr>
        <w:t xml:space="preserve">. </w:t>
      </w:r>
      <w:proofErr w:type="gramStart"/>
      <w:r w:rsidRPr="008B4215">
        <w:rPr>
          <w:rFonts w:eastAsia="Times New Roman" w:cs="Times New Roman"/>
        </w:rPr>
        <w:t>z</w:t>
      </w:r>
      <w:proofErr w:type="gramEnd"/>
      <w:r w:rsidRPr="008B4215">
        <w:rPr>
          <w:rFonts w:eastAsia="Times New Roman" w:cs="Times New Roman"/>
        </w:rPr>
        <w:t xml:space="preserve"> 2005 r. Nr 206, poz. 1715).</w:t>
      </w:r>
    </w:p>
    <w:p w:rsidR="00B00B26" w:rsidRPr="008B4215" w:rsidRDefault="00B00B26" w:rsidP="00B00B26">
      <w:pPr>
        <w:spacing w:after="0" w:line="240" w:lineRule="auto"/>
        <w:jc w:val="both"/>
        <w:rPr>
          <w:rFonts w:eastAsia="Times New Roman" w:cs="Times New Roman"/>
        </w:rPr>
      </w:pPr>
    </w:p>
    <w:p w:rsidR="00B00B26" w:rsidRDefault="00B00B26" w:rsidP="00B00B26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  <w:r w:rsidRPr="008B4215">
        <w:rPr>
          <w:rFonts w:eastAsia="Times New Roman" w:cs="Times New Roman"/>
        </w:rPr>
        <w:t xml:space="preserve">Autor nie ponosi odpowiedzialności za jakiekolwiek decyzje inwestycyjne podjęte na podstawie treści zawartych na stronie internetowej </w:t>
      </w:r>
      <w:hyperlink r:id="rId41" w:history="1">
        <w:r w:rsidRPr="008B4215">
          <w:rPr>
            <w:rFonts w:eastAsia="Times New Roman" w:cs="Times New Roman"/>
            <w:color w:val="0000FF" w:themeColor="hyperlink"/>
            <w:u w:val="single"/>
          </w:rPr>
          <w:t>www.analizy-rynkowe.pl</w:t>
        </w:r>
      </w:hyperlink>
    </w:p>
    <w:p w:rsidR="00B00B26" w:rsidRDefault="00B00B26" w:rsidP="00B00B26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B00B26" w:rsidRDefault="00B00B26" w:rsidP="00B00B26">
      <w:pPr>
        <w:spacing w:after="0" w:line="240" w:lineRule="auto"/>
        <w:jc w:val="both"/>
        <w:rPr>
          <w:rFonts w:eastAsia="Times New Roman" w:cs="Times New Roman"/>
          <w:color w:val="0000FF" w:themeColor="hyperlink"/>
          <w:u w:val="single"/>
        </w:rPr>
      </w:pPr>
    </w:p>
    <w:p w:rsidR="00B00B26" w:rsidRPr="002E67E5" w:rsidRDefault="00B00B26" w:rsidP="00EC16C5">
      <w:pPr>
        <w:spacing w:after="0" w:line="240" w:lineRule="auto"/>
        <w:jc w:val="both"/>
        <w:rPr>
          <w:b/>
          <w:color w:val="FF0000"/>
        </w:rPr>
      </w:pPr>
    </w:p>
    <w:sectPr w:rsidR="00B00B26" w:rsidRPr="002E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1D" w:rsidRDefault="00A95C1D" w:rsidP="00827E6B">
      <w:pPr>
        <w:spacing w:after="0" w:line="240" w:lineRule="auto"/>
      </w:pPr>
      <w:r>
        <w:separator/>
      </w:r>
    </w:p>
  </w:endnote>
  <w:endnote w:type="continuationSeparator" w:id="0">
    <w:p w:rsidR="00A95C1D" w:rsidRDefault="00A95C1D" w:rsidP="008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1D" w:rsidRDefault="00A95C1D" w:rsidP="00827E6B">
      <w:pPr>
        <w:spacing w:after="0" w:line="240" w:lineRule="auto"/>
      </w:pPr>
      <w:r>
        <w:separator/>
      </w:r>
    </w:p>
  </w:footnote>
  <w:footnote w:type="continuationSeparator" w:id="0">
    <w:p w:rsidR="00A95C1D" w:rsidRDefault="00A95C1D" w:rsidP="0082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854"/>
    <w:multiLevelType w:val="hybridMultilevel"/>
    <w:tmpl w:val="6422D31C"/>
    <w:lvl w:ilvl="0" w:tplc="0FD6D90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E666A"/>
    <w:multiLevelType w:val="hybridMultilevel"/>
    <w:tmpl w:val="98B61FF6"/>
    <w:lvl w:ilvl="0" w:tplc="112E6D90">
      <w:start w:val="29"/>
      <w:numFmt w:val="bullet"/>
      <w:lvlText w:val=""/>
      <w:lvlJc w:val="left"/>
      <w:pPr>
        <w:ind w:left="780" w:hanging="42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F4"/>
    <w:rsid w:val="000A5626"/>
    <w:rsid w:val="001263EF"/>
    <w:rsid w:val="001461E9"/>
    <w:rsid w:val="001B119A"/>
    <w:rsid w:val="0047626A"/>
    <w:rsid w:val="005F5F71"/>
    <w:rsid w:val="00652C59"/>
    <w:rsid w:val="006C4742"/>
    <w:rsid w:val="006E1939"/>
    <w:rsid w:val="007162F1"/>
    <w:rsid w:val="00746CB7"/>
    <w:rsid w:val="00827E6B"/>
    <w:rsid w:val="008B4215"/>
    <w:rsid w:val="00916859"/>
    <w:rsid w:val="009C70F4"/>
    <w:rsid w:val="009F68E3"/>
    <w:rsid w:val="00A24965"/>
    <w:rsid w:val="00A30FAB"/>
    <w:rsid w:val="00A95C1D"/>
    <w:rsid w:val="00B00B26"/>
    <w:rsid w:val="00D94362"/>
    <w:rsid w:val="00EB44DA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0F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70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6B"/>
    <w:rPr>
      <w:vertAlign w:val="superscript"/>
    </w:rPr>
  </w:style>
  <w:style w:type="table" w:styleId="Tabela-Siatka">
    <w:name w:val="Table Grid"/>
    <w:basedOn w:val="Standardowy"/>
    <w:uiPriority w:val="59"/>
    <w:rsid w:val="00A3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8B4215"/>
  </w:style>
  <w:style w:type="table" w:customStyle="1" w:styleId="Tabela-Siatka1">
    <w:name w:val="Tabela - Siatka1"/>
    <w:basedOn w:val="Standardowy"/>
    <w:next w:val="Tabela-Siatka"/>
    <w:uiPriority w:val="59"/>
    <w:rsid w:val="008B421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421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0F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70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E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E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E6B"/>
    <w:rPr>
      <w:vertAlign w:val="superscript"/>
    </w:rPr>
  </w:style>
  <w:style w:type="table" w:styleId="Tabela-Siatka">
    <w:name w:val="Table Grid"/>
    <w:basedOn w:val="Standardowy"/>
    <w:uiPriority w:val="59"/>
    <w:rsid w:val="00A3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8B4215"/>
  </w:style>
  <w:style w:type="table" w:customStyle="1" w:styleId="Tabela-Siatka1">
    <w:name w:val="Tabela - Siatka1"/>
    <w:basedOn w:val="Standardowy"/>
    <w:next w:val="Tabela-Siatka"/>
    <w:uiPriority w:val="59"/>
    <w:rsid w:val="008B421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421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alizy-rynkowe.pl/wp-content/uploads/2015/11/RAPORT-TYGODNIOWY-16-11-20153.pdf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9" Type="http://schemas.openxmlformats.org/officeDocument/2006/relationships/hyperlink" Target="http://analizy-rynkowe.pl/rozpoczynam-kolejny-eksperyment-tym-razem-bedzie-to-eksperyment-efekt-przelomu-rok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alizy-rynkowe.pl" TargetMode="External"/><Relationship Id="rId34" Type="http://schemas.openxmlformats.org/officeDocument/2006/relationships/hyperlink" Target="http://www.analizy-rynkowe.p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ii.org.pl/3438/edukacja-i-analizy/indeks-nastrojow-inwestorow.html" TargetMode="External"/><Relationship Id="rId17" Type="http://schemas.openxmlformats.org/officeDocument/2006/relationships/hyperlink" Target="http://analizy-rynkowe.pl/" TargetMode="External"/><Relationship Id="rId25" Type="http://schemas.openxmlformats.org/officeDocument/2006/relationships/hyperlink" Target="http://www.analizy-rynkowe.pl" TargetMode="External"/><Relationship Id="rId33" Type="http://schemas.openxmlformats.org/officeDocument/2006/relationships/hyperlink" Target="http://www.analizy-rynkowe.pl" TargetMode="External"/><Relationship Id="rId38" Type="http://schemas.openxmlformats.org/officeDocument/2006/relationships/hyperlink" Target="http://analizy-rynkow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alizy-rynkowe.pl/rozpoczynam-kolejny-eksperyment-tym-razem-bedzie-to-eksperyment-efekt-przelomu-roku/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analizy-rynkowe.pl/" TargetMode="External"/><Relationship Id="rId41" Type="http://schemas.openxmlformats.org/officeDocument/2006/relationships/hyperlink" Target="http://www.analizy-rynkow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://www.analizy-rynkowe.pl" TargetMode="External"/><Relationship Id="rId37" Type="http://schemas.openxmlformats.org/officeDocument/2006/relationships/hyperlink" Target="http://www.analizy-rynkowe.pl" TargetMode="External"/><Relationship Id="rId40" Type="http://schemas.openxmlformats.org/officeDocument/2006/relationships/hyperlink" Target="http://www.analizy-rynkow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nalizy-rynkowe.pl/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www.analizy-rynkow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gif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hyperlink" Target="http://www.analizy-rynkowe.pl" TargetMode="External"/><Relationship Id="rId35" Type="http://schemas.openxmlformats.org/officeDocument/2006/relationships/hyperlink" Target="http://www.analizy-rynkowe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F411-4000-4EB9-8467-1281E93A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3985</Words>
  <Characters>23916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2015-11-22T13:04:00Z</dcterms:created>
  <dcterms:modified xsi:type="dcterms:W3CDTF">2015-11-22T13:04:00Z</dcterms:modified>
</cp:coreProperties>
</file>