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52" w:rsidRDefault="00212952" w:rsidP="00212952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212952" w:rsidRDefault="00212952" w:rsidP="00212952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212952" w:rsidRDefault="00212952" w:rsidP="00212952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212952" w:rsidRDefault="00212952" w:rsidP="00212952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212952" w:rsidRDefault="00212952" w:rsidP="00212952">
      <w:pPr>
        <w:pStyle w:val="Bezodstpw"/>
        <w:jc w:val="center"/>
        <w:rPr>
          <w:sz w:val="48"/>
          <w:szCs w:val="48"/>
        </w:rPr>
      </w:pPr>
    </w:p>
    <w:p w:rsidR="00212952" w:rsidRDefault="00212952" w:rsidP="00212952">
      <w:pPr>
        <w:pStyle w:val="Bezodstpw"/>
        <w:jc w:val="center"/>
        <w:rPr>
          <w:sz w:val="48"/>
          <w:szCs w:val="48"/>
        </w:rPr>
      </w:pPr>
    </w:p>
    <w:p w:rsidR="00212952" w:rsidRDefault="00212952" w:rsidP="00212952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212952" w:rsidRDefault="00212952" w:rsidP="00212952">
      <w:pPr>
        <w:pStyle w:val="Bezodstpw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2952" w:rsidRDefault="00212952" w:rsidP="00212952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212952" w:rsidRDefault="00212952" w:rsidP="00212952"/>
    <w:p w:rsidR="00212952" w:rsidRDefault="00212952" w:rsidP="00212952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2952" w:rsidRDefault="00212952" w:rsidP="00212952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2952" w:rsidRDefault="00212952" w:rsidP="00212952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19 października 2015 roku</w:t>
      </w:r>
    </w:p>
    <w:p w:rsidR="00212952" w:rsidRDefault="00212952" w:rsidP="00212952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2952" w:rsidRDefault="00212952" w:rsidP="00212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Kurs USD/PLN – perspektywa długoterminowa, kurs z 16 października 2015 roku = 3,7311</w:t>
      </w:r>
    </w:p>
    <w:p w:rsidR="00212952" w:rsidRDefault="00212952" w:rsidP="00212952">
      <w:pPr>
        <w:spacing w:after="0" w:line="240" w:lineRule="auto"/>
        <w:jc w:val="both"/>
      </w:pPr>
    </w:p>
    <w:p w:rsidR="00212952" w:rsidRDefault="00212952" w:rsidP="00212952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6EC1B24D" wp14:editId="17E22B56">
            <wp:extent cx="4829175" cy="2905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952" w:rsidRDefault="00212952" w:rsidP="00212952">
      <w:pPr>
        <w:spacing w:after="0" w:line="240" w:lineRule="auto"/>
        <w:jc w:val="both"/>
      </w:pPr>
    </w:p>
    <w:p w:rsidR="00212952" w:rsidRDefault="00212952" w:rsidP="00212952">
      <w:pPr>
        <w:spacing w:after="0" w:line="240" w:lineRule="auto"/>
        <w:jc w:val="both"/>
      </w:pPr>
      <w:r>
        <w:t xml:space="preserve">Kurs spadł </w:t>
      </w:r>
      <w:r>
        <w:rPr>
          <w:b/>
          <w:color w:val="FF0000"/>
        </w:rPr>
        <w:t>poniżej bardzo ważnego oporu</w:t>
      </w:r>
      <w:r>
        <w:t xml:space="preserve"> na poziomie 3,9130 zł. </w:t>
      </w:r>
      <w:proofErr w:type="gramStart"/>
      <w:r>
        <w:t>z</w:t>
      </w:r>
      <w:proofErr w:type="gramEnd"/>
      <w:r>
        <w:t xml:space="preserve"> lutego 2009 roku. </w:t>
      </w:r>
      <w:r>
        <w:rPr>
          <w:u w:val="single"/>
        </w:rPr>
        <w:t xml:space="preserve">W tej sytuacji </w:t>
      </w:r>
      <w:r>
        <w:t>można</w:t>
      </w:r>
      <w:r>
        <w:rPr>
          <w:u w:val="single"/>
        </w:rPr>
        <w:t xml:space="preserve"> </w:t>
      </w:r>
      <w:r>
        <w:rPr>
          <w:b/>
          <w:u w:val="single"/>
        </w:rPr>
        <w:t>oczekiwać rozpoczęcia się fali spadków</w:t>
      </w:r>
      <w:r>
        <w:t xml:space="preserve"> w kierunku linii trendu wzrostowego poprowadzonej przez dołki z lipca 2008 roku oraz czerwca 2014 roku, która aktualnie przebiega na poziomie </w:t>
      </w:r>
      <w:r>
        <w:rPr>
          <w:b/>
          <w:color w:val="FF0000"/>
        </w:rPr>
        <w:t>3,27.</w:t>
      </w:r>
    </w:p>
    <w:p w:rsidR="00212952" w:rsidRDefault="00212952" w:rsidP="00212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 xml:space="preserve">Kurs EUR/PLN – perspektywa długoterminowa, kurs z 16 </w:t>
      </w:r>
      <w:proofErr w:type="gramStart"/>
      <w:r>
        <w:t>października  2015 roku</w:t>
      </w:r>
      <w:proofErr w:type="gramEnd"/>
      <w:r>
        <w:t xml:space="preserve"> = 4,2364</w:t>
      </w:r>
    </w:p>
    <w:p w:rsidR="00212952" w:rsidRDefault="00212952" w:rsidP="00212952">
      <w:pPr>
        <w:spacing w:after="0" w:line="240" w:lineRule="auto"/>
        <w:jc w:val="both"/>
      </w:pPr>
    </w:p>
    <w:p w:rsidR="00212952" w:rsidRDefault="00212952" w:rsidP="00212952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5AA5435B" wp14:editId="1115CDFB">
            <wp:extent cx="4829175" cy="2905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952" w:rsidRDefault="00212952" w:rsidP="00212952">
      <w:pPr>
        <w:spacing w:after="0" w:line="240" w:lineRule="auto"/>
        <w:jc w:val="both"/>
        <w:rPr>
          <w:color w:val="000000" w:themeColor="text1"/>
        </w:rPr>
      </w:pPr>
      <w:r>
        <w:t xml:space="preserve">Aktywność strony podażowej doprowadziła w pewnym momencie do przebicia od góry spadkowej linii trendu poprowadzonej przez szczyty z lutego 2009 roku oraz grudnia 2011 roku. Później jednak doszło do spadków. Potem popyt znów zaatakował, doszło do przebicia szczytu z lipca 2015 roku. Obecnie ważnym </w:t>
      </w:r>
      <w:r>
        <w:rPr>
          <w:color w:val="000000" w:themeColor="text1"/>
        </w:rPr>
        <w:t xml:space="preserve">wsparciem jest poziom </w:t>
      </w:r>
      <w:r>
        <w:rPr>
          <w:b/>
          <w:color w:val="FF0000"/>
        </w:rPr>
        <w:t>3,8932 zł</w:t>
      </w:r>
      <w:r>
        <w:rPr>
          <w:color w:val="000000" w:themeColor="text1"/>
        </w:rPr>
        <w:t xml:space="preserve"> (dołek z maja 2011 roku). W tej sytuacji w średnim </w:t>
      </w:r>
      <w:proofErr w:type="gramStart"/>
      <w:r>
        <w:rPr>
          <w:color w:val="000000" w:themeColor="text1"/>
        </w:rPr>
        <w:t>okresie (przez który</w:t>
      </w:r>
      <w:proofErr w:type="gramEnd"/>
      <w:r>
        <w:rPr>
          <w:color w:val="000000" w:themeColor="text1"/>
        </w:rPr>
        <w:t xml:space="preserve"> to okres rozumiem okres od 1 miesiąca i 1 dnia do 1 roku) można oczekiwać spadków kursów euro (w złotych) w kierunku tego wsparcia </w:t>
      </w:r>
    </w:p>
    <w:p w:rsidR="00A81B95" w:rsidRDefault="00A81B95" w:rsidP="00A81B9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WIG20 </w:t>
      </w:r>
      <w:r w:rsidRPr="00925DD0">
        <w:rPr>
          <w:sz w:val="26"/>
          <w:szCs w:val="26"/>
        </w:rPr>
        <w:t>wciąż nie wybił się z podwójnego dna</w:t>
      </w:r>
    </w:p>
    <w:p w:rsidR="00A81B95" w:rsidRDefault="00A81B95" w:rsidP="00A81B95">
      <w:pPr>
        <w:pStyle w:val="Bezodstpw"/>
        <w:jc w:val="center"/>
        <w:rPr>
          <w:sz w:val="26"/>
          <w:szCs w:val="26"/>
        </w:rPr>
      </w:pPr>
    </w:p>
    <w:p w:rsidR="00A81B95" w:rsidRPr="00925DD0" w:rsidRDefault="00A81B95" w:rsidP="00A81B95">
      <w:pPr>
        <w:pStyle w:val="Bezodstpw"/>
        <w:jc w:val="both"/>
        <w:rPr>
          <w:sz w:val="26"/>
          <w:szCs w:val="26"/>
        </w:rPr>
      </w:pPr>
      <w:r w:rsidRPr="00925DD0">
        <w:rPr>
          <w:sz w:val="26"/>
          <w:szCs w:val="26"/>
        </w:rPr>
        <w:t xml:space="preserve">Indeks WIG20 wciąż nie wybił się z formacji podwójnego dna. Jest jednak tego bliski. Warto w tym kontekście przypomnieć wykres indeksu WIG20.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Pr="00690E78" w:rsidRDefault="00A81B95" w:rsidP="00A81B95">
      <w:pPr>
        <w:pStyle w:val="Bezodstpw"/>
        <w:jc w:val="both"/>
        <w:rPr>
          <w:b/>
          <w:sz w:val="26"/>
          <w:szCs w:val="26"/>
          <w:u w:val="single"/>
        </w:rPr>
      </w:pPr>
      <w:r w:rsidRPr="00690E78">
        <w:rPr>
          <w:b/>
          <w:sz w:val="26"/>
          <w:szCs w:val="26"/>
          <w:u w:val="single"/>
        </w:rPr>
        <w:t>WIG20</w:t>
      </w:r>
    </w:p>
    <w:p w:rsidR="00A81B95" w:rsidRPr="00925DD0" w:rsidRDefault="00A81B95" w:rsidP="00A81B95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220CBB55" wp14:editId="5D7B827F">
            <wp:extent cx="5429250" cy="3257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Pr="00B1188D" w:rsidRDefault="00A81B95" w:rsidP="00A81B95">
      <w:pPr>
        <w:pStyle w:val="Bezodstpw"/>
        <w:jc w:val="both"/>
        <w:rPr>
          <w:b/>
          <w:sz w:val="26"/>
          <w:szCs w:val="26"/>
        </w:rPr>
      </w:pPr>
      <w:r w:rsidRPr="00925DD0">
        <w:rPr>
          <w:sz w:val="26"/>
          <w:szCs w:val="26"/>
        </w:rPr>
        <w:t xml:space="preserve">Do wybicia z formacji podwójnego dna nie doszło także w przypadku indeksu WIG. Także i w tym przypadku </w:t>
      </w:r>
      <w:r w:rsidRPr="00B1188D">
        <w:rPr>
          <w:b/>
          <w:sz w:val="26"/>
          <w:szCs w:val="26"/>
        </w:rPr>
        <w:t xml:space="preserve">szasnę na wybicie z formacji są całkiem spore.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Pr="00690E78" w:rsidRDefault="00A81B95" w:rsidP="00A81B95">
      <w:pPr>
        <w:pStyle w:val="Bezodstpw"/>
        <w:jc w:val="both"/>
        <w:rPr>
          <w:b/>
          <w:sz w:val="26"/>
          <w:szCs w:val="26"/>
          <w:u w:val="single"/>
        </w:rPr>
      </w:pPr>
      <w:r w:rsidRPr="00690E78">
        <w:rPr>
          <w:b/>
          <w:sz w:val="26"/>
          <w:szCs w:val="26"/>
          <w:u w:val="single"/>
        </w:rPr>
        <w:t>WIG</w:t>
      </w:r>
    </w:p>
    <w:p w:rsidR="00A81B95" w:rsidRPr="00925DD0" w:rsidRDefault="00A81B95" w:rsidP="00A81B95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664A1B13" wp14:editId="43FD990B">
            <wp:extent cx="5429250" cy="3257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Porównując oba wykresy można zauważyć, że w o ile w przypadku indeksu WIG20 kluczowa zaznaczona kolorem czerwonym spadkowa linia trendu nie została jeszcze pokonana, o tyle w przypadku WIG owa spadkowa linia trendu pokonana już została.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Pr="00B1188D" w:rsidRDefault="00A81B95" w:rsidP="00A81B95">
      <w:pPr>
        <w:pStyle w:val="Bezodstpw"/>
        <w:jc w:val="both"/>
        <w:rPr>
          <w:b/>
          <w:sz w:val="26"/>
          <w:szCs w:val="26"/>
          <w:u w:val="single"/>
        </w:rPr>
      </w:pPr>
      <w:r w:rsidRPr="00B1188D">
        <w:rPr>
          <w:b/>
          <w:sz w:val="26"/>
          <w:szCs w:val="26"/>
          <w:u w:val="single"/>
        </w:rPr>
        <w:t xml:space="preserve">Świadczy </w:t>
      </w:r>
      <w:proofErr w:type="gramStart"/>
      <w:r w:rsidRPr="00B1188D">
        <w:rPr>
          <w:b/>
          <w:sz w:val="26"/>
          <w:szCs w:val="26"/>
          <w:u w:val="single"/>
        </w:rPr>
        <w:t>to o, że</w:t>
      </w:r>
      <w:proofErr w:type="gramEnd"/>
      <w:r w:rsidRPr="00B1188D">
        <w:rPr>
          <w:b/>
          <w:sz w:val="26"/>
          <w:szCs w:val="26"/>
          <w:u w:val="single"/>
        </w:rPr>
        <w:t xml:space="preserve"> tak powiem, lepszym wyglądzie technicznym indeksu WIG, czyli indeksu obejmującego oprócz dużych także średnie i małe spółki. 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Pr="00925DD0" w:rsidRDefault="00A81B95" w:rsidP="00A81B95">
      <w:pPr>
        <w:pStyle w:val="Bezodstpw"/>
        <w:jc w:val="both"/>
        <w:rPr>
          <w:sz w:val="26"/>
          <w:szCs w:val="26"/>
        </w:rPr>
      </w:pPr>
      <w:r w:rsidRPr="00925DD0">
        <w:rPr>
          <w:sz w:val="26"/>
          <w:szCs w:val="26"/>
        </w:rPr>
        <w:t xml:space="preserve">Zważywszy na to, że główne indeksy na amerykańskim rynku akcji zakończyły swe notowania w dniu 16 października zwyżkami na początku tygodnia oczekiwałbym raczej uaktywnienia popytu na polskie akcje. </w:t>
      </w:r>
    </w:p>
    <w:p w:rsidR="00A81B95" w:rsidRPr="00925DD0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Pr="00925DD0" w:rsidRDefault="00A81B95" w:rsidP="00A81B95">
      <w:pPr>
        <w:pStyle w:val="Bezodstpw"/>
        <w:jc w:val="both"/>
        <w:rPr>
          <w:sz w:val="26"/>
          <w:szCs w:val="26"/>
        </w:rPr>
      </w:pPr>
      <w:r w:rsidRPr="00925DD0">
        <w:rPr>
          <w:sz w:val="26"/>
          <w:szCs w:val="26"/>
        </w:rPr>
        <w:t xml:space="preserve">Do poprawy sytuacji na GPW może przyczynić się wzrost cen surowców, których zwyżki są z reguły pozytywnie przyjmowane na wschodzących rynkach akcji. </w:t>
      </w:r>
    </w:p>
    <w:p w:rsidR="00A81B95" w:rsidRPr="00925DD0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  <w:r w:rsidRPr="00925DD0">
        <w:rPr>
          <w:sz w:val="26"/>
          <w:szCs w:val="26"/>
        </w:rPr>
        <w:t xml:space="preserve">Spójrzmy na wykres indeksu cen surowców CRB. Można na nim dostrzec, że </w:t>
      </w:r>
      <w:r w:rsidRPr="00B1188D">
        <w:rPr>
          <w:b/>
          <w:sz w:val="26"/>
          <w:szCs w:val="26"/>
          <w:u w:val="single"/>
        </w:rPr>
        <w:t xml:space="preserve">indeks </w:t>
      </w:r>
      <w:r w:rsidR="00B1188D" w:rsidRPr="00B1188D">
        <w:rPr>
          <w:b/>
          <w:sz w:val="26"/>
          <w:szCs w:val="26"/>
          <w:u w:val="single"/>
        </w:rPr>
        <w:t xml:space="preserve">CRB </w:t>
      </w:r>
      <w:r w:rsidRPr="00B1188D">
        <w:rPr>
          <w:b/>
          <w:sz w:val="26"/>
          <w:szCs w:val="26"/>
          <w:u w:val="single"/>
        </w:rPr>
        <w:t>wybił się z nietypowej formacji podwójnego dna</w:t>
      </w:r>
      <w:r>
        <w:rPr>
          <w:sz w:val="26"/>
          <w:szCs w:val="26"/>
        </w:rPr>
        <w:t xml:space="preserve"> a formacja ta jeszcze się nie wypełniła. </w:t>
      </w:r>
      <w:bookmarkStart w:id="0" w:name="_GoBack"/>
      <w:bookmarkEnd w:id="0"/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Pr="00756E3E" w:rsidRDefault="00A81B95" w:rsidP="00A81B95">
      <w:pPr>
        <w:pStyle w:val="Bezodstpw"/>
        <w:jc w:val="both"/>
        <w:rPr>
          <w:b/>
          <w:sz w:val="26"/>
          <w:szCs w:val="26"/>
          <w:u w:val="single"/>
        </w:rPr>
      </w:pPr>
      <w:r w:rsidRPr="00756E3E">
        <w:rPr>
          <w:b/>
          <w:sz w:val="26"/>
          <w:szCs w:val="26"/>
          <w:u w:val="single"/>
        </w:rPr>
        <w:t>CRB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72E51F79" wp14:editId="5AF5550C">
            <wp:extent cx="5429250" cy="3257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Pr="00925DD0" w:rsidRDefault="00A81B95" w:rsidP="00A81B95">
      <w:pPr>
        <w:pStyle w:val="Bezodstpw"/>
        <w:jc w:val="both"/>
        <w:rPr>
          <w:sz w:val="26"/>
          <w:szCs w:val="26"/>
        </w:rPr>
      </w:pPr>
      <w:r w:rsidRPr="00925DD0">
        <w:rPr>
          <w:sz w:val="26"/>
          <w:szCs w:val="26"/>
        </w:rPr>
        <w:t xml:space="preserve">O znaczeniu, jaki dla notowań indeksu WIG20 ma zachowanie cen surowców świadczy fakt, że słabość indeksu WIG20 w ostatni piątek uwidoczniła się właśnie wówczas, gdy spadały ceny kontraktów terminowych na miedź, ropę naftową i inne surowce.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Pr="00B1188D" w:rsidRDefault="00A81B95" w:rsidP="00A81B95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Warto przy okazji zauważyć, że w piątek pomimo spadku indeksu WIG20 zwyżkował indeks sWIG80. Ten przykład pokazuje także </w:t>
      </w:r>
      <w:r w:rsidRPr="00B1188D">
        <w:rPr>
          <w:b/>
          <w:sz w:val="26"/>
          <w:szCs w:val="26"/>
          <w:u w:val="single"/>
        </w:rPr>
        <w:t xml:space="preserve">relatywną siłę indeksu małych spółek. </w:t>
      </w:r>
    </w:p>
    <w:p w:rsidR="00A81B95" w:rsidRPr="00B1188D" w:rsidRDefault="00A81B95" w:rsidP="00A81B95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Najbliższy tydzień będzie ciekawy z wielu powodów. Na obszarze tematyki giełdowej pragnę wskazać na </w:t>
      </w:r>
      <w:r w:rsidRPr="00B1188D">
        <w:rPr>
          <w:b/>
          <w:sz w:val="26"/>
          <w:szCs w:val="26"/>
          <w:u w:val="single"/>
        </w:rPr>
        <w:t>zbliżenie się</w:t>
      </w:r>
      <w:r>
        <w:rPr>
          <w:sz w:val="26"/>
          <w:szCs w:val="26"/>
        </w:rPr>
        <w:t xml:space="preserve"> obliczanego przez </w:t>
      </w:r>
      <w:hyperlink r:id="rId11" w:history="1">
        <w:r w:rsidRPr="005A0B77">
          <w:rPr>
            <w:rStyle w:val="Hipercze"/>
            <w:sz w:val="26"/>
            <w:szCs w:val="26"/>
          </w:rPr>
          <w:t>http://stooq.pl/</w:t>
        </w:r>
      </w:hyperlink>
      <w:r>
        <w:rPr>
          <w:sz w:val="26"/>
          <w:szCs w:val="26"/>
        </w:rPr>
        <w:t xml:space="preserve"> cenowego </w:t>
      </w:r>
      <w:r w:rsidRPr="00B1188D">
        <w:rPr>
          <w:b/>
          <w:sz w:val="26"/>
          <w:szCs w:val="26"/>
          <w:u w:val="single"/>
        </w:rPr>
        <w:t xml:space="preserve">indeksu informatycznego do kilkuletniego maksimum.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 tego maksimum brakuje tylko 0,8 %. Jeżeli ów indeks dotrze do poziomu owego maksimum to dojdzie do wybicia z formacji nietypowego podwójnego dna.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Pr="00B1188D" w:rsidRDefault="00A81B95" w:rsidP="00A81B95">
      <w:pPr>
        <w:pStyle w:val="Bezodstpw"/>
        <w:jc w:val="both"/>
        <w:rPr>
          <w:b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Pojawi się wówczas szansa na wzrost z 24,6 pkt. do 30,6 pkt., czyli </w:t>
      </w:r>
      <w:r w:rsidRPr="00B1188D">
        <w:rPr>
          <w:b/>
          <w:sz w:val="26"/>
          <w:szCs w:val="26"/>
          <w:u w:val="single"/>
        </w:rPr>
        <w:t>o 24,2 %.</w:t>
      </w:r>
      <w:r>
        <w:rPr>
          <w:sz w:val="26"/>
          <w:szCs w:val="26"/>
        </w:rPr>
        <w:t xml:space="preserve"> Warto zauważyć, że na wykresie indeksu branży informatycznej pojawił się tak zwany </w:t>
      </w:r>
      <w:r w:rsidRPr="00B1188D">
        <w:rPr>
          <w:b/>
          <w:color w:val="000000" w:themeColor="text1"/>
          <w:sz w:val="26"/>
          <w:szCs w:val="26"/>
        </w:rPr>
        <w:t>pęk średnich typu 500-200-100.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Istotą owego pęku jest to, że wszystkie 3 średnie ruchome zbliżają się do siebie a dodatkowo do tych średnich zbliża się kurs.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Pr="004B68C6" w:rsidRDefault="00A81B95" w:rsidP="00A81B95">
      <w:pPr>
        <w:pStyle w:val="Bezodstpw"/>
        <w:jc w:val="both"/>
        <w:rPr>
          <w:b/>
          <w:sz w:val="26"/>
          <w:szCs w:val="26"/>
          <w:u w:val="single"/>
        </w:rPr>
      </w:pPr>
      <w:r w:rsidRPr="004B68C6">
        <w:rPr>
          <w:b/>
          <w:sz w:val="26"/>
          <w:szCs w:val="26"/>
          <w:u w:val="single"/>
        </w:rPr>
        <w:t xml:space="preserve">INFORMATYKA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10CCA360" wp14:editId="15A45093">
            <wp:extent cx="5429250" cy="3257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Warto zauważyć, że dotychczas w rubryce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Wykres do przemyślenia” znalazło się kilka spółek z branży informatycznej.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Były to: </w:t>
      </w:r>
      <w:proofErr w:type="spellStart"/>
      <w:r w:rsidRPr="00B1188D">
        <w:rPr>
          <w:b/>
          <w:sz w:val="26"/>
          <w:szCs w:val="26"/>
        </w:rPr>
        <w:t>Asseco</w:t>
      </w:r>
      <w:proofErr w:type="spellEnd"/>
      <w:r w:rsidRPr="00B1188D">
        <w:rPr>
          <w:b/>
          <w:sz w:val="26"/>
          <w:szCs w:val="26"/>
        </w:rPr>
        <w:t xml:space="preserve"> Poland, CD Projekt, </w:t>
      </w:r>
      <w:proofErr w:type="spellStart"/>
      <w:r w:rsidRPr="00B1188D">
        <w:rPr>
          <w:b/>
          <w:sz w:val="26"/>
          <w:szCs w:val="26"/>
        </w:rPr>
        <w:t>Comarch</w:t>
      </w:r>
      <w:proofErr w:type="spellEnd"/>
      <w:r w:rsidRPr="00B1188D">
        <w:rPr>
          <w:b/>
          <w:sz w:val="26"/>
          <w:szCs w:val="26"/>
        </w:rPr>
        <w:t xml:space="preserve">, </w:t>
      </w:r>
      <w:proofErr w:type="spellStart"/>
      <w:r w:rsidRPr="00B1188D">
        <w:rPr>
          <w:b/>
          <w:sz w:val="26"/>
          <w:szCs w:val="26"/>
        </w:rPr>
        <w:t>Procas</w:t>
      </w:r>
      <w:proofErr w:type="spellEnd"/>
      <w:r w:rsidRPr="00B1188D">
        <w:rPr>
          <w:b/>
          <w:sz w:val="26"/>
          <w:szCs w:val="26"/>
        </w:rPr>
        <w:t xml:space="preserve">, </w:t>
      </w:r>
      <w:proofErr w:type="spellStart"/>
      <w:r w:rsidRPr="00B1188D">
        <w:rPr>
          <w:b/>
          <w:sz w:val="26"/>
          <w:szCs w:val="26"/>
        </w:rPr>
        <w:t>Sygnity</w:t>
      </w:r>
      <w:proofErr w:type="spellEnd"/>
      <w:r w:rsidRPr="00B1188D">
        <w:rPr>
          <w:b/>
          <w:sz w:val="26"/>
          <w:szCs w:val="26"/>
        </w:rPr>
        <w:t xml:space="preserve"> oraz Unima2000.</w:t>
      </w:r>
      <w:r>
        <w:rPr>
          <w:sz w:val="26"/>
          <w:szCs w:val="26"/>
        </w:rPr>
        <w:t xml:space="preserve">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Kursy 4 z owych spółek zachowywały się do tej pory lepiej od indeksu WIG20 a 2 gorzej.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Może spodziewać się, że w przypadku wybicia ze wspomnianej formacji nietypowego podwójnego dna na wykresie indeksu branży informatycznej obliczanego przez </w:t>
      </w:r>
      <w:hyperlink r:id="rId13" w:history="1">
        <w:r w:rsidRPr="005A0B77">
          <w:rPr>
            <w:rStyle w:val="Hipercze"/>
            <w:sz w:val="26"/>
            <w:szCs w:val="26"/>
          </w:rPr>
          <w:t>http://stooq.pl/</w:t>
        </w:r>
      </w:hyperlink>
      <w:r>
        <w:rPr>
          <w:sz w:val="26"/>
          <w:szCs w:val="26"/>
        </w:rPr>
        <w:t xml:space="preserve"> sytuacja pod tym względem ulegnie poprawie. </w:t>
      </w:r>
    </w:p>
    <w:p w:rsidR="00A81B95" w:rsidRDefault="00A81B95" w:rsidP="00A81B95">
      <w:pPr>
        <w:pStyle w:val="Bezodstpw"/>
        <w:shd w:val="clear" w:color="auto" w:fill="FFFF00"/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lastRenderedPageBreak/>
        <w:t xml:space="preserve">Ile wynosiła średnia procentowa zmiana kursu akcji spółki po wprowadzeniu jej do rubryki </w:t>
      </w:r>
      <w:proofErr w:type="gramStart"/>
      <w:r>
        <w:rPr>
          <w:b/>
          <w:sz w:val="100"/>
          <w:szCs w:val="100"/>
        </w:rPr>
        <w:t>,,</w:t>
      </w:r>
      <w:proofErr w:type="gramEnd"/>
      <w:r>
        <w:rPr>
          <w:b/>
          <w:sz w:val="100"/>
          <w:szCs w:val="100"/>
        </w:rPr>
        <w:t>Wykres do przemyślenia” w okresie 12 pierwszych miesięcy po jej wprowadzeniu do tej rubryki ?</w:t>
      </w:r>
    </w:p>
    <w:p w:rsidR="00A81B95" w:rsidRDefault="00A81B95" w:rsidP="00A81B95">
      <w:pPr>
        <w:pStyle w:val="Bezodstpw"/>
        <w:jc w:val="both"/>
        <w:rPr>
          <w:b/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b/>
          <w:sz w:val="26"/>
          <w:szCs w:val="26"/>
        </w:rPr>
      </w:pPr>
    </w:p>
    <w:p w:rsidR="00A81B95" w:rsidRDefault="00A81B95" w:rsidP="00A81B95">
      <w:pPr>
        <w:pStyle w:val="Bezodstpw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Obliczenia według stanu na 16 października 2015 roku</w:t>
      </w:r>
    </w:p>
    <w:p w:rsidR="00A81B95" w:rsidRDefault="00A81B95" w:rsidP="00A81B95">
      <w:pPr>
        <w:pStyle w:val="Bezodstpw"/>
        <w:jc w:val="center"/>
        <w:rPr>
          <w:b/>
          <w:sz w:val="32"/>
          <w:szCs w:val="32"/>
          <w:u w:val="single"/>
        </w:rPr>
      </w:pPr>
    </w:p>
    <w:p w:rsidR="00A81B95" w:rsidRDefault="00A81B95" w:rsidP="00A81B95">
      <w:pPr>
        <w:pStyle w:val="Bezodstpw"/>
        <w:jc w:val="both"/>
        <w:rPr>
          <w:b/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Wprowadzenie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Strona internetowa </w:t>
      </w:r>
      <w:hyperlink r:id="rId14" w:history="1">
        <w:r>
          <w:rPr>
            <w:rStyle w:val="Hipercze"/>
            <w:sz w:val="26"/>
            <w:szCs w:val="26"/>
          </w:rPr>
          <w:t>http://analizy-rynkowe.pl/</w:t>
        </w:r>
      </w:hyperlink>
      <w:r>
        <w:rPr>
          <w:sz w:val="26"/>
          <w:szCs w:val="26"/>
        </w:rPr>
        <w:t xml:space="preserve"> prowadzona jest od września 2014 roku.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 tydzień publikowany jest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Raport Tygodniowy”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Od czasu do czasu umieszczam wybrane spółki w rubryce </w:t>
      </w:r>
      <w:proofErr w:type="gramStart"/>
      <w:r>
        <w:rPr>
          <w:b/>
          <w:color w:val="FF0000"/>
          <w:sz w:val="26"/>
          <w:szCs w:val="26"/>
        </w:rPr>
        <w:t>,,</w:t>
      </w:r>
      <w:proofErr w:type="gramEnd"/>
      <w:r>
        <w:rPr>
          <w:b/>
          <w:color w:val="FF0000"/>
          <w:sz w:val="26"/>
          <w:szCs w:val="26"/>
        </w:rPr>
        <w:t xml:space="preserve">Wykres do przemyślenia”.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Umieszczane są tam te przykładowe spółki, których kurs </w:t>
      </w:r>
      <w:r>
        <w:rPr>
          <w:b/>
          <w:color w:val="FF0000"/>
          <w:sz w:val="26"/>
          <w:szCs w:val="26"/>
        </w:rPr>
        <w:t xml:space="preserve">wybił się z formacji podwójnego dna.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Formacja podwójnego dna ma </w:t>
      </w:r>
      <w:r>
        <w:rPr>
          <w:b/>
          <w:sz w:val="26"/>
          <w:szCs w:val="26"/>
        </w:rPr>
        <w:t xml:space="preserve">2 </w:t>
      </w:r>
      <w:proofErr w:type="gramStart"/>
      <w:r>
        <w:rPr>
          <w:b/>
          <w:sz w:val="26"/>
          <w:szCs w:val="26"/>
        </w:rPr>
        <w:t>,,</w:t>
      </w:r>
      <w:proofErr w:type="gramEnd"/>
      <w:r>
        <w:rPr>
          <w:b/>
          <w:sz w:val="26"/>
          <w:szCs w:val="26"/>
        </w:rPr>
        <w:t xml:space="preserve">zadania”.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Podstawowym, minimalnym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zadaniem” tej formacji jest jej wypełnienie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Drugim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zadaniem” tej formacji jest doprowadzenie do zmiany trendu ze spadkowego na wzrostowy.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Osobiście wyróżniam </w:t>
      </w:r>
      <w:r>
        <w:rPr>
          <w:b/>
          <w:sz w:val="26"/>
          <w:szCs w:val="26"/>
        </w:rPr>
        <w:t>typowe oraz nietypowe podwójne dno.</w:t>
      </w:r>
      <w:r>
        <w:rPr>
          <w:sz w:val="26"/>
          <w:szCs w:val="26"/>
        </w:rPr>
        <w:t xml:space="preserve">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Typowa formacja podwójnego dna charakteryzuje się tym, że dołki w formacji kształtują się na poziomie identycznym, bądź prawie identycznym.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Natomiast w przypadku nietypowej formacji podwójnego dna kształtują się one na poziomie zupełnie odmiennym.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Od pierwszego numeru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postanowiłem, że będę </w:t>
      </w:r>
      <w:r>
        <w:rPr>
          <w:b/>
          <w:sz w:val="26"/>
          <w:szCs w:val="26"/>
        </w:rPr>
        <w:t>porównywał</w:t>
      </w:r>
      <w:r>
        <w:rPr>
          <w:sz w:val="26"/>
          <w:szCs w:val="26"/>
        </w:rPr>
        <w:t xml:space="preserve"> zachowanie kursu akcji spółki po wprowadzeniu jej do rubryki ,,Wykres do przemyślenia” </w:t>
      </w:r>
      <w:r>
        <w:rPr>
          <w:b/>
          <w:sz w:val="26"/>
          <w:szCs w:val="26"/>
        </w:rPr>
        <w:t xml:space="preserve">z zachowaniem indeksu WIG20.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 świadomość, że podejście to może budzić kontrowersje, sprzeciw. Dobrze. Tak być musi.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Postanowiłem odpowiedzieć na pytanie: </w:t>
      </w:r>
      <w:proofErr w:type="gramStart"/>
      <w:r>
        <w:rPr>
          <w:b/>
          <w:sz w:val="26"/>
          <w:szCs w:val="26"/>
        </w:rPr>
        <w:t>,,</w:t>
      </w:r>
      <w:proofErr w:type="gramEnd"/>
      <w:r>
        <w:rPr>
          <w:b/>
          <w:sz w:val="26"/>
          <w:szCs w:val="26"/>
        </w:rPr>
        <w:t>Ile wynosiła średnia procentowa zmiana kursu akcji spółki po wprowadzeniu jej do rubryki ,,Wykres do przemyślenia” w okresie 12 pierwszych miesięcy po jej wprowadzeniu do tej rubryki ?”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związku z powyższym postanowiłem odpowiedzieć </w:t>
      </w:r>
      <w:r>
        <w:rPr>
          <w:b/>
          <w:sz w:val="26"/>
          <w:szCs w:val="26"/>
        </w:rPr>
        <w:t>także</w:t>
      </w:r>
      <w:r>
        <w:rPr>
          <w:sz w:val="26"/>
          <w:szCs w:val="26"/>
        </w:rPr>
        <w:t xml:space="preserve"> na pytanie: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Ile wynosiła średnia procentowa zmiana indeksu WIG 20 w tym okresie ?”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Odpowiedź na te pytania przedstawiłem w tabeli na następnej stronie. </w:t>
      </w:r>
    </w:p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Tabela: Procentowa zmiana cen akcji czterech spółek, których akcje zostały wymienione w pierwszym numerze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z 8 września 2014 roku w rubryce ,,Wykres do przemyślenia” w okresie od 5 września do 4 września 2015 roku oraz procentowa zmiana indeksu WIG 20 w tym okresie. </w:t>
      </w:r>
    </w:p>
    <w:p w:rsidR="00A81B95" w:rsidRDefault="00A81B95" w:rsidP="00A81B9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 +15,2 %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4,44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  +11,3 %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5,64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 +55,4 %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6,72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 +58,1 %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+35,0 %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   -15,5 %</w:t>
            </w:r>
          </w:p>
        </w:tc>
      </w:tr>
    </w:tbl>
    <w:p w:rsidR="00A81B95" w:rsidRDefault="00A81B95" w:rsidP="00A81B95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A81B95" w:rsidRDefault="00A81B95" w:rsidP="00A81B9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Tabela: Procentowa zmiana ceny akcji spółki, której akcje zostały wymienione w drugim numerze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z 15 września 2014 roku w rubryce ,,Wykres do przemyślenia” w okresie od 12 września do 11 września 2015 roku oraz procentowa zmiana indeksu WIG 20 w tym okresie. </w:t>
      </w:r>
    </w:p>
    <w:p w:rsidR="00A81B95" w:rsidRDefault="00A81B95" w:rsidP="00A81B95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5,15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-20,8 %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-20,8 %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  -12,5 %</w:t>
            </w:r>
          </w:p>
        </w:tc>
      </w:tr>
    </w:tbl>
    <w:p w:rsidR="00A81B95" w:rsidRDefault="00A81B95" w:rsidP="00A81B95">
      <w:pPr>
        <w:spacing w:after="0" w:line="240" w:lineRule="auto"/>
        <w:jc w:val="both"/>
      </w:pPr>
    </w:p>
    <w:p w:rsidR="00A81B95" w:rsidRDefault="00A81B95" w:rsidP="00A81B9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Tabela: Procentowa zmiana ceny akcji spółki, której akcje zostały umieszczone 16 września na stronie internetowej </w:t>
      </w:r>
      <w:hyperlink r:id="rId15" w:history="1">
        <w:r>
          <w:rPr>
            <w:rStyle w:val="Hipercze"/>
            <w:sz w:val="26"/>
            <w:szCs w:val="26"/>
          </w:rPr>
          <w:t>www.analizy-rynkowe.pl</w:t>
        </w:r>
      </w:hyperlink>
      <w:r>
        <w:rPr>
          <w:sz w:val="26"/>
          <w:szCs w:val="26"/>
        </w:rPr>
        <w:t xml:space="preserve"> w </w:t>
      </w:r>
      <w:proofErr w:type="gramStart"/>
      <w:r>
        <w:rPr>
          <w:sz w:val="26"/>
          <w:szCs w:val="26"/>
        </w:rPr>
        <w:t>rubryce  ,,Wykres</w:t>
      </w:r>
      <w:proofErr w:type="gramEnd"/>
      <w:r>
        <w:rPr>
          <w:sz w:val="26"/>
          <w:szCs w:val="26"/>
        </w:rPr>
        <w:t xml:space="preserve"> do przemyślenia” w okresie od 15 września do 15 września 2015 roku oraz procentowa zmiana indeksu WIG 20 w tym okresie. </w:t>
      </w:r>
    </w:p>
    <w:p w:rsidR="00A81B95" w:rsidRDefault="00A81B95" w:rsidP="00A81B95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32,90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24,2 %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24,2 %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2 185,88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-12,2 %</w:t>
            </w:r>
          </w:p>
        </w:tc>
      </w:tr>
    </w:tbl>
    <w:p w:rsidR="00A81B95" w:rsidRDefault="00A81B95" w:rsidP="00A81B95">
      <w:pPr>
        <w:spacing w:after="0" w:line="240" w:lineRule="auto"/>
        <w:jc w:val="both"/>
      </w:pPr>
    </w:p>
    <w:p w:rsidR="00A81B95" w:rsidRDefault="00A81B95" w:rsidP="00A81B9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Tabela: Procentowa zmiana ceny akcji spółki, której akcje zostały wymienione w trzecim numerze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z 22 września 2014 roku w rubryce ,,Wykres do przemyślenia” w okresie od 19 września 2014 roku do 18 września 2015 roku oraz procentowa zmiana indeksu WIG 20 w tym okresie. </w:t>
      </w:r>
    </w:p>
    <w:p w:rsidR="00A81B95" w:rsidRDefault="00A81B95" w:rsidP="00A81B95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0,98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2,3 %</w:t>
            </w:r>
          </w:p>
        </w:tc>
      </w:tr>
      <w:tr w:rsidR="00A81B95" w:rsidTr="002F08D3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2,3 %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-13,2 %</w:t>
            </w:r>
          </w:p>
        </w:tc>
      </w:tr>
    </w:tbl>
    <w:p w:rsidR="00A81B95" w:rsidRPr="00001FB6" w:rsidRDefault="00A81B95" w:rsidP="00A81B95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001FB6">
        <w:rPr>
          <w:sz w:val="26"/>
          <w:szCs w:val="26"/>
        </w:rPr>
        <w:lastRenderedPageBreak/>
        <w:t xml:space="preserve">Tabela: Procentowa zmiana ceny akcji spółki, której akcje zostały umieszczone 25 września na stronie internetowej </w:t>
      </w:r>
      <w:hyperlink r:id="rId16" w:history="1">
        <w:r w:rsidRPr="00001FB6">
          <w:rPr>
            <w:rStyle w:val="Hipercze"/>
            <w:sz w:val="26"/>
            <w:szCs w:val="26"/>
          </w:rPr>
          <w:t>www.analizy-rynkowe.pl</w:t>
        </w:r>
      </w:hyperlink>
      <w:r w:rsidRPr="00001FB6">
        <w:rPr>
          <w:sz w:val="26"/>
          <w:szCs w:val="26"/>
        </w:rPr>
        <w:t xml:space="preserve"> w </w:t>
      </w:r>
      <w:proofErr w:type="gramStart"/>
      <w:r w:rsidRPr="00001FB6">
        <w:rPr>
          <w:sz w:val="26"/>
          <w:szCs w:val="26"/>
        </w:rPr>
        <w:t>rubryce  ,,Wykres</w:t>
      </w:r>
      <w:proofErr w:type="gramEnd"/>
      <w:r w:rsidRPr="00001FB6">
        <w:rPr>
          <w:sz w:val="26"/>
          <w:szCs w:val="26"/>
        </w:rPr>
        <w:t xml:space="preserve"> do przemyślenia” w okresie od 24 września 2014 roku do 24 września 2015 roku oraz procentowa zmiana indeksu WIG 20 w tym okresie. </w:t>
      </w:r>
    </w:p>
    <w:p w:rsidR="00A81B95" w:rsidRDefault="00A81B95" w:rsidP="00A81B9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+29,7 %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+29,7 %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2 082,95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-15,8 %</w:t>
            </w:r>
          </w:p>
        </w:tc>
      </w:tr>
    </w:tbl>
    <w:p w:rsidR="00A81B95" w:rsidRDefault="00A81B95" w:rsidP="00A81B95">
      <w:pPr>
        <w:spacing w:after="0" w:line="240" w:lineRule="auto"/>
        <w:jc w:val="both"/>
        <w:rPr>
          <w:rFonts w:eastAsiaTheme="minorEastAsia"/>
        </w:rPr>
      </w:pPr>
    </w:p>
    <w:p w:rsidR="00A81B95" w:rsidRPr="00001FB6" w:rsidRDefault="00A81B95" w:rsidP="00A81B95">
      <w:pPr>
        <w:spacing w:after="0" w:line="240" w:lineRule="auto"/>
        <w:jc w:val="both"/>
        <w:rPr>
          <w:sz w:val="26"/>
          <w:szCs w:val="26"/>
        </w:rPr>
      </w:pPr>
      <w:r w:rsidRPr="00001FB6">
        <w:rPr>
          <w:sz w:val="26"/>
          <w:szCs w:val="26"/>
        </w:rPr>
        <w:t xml:space="preserve">Tabela: Procentowa zmiana cen akcji trzech spółek, których akcje zostały wymienione w czwartym numerze </w:t>
      </w:r>
      <w:proofErr w:type="gramStart"/>
      <w:r w:rsidRPr="00001FB6">
        <w:rPr>
          <w:sz w:val="26"/>
          <w:szCs w:val="26"/>
        </w:rPr>
        <w:t>,,</w:t>
      </w:r>
      <w:proofErr w:type="gramEnd"/>
      <w:r w:rsidRPr="00001FB6">
        <w:rPr>
          <w:sz w:val="26"/>
          <w:szCs w:val="26"/>
        </w:rPr>
        <w:t xml:space="preserve">Raportu Tygodniowego” z 29 września 2014 roku w rubryce ,,Wykres do przemyślenia” w okresie od 30 września 2014 roku do 25 września 2015 roku oraz procentowa zmiana indeksu WIG 20 w tym okresie. </w:t>
      </w:r>
    </w:p>
    <w:p w:rsidR="00A81B95" w:rsidRPr="00001FB6" w:rsidRDefault="00A81B95" w:rsidP="00A81B95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54,70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+19,9 %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>spółki  CD</w:t>
            </w:r>
            <w:proofErr w:type="gramEnd"/>
            <w:r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26,80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+61,5 %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8,82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- 49,9 %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+10,5% 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- 15,8 %</w:t>
            </w:r>
          </w:p>
        </w:tc>
      </w:tr>
    </w:tbl>
    <w:p w:rsidR="00A81B95" w:rsidRDefault="00A81B95" w:rsidP="00A81B95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A81B95" w:rsidRPr="00001FB6" w:rsidRDefault="00A81B95" w:rsidP="00A81B95">
      <w:pPr>
        <w:spacing w:after="0" w:line="240" w:lineRule="auto"/>
        <w:jc w:val="both"/>
        <w:rPr>
          <w:sz w:val="26"/>
          <w:szCs w:val="26"/>
        </w:rPr>
      </w:pPr>
      <w:r w:rsidRPr="00001FB6">
        <w:rPr>
          <w:sz w:val="26"/>
          <w:szCs w:val="26"/>
        </w:rPr>
        <w:t xml:space="preserve">Tabela: Procentowa zmiana ceny akcji spółki, której akcje zostały wymienione w piątym numerze </w:t>
      </w:r>
      <w:proofErr w:type="gramStart"/>
      <w:r w:rsidRPr="00001FB6">
        <w:rPr>
          <w:sz w:val="26"/>
          <w:szCs w:val="26"/>
        </w:rPr>
        <w:t>,,</w:t>
      </w:r>
      <w:proofErr w:type="gramEnd"/>
      <w:r w:rsidRPr="00001FB6">
        <w:rPr>
          <w:sz w:val="26"/>
          <w:szCs w:val="26"/>
        </w:rPr>
        <w:t xml:space="preserve">Raportu Tygodniowego” z 6 października 2014 roku w rubryce ,,Wykres do przemyślenia” w okresie od 3 października do 2 października 2015 roku oraz procentowa zmiana indeksu WIG 20 w tym okresie. </w:t>
      </w:r>
    </w:p>
    <w:p w:rsidR="00A81B95" w:rsidRDefault="00A81B95" w:rsidP="00A81B9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278,15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+13,9 %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+13,9 %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-16,7 %</w:t>
            </w:r>
          </w:p>
        </w:tc>
      </w:tr>
    </w:tbl>
    <w:p w:rsidR="00A81B95" w:rsidRDefault="00A81B95" w:rsidP="00A81B95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A81B95" w:rsidRDefault="00A81B95" w:rsidP="00A81B95">
      <w:pPr>
        <w:spacing w:after="0" w:line="240" w:lineRule="auto"/>
        <w:jc w:val="both"/>
        <w:rPr>
          <w:sz w:val="26"/>
          <w:szCs w:val="26"/>
        </w:rPr>
      </w:pPr>
      <w:r w:rsidRPr="00001FB6">
        <w:rPr>
          <w:sz w:val="26"/>
          <w:szCs w:val="26"/>
        </w:rPr>
        <w:t xml:space="preserve">Tabela: Procentowa zmiana ceny akcji spółki, której akcje zostały wymienione w szóstym numerze </w:t>
      </w:r>
      <w:proofErr w:type="gramStart"/>
      <w:r w:rsidRPr="00001FB6">
        <w:rPr>
          <w:sz w:val="26"/>
          <w:szCs w:val="26"/>
        </w:rPr>
        <w:t>,,</w:t>
      </w:r>
      <w:proofErr w:type="gramEnd"/>
      <w:r w:rsidRPr="00001FB6">
        <w:rPr>
          <w:sz w:val="26"/>
          <w:szCs w:val="26"/>
        </w:rPr>
        <w:t xml:space="preserve">Raportu Tygodniowego” z 20 października 2014 roku w rubryce ,,Wykres do przemyślenia” w okresie od 17 września do </w:t>
      </w:r>
      <w:r>
        <w:rPr>
          <w:sz w:val="26"/>
          <w:szCs w:val="26"/>
        </w:rPr>
        <w:t>16</w:t>
      </w:r>
      <w:r w:rsidRPr="00001FB6">
        <w:rPr>
          <w:sz w:val="26"/>
          <w:szCs w:val="26"/>
        </w:rPr>
        <w:t xml:space="preserve"> października 2015 roku oraz procentowa zmiana indeksu WIG 20 w tym okresie. </w:t>
      </w:r>
    </w:p>
    <w:p w:rsidR="00A81B95" w:rsidRPr="00001FB6" w:rsidRDefault="00A81B95" w:rsidP="00A81B95">
      <w:pPr>
        <w:spacing w:after="0" w:line="240" w:lineRule="auto"/>
        <w:jc w:val="both"/>
        <w:rPr>
          <w:rFonts w:eastAsiaTheme="minorEastAsia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3,23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-38,0 %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-38,0 %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  -11,6 %</w:t>
            </w:r>
          </w:p>
        </w:tc>
      </w:tr>
    </w:tbl>
    <w:p w:rsidR="00A81B95" w:rsidRDefault="00A81B95" w:rsidP="00A81B95">
      <w:pPr>
        <w:spacing w:after="0" w:line="240" w:lineRule="auto"/>
        <w:rPr>
          <w:rFonts w:ascii="Calibri" w:eastAsia="Times New Roman" w:hAnsi="Calibri" w:cs="Times New Roman"/>
          <w:sz w:val="42"/>
          <w:szCs w:val="42"/>
          <w:u w:val="single"/>
          <w:lang w:eastAsia="pl-PL"/>
        </w:rPr>
      </w:pPr>
    </w:p>
    <w:p w:rsidR="00A81B95" w:rsidRPr="00001FB6" w:rsidRDefault="00A81B95" w:rsidP="00A81B95">
      <w:pPr>
        <w:spacing w:after="0" w:line="240" w:lineRule="auto"/>
        <w:jc w:val="both"/>
        <w:rPr>
          <w:rFonts w:ascii="Calibri" w:eastAsia="Times New Roman" w:hAnsi="Calibri" w:cs="Times New Roman"/>
          <w:sz w:val="100"/>
          <w:szCs w:val="100"/>
          <w:u w:val="single"/>
          <w:lang w:eastAsia="pl-PL"/>
        </w:rPr>
      </w:pPr>
      <w:r w:rsidRPr="00001FB6">
        <w:rPr>
          <w:rFonts w:ascii="Calibri" w:eastAsia="Times New Roman" w:hAnsi="Calibri" w:cs="Times New Roman"/>
          <w:sz w:val="100"/>
          <w:szCs w:val="100"/>
          <w:u w:val="single"/>
          <w:lang w:eastAsia="pl-PL"/>
        </w:rPr>
        <w:lastRenderedPageBreak/>
        <w:t>Wniosek końcowy z powyższych rozważań brzmi następująco:</w:t>
      </w:r>
    </w:p>
    <w:p w:rsidR="00A81B95" w:rsidRPr="00001FB6" w:rsidRDefault="00A81B95" w:rsidP="00A81B95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54"/>
          <w:szCs w:val="54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81B95" w:rsidRPr="00001FB6" w:rsidRDefault="00A81B95" w:rsidP="00A81B95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66"/>
          <w:szCs w:val="66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color w:val="000000"/>
          <w:sz w:val="66"/>
          <w:szCs w:val="6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Średnia p</w:t>
      </w:r>
      <w:r w:rsidRPr="00001FB6">
        <w:rPr>
          <w:rFonts w:ascii="Calibri" w:eastAsia="Times New Roman" w:hAnsi="Calibri" w:cs="Times New Roman"/>
          <w:color w:val="000000"/>
          <w:sz w:val="66"/>
          <w:szCs w:val="6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rocentowa zmiana kursu akcji spółki po wprowadzeniu jej do rubryki </w:t>
      </w:r>
      <w:proofErr w:type="gramStart"/>
      <w:r w:rsidRPr="00001FB6">
        <w:rPr>
          <w:rFonts w:ascii="Calibri" w:eastAsia="Times New Roman" w:hAnsi="Calibri" w:cs="Times New Roman"/>
          <w:color w:val="FF0000"/>
          <w:sz w:val="66"/>
          <w:szCs w:val="6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001FB6">
        <w:rPr>
          <w:rFonts w:ascii="Calibri" w:eastAsia="Times New Roman" w:hAnsi="Calibri" w:cs="Times New Roman"/>
          <w:color w:val="FF0000"/>
          <w:sz w:val="66"/>
          <w:szCs w:val="6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Wykres do przemyślenia”</w:t>
      </w:r>
      <w:r w:rsidRPr="00001FB6">
        <w:rPr>
          <w:rFonts w:ascii="Calibri" w:eastAsia="Times New Roman" w:hAnsi="Calibri" w:cs="Times New Roman"/>
          <w:color w:val="000000"/>
          <w:sz w:val="66"/>
          <w:szCs w:val="6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okresie 12 pierwszych miesięcy po jej wprowadzeniu do tej rubryki wynosiła </w:t>
      </w:r>
      <w:r w:rsidRPr="00001FB6">
        <w:rPr>
          <w:rFonts w:ascii="Calibri" w:eastAsia="Times New Roman" w:hAnsi="Calibri" w:cs="Times New Roman"/>
          <w:color w:val="FF0000"/>
          <w:sz w:val="66"/>
          <w:szCs w:val="6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plus 14,1 %. </w:t>
      </w:r>
      <w:r w:rsidRPr="00001FB6">
        <w:rPr>
          <w:rFonts w:ascii="Calibri" w:eastAsia="Times New Roman" w:hAnsi="Calibri" w:cs="Times New Roman"/>
          <w:color w:val="000000" w:themeColor="text1"/>
          <w:sz w:val="66"/>
          <w:szCs w:val="6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Średnia procentowa zmiana indeksu </w:t>
      </w:r>
      <w:r w:rsidRPr="00001FB6">
        <w:rPr>
          <w:rFonts w:ascii="Calibri" w:eastAsia="Times New Roman" w:hAnsi="Calibri" w:cs="Times New Roman"/>
          <w:color w:val="000000" w:themeColor="text1"/>
          <w:sz w:val="66"/>
          <w:szCs w:val="66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WIG20 </w:t>
      </w:r>
      <w:r w:rsidRPr="00001FB6">
        <w:rPr>
          <w:rFonts w:ascii="Calibri" w:eastAsia="Times New Roman" w:hAnsi="Calibri" w:cs="Times New Roman"/>
          <w:color w:val="000000" w:themeColor="text1"/>
          <w:sz w:val="66"/>
          <w:szCs w:val="6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tym okresie wynosiła </w:t>
      </w:r>
      <w:r w:rsidRPr="00001FB6">
        <w:rPr>
          <w:rFonts w:ascii="Calibri" w:eastAsia="Times New Roman" w:hAnsi="Calibri" w:cs="Times New Roman"/>
          <w:color w:val="000000" w:themeColor="text1"/>
          <w:sz w:val="66"/>
          <w:szCs w:val="66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minus 14,7 %. </w:t>
      </w:r>
    </w:p>
    <w:p w:rsidR="00A81B95" w:rsidRDefault="00A81B95" w:rsidP="00A81B95">
      <w:pPr>
        <w:pStyle w:val="Bezodstpw"/>
        <w:shd w:val="clear" w:color="auto" w:fill="FFFF00"/>
        <w:jc w:val="center"/>
        <w:rPr>
          <w:b/>
          <w:sz w:val="96"/>
          <w:szCs w:val="96"/>
        </w:rPr>
      </w:pPr>
      <w:r w:rsidRPr="00001FB6">
        <w:rPr>
          <w:b/>
          <w:sz w:val="96"/>
          <w:szCs w:val="96"/>
        </w:rPr>
        <w:lastRenderedPageBreak/>
        <w:t>Spółki dla których nie</w:t>
      </w:r>
      <w:r>
        <w:rPr>
          <w:b/>
          <w:sz w:val="96"/>
          <w:szCs w:val="96"/>
        </w:rPr>
        <w:t xml:space="preserve"> można jeszcze obliczyć procentowej zmiany kursu akcji po wprowadzeniu jej do rubryki </w:t>
      </w:r>
      <w:proofErr w:type="gramStart"/>
      <w:r>
        <w:rPr>
          <w:b/>
          <w:sz w:val="96"/>
          <w:szCs w:val="96"/>
        </w:rPr>
        <w:t>,,</w:t>
      </w:r>
      <w:proofErr w:type="gramEnd"/>
      <w:r>
        <w:rPr>
          <w:b/>
          <w:sz w:val="96"/>
          <w:szCs w:val="96"/>
        </w:rPr>
        <w:t xml:space="preserve">Wykres do przemyślenia” w okresie 12 pierwszych miesięcy po jej wprowadzeniu do tej rubryki </w:t>
      </w:r>
    </w:p>
    <w:p w:rsidR="00A81B95" w:rsidRDefault="00A81B95" w:rsidP="00A81B95">
      <w:pPr>
        <w:pStyle w:val="Bezodstpw"/>
        <w:jc w:val="both"/>
        <w:rPr>
          <w:b/>
          <w:sz w:val="26"/>
          <w:szCs w:val="26"/>
        </w:rPr>
      </w:pPr>
    </w:p>
    <w:p w:rsidR="00A81B95" w:rsidRDefault="00A81B95" w:rsidP="00A81B95">
      <w:pPr>
        <w:pStyle w:val="Bezodstpw"/>
        <w:jc w:val="both"/>
        <w:rPr>
          <w:b/>
          <w:sz w:val="26"/>
          <w:szCs w:val="26"/>
        </w:rPr>
      </w:pPr>
    </w:p>
    <w:p w:rsidR="00A81B95" w:rsidRDefault="00A81B95" w:rsidP="00A81B95">
      <w:pPr>
        <w:pStyle w:val="Bezodstpw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Obliczenia według stanu na 16 października 2015 roku</w:t>
      </w:r>
    </w:p>
    <w:p w:rsidR="00A81B95" w:rsidRDefault="00A81B95" w:rsidP="00A81B95">
      <w:pPr>
        <w:spacing w:after="0" w:line="240" w:lineRule="auto"/>
        <w:jc w:val="both"/>
        <w:rPr>
          <w:rFonts w:eastAsiaTheme="minorEastAsia"/>
        </w:rPr>
      </w:pPr>
      <w:r>
        <w:lastRenderedPageBreak/>
        <w:t xml:space="preserve">Tabela: Procentowa zmiana ceny akcji spółki, której akcje zostały umieszczone 22 października na stronie internetowej </w:t>
      </w:r>
      <w:hyperlink r:id="rId17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21 października do 19 czerwca 2015 roku do 16 października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17,62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+ 102,5 %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6,30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  -9,1 %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+ 46,7 %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-12,5 %</w:t>
            </w:r>
          </w:p>
        </w:tc>
      </w:tr>
    </w:tbl>
    <w:p w:rsidR="00A81B95" w:rsidRDefault="00A81B95" w:rsidP="00A81B95">
      <w:pPr>
        <w:spacing w:after="0" w:line="240" w:lineRule="auto"/>
        <w:jc w:val="both"/>
        <w:rPr>
          <w:rFonts w:eastAsiaTheme="minorEastAsia"/>
        </w:rPr>
      </w:pPr>
    </w:p>
    <w:p w:rsidR="00A81B95" w:rsidRDefault="00A81B95" w:rsidP="00A81B95">
      <w:pPr>
        <w:spacing w:after="0" w:line="240" w:lineRule="auto"/>
        <w:jc w:val="both"/>
      </w:pPr>
    </w:p>
    <w:p w:rsidR="00A81B95" w:rsidRDefault="00A81B95" w:rsidP="00A81B95">
      <w:pPr>
        <w:spacing w:after="0" w:line="240" w:lineRule="auto"/>
        <w:jc w:val="both"/>
      </w:pPr>
      <w:r>
        <w:t xml:space="preserve">Tabela: Procentowa zmiana ceny akcji spółki, której akcje zostały wymienione w siódmym numerze </w:t>
      </w:r>
      <w:proofErr w:type="gramStart"/>
      <w:r>
        <w:t>,,</w:t>
      </w:r>
      <w:proofErr w:type="gramEnd"/>
      <w:r>
        <w:t xml:space="preserve">Raportu Tygodniowego” z 27 października 2014 roku w rubryce ,,Wykres do przemyślenia” w okresie od 24 października 2014 roku do 16 października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3,50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-19,0 %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-19,0 %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-12,5 %</w:t>
            </w:r>
          </w:p>
        </w:tc>
      </w:tr>
    </w:tbl>
    <w:p w:rsidR="00A81B95" w:rsidRDefault="00A81B95" w:rsidP="00A81B95">
      <w:pPr>
        <w:spacing w:after="0" w:line="240" w:lineRule="auto"/>
        <w:jc w:val="both"/>
      </w:pPr>
    </w:p>
    <w:p w:rsidR="00A81B95" w:rsidRDefault="00A81B95" w:rsidP="00A81B95">
      <w:pPr>
        <w:spacing w:after="0" w:line="240" w:lineRule="auto"/>
        <w:jc w:val="both"/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3 listopada 2014 roku w rubryce ,,Wykres do przemyślenia” w okresie od 31 października 2014 roku do 16 października 2015 roku oraz procentowa zmiana indeksu WIG 20 w tym okresie. </w:t>
      </w:r>
    </w:p>
    <w:p w:rsidR="00A81B95" w:rsidRDefault="00A81B95" w:rsidP="00A81B95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13,57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-15,2 %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-15,2 %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-13,5 %</w:t>
            </w:r>
          </w:p>
        </w:tc>
      </w:tr>
    </w:tbl>
    <w:p w:rsidR="00A81B95" w:rsidRDefault="00A81B95" w:rsidP="00A81B95">
      <w:pPr>
        <w:spacing w:after="0" w:line="240" w:lineRule="auto"/>
        <w:jc w:val="both"/>
      </w:pPr>
    </w:p>
    <w:p w:rsidR="00A81B95" w:rsidRDefault="00A81B95" w:rsidP="00A81B95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1 grudnia 2014 roku w rubryce ,,Wykres do przemyślenia” w okresie od 28 listopada 2014 roku do 16 października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1,67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+57,5 %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+57,5 %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-12,2 %</w:t>
            </w:r>
          </w:p>
        </w:tc>
      </w:tr>
    </w:tbl>
    <w:p w:rsidR="00A81B95" w:rsidRDefault="00A81B95" w:rsidP="00A81B95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 grudnia na stronie internetowej </w:t>
      </w:r>
      <w:hyperlink r:id="rId18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 grudnia 2014 roku do 19 czerwca 2015 roku oraz do 16 października 2015 roku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30,16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-19,9 %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-19,9 %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-12,2 %</w:t>
            </w:r>
          </w:p>
        </w:tc>
      </w:tr>
    </w:tbl>
    <w:p w:rsidR="00A81B95" w:rsidRDefault="00A81B95" w:rsidP="00A81B95">
      <w:pPr>
        <w:spacing w:after="0" w:line="240" w:lineRule="auto"/>
        <w:jc w:val="both"/>
      </w:pPr>
      <w:r>
        <w:lastRenderedPageBreak/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15 grudnia 2014 roku w rubryce ,,Wykres do przemyślenia” w okresie od 12 grudnia 2014 roku do 19 czerwca 2015 roku do 16 października 2015 roku oraz procentowa zmiana indeksu WIG 20 w tym okresie. </w:t>
      </w:r>
    </w:p>
    <w:p w:rsidR="00A81B95" w:rsidRDefault="00A81B95" w:rsidP="00A81B9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9,75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+19,8 %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+19,8 %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-  10,1 %</w:t>
            </w:r>
          </w:p>
        </w:tc>
      </w:tr>
    </w:tbl>
    <w:p w:rsidR="00A81B95" w:rsidRDefault="00A81B95" w:rsidP="00A81B95">
      <w:pPr>
        <w:spacing w:after="0" w:line="240" w:lineRule="auto"/>
        <w:jc w:val="both"/>
      </w:pPr>
    </w:p>
    <w:p w:rsidR="00A81B95" w:rsidRDefault="00A81B95" w:rsidP="00A81B95">
      <w:pPr>
        <w:spacing w:after="0" w:line="240" w:lineRule="auto"/>
        <w:jc w:val="both"/>
      </w:pPr>
      <w:r>
        <w:t xml:space="preserve">Tabela: Procentowa zmiana ceny akcji spółki, której akcje zostały umieszczone 2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19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 grudnia do 19 czerwca 2015 roku do 16 października 2015 roku oraz procentowa zmiana indeksu WIG 20 w tym okresie. </w:t>
      </w:r>
    </w:p>
    <w:p w:rsidR="00A81B95" w:rsidRDefault="00A81B95" w:rsidP="00A81B95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124,70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+8,0 %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+8,0 %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-8,4 %</w:t>
            </w:r>
          </w:p>
        </w:tc>
      </w:tr>
    </w:tbl>
    <w:p w:rsidR="00A81B95" w:rsidRDefault="00A81B95" w:rsidP="00A81B95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12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20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9 stycznia do 16 października 2015 roku oraz procentowa zmiana indeksu WIG 20 w tym okresie. </w:t>
      </w:r>
    </w:p>
    <w:p w:rsidR="00A81B95" w:rsidRDefault="00A81B95" w:rsidP="00A81B9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3,18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-4,8 %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-4,8 %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-12,2 %</w:t>
            </w:r>
          </w:p>
        </w:tc>
      </w:tr>
    </w:tbl>
    <w:p w:rsidR="00A81B95" w:rsidRDefault="00A81B95" w:rsidP="00A81B95">
      <w:pPr>
        <w:spacing w:after="0" w:line="240" w:lineRule="auto"/>
        <w:jc w:val="both"/>
        <w:rPr>
          <w:rFonts w:eastAsiaTheme="minorEastAsia"/>
        </w:rPr>
      </w:pPr>
    </w:p>
    <w:p w:rsidR="00A81B95" w:rsidRDefault="00A81B95" w:rsidP="00A81B95">
      <w:pPr>
        <w:spacing w:after="0" w:line="240" w:lineRule="auto"/>
        <w:jc w:val="both"/>
      </w:pPr>
      <w:r>
        <w:t xml:space="preserve">Tabela: Procentowa zmiana ceny akcji spółki, której akcje zostały umieszczone 30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21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29 stycznia do 16 października 2015 roku oraz procentowa zmiana indeksu WIG 20 w tym okresie. </w:t>
      </w:r>
    </w:p>
    <w:p w:rsidR="00A81B95" w:rsidRDefault="00A81B95" w:rsidP="00A81B9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1,10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-0,9 %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-0,9 %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-12,2 %</w:t>
            </w:r>
          </w:p>
        </w:tc>
      </w:tr>
    </w:tbl>
    <w:p w:rsidR="00A81B95" w:rsidRDefault="00A81B95" w:rsidP="00A81B95">
      <w:pPr>
        <w:spacing w:after="0" w:line="240" w:lineRule="auto"/>
        <w:jc w:val="both"/>
      </w:pPr>
      <w:r>
        <w:t xml:space="preserve">Tabela: Procentowa zmiana ceny akcji spółki, której akcje zostały umieszczone 10 lutego 2015 roku </w:t>
      </w:r>
      <w:proofErr w:type="gramStart"/>
      <w:r>
        <w:t>na  stronie</w:t>
      </w:r>
      <w:proofErr w:type="gramEnd"/>
      <w:r>
        <w:t xml:space="preserve"> internetowej </w:t>
      </w:r>
      <w:hyperlink r:id="rId22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9 lutego do 16 października 2015 roku oraz procentowa zmiana indeksu WIG 20 w tym okresie. </w:t>
      </w:r>
    </w:p>
    <w:p w:rsidR="00A81B95" w:rsidRDefault="00A81B95" w:rsidP="00A81B9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4,80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+6,7 %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+6,7 %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-9,3%</w:t>
            </w:r>
          </w:p>
        </w:tc>
      </w:tr>
    </w:tbl>
    <w:p w:rsidR="00A81B95" w:rsidRDefault="00A81B95" w:rsidP="00A81B95">
      <w:pPr>
        <w:spacing w:after="0" w:line="240" w:lineRule="auto"/>
        <w:jc w:val="both"/>
        <w:rPr>
          <w:rFonts w:eastAsiaTheme="minorEastAsia"/>
          <w:b/>
        </w:rPr>
      </w:pPr>
    </w:p>
    <w:p w:rsidR="00A81B95" w:rsidRDefault="00A81B95" w:rsidP="00A81B95">
      <w:pPr>
        <w:spacing w:after="0" w:line="240" w:lineRule="auto"/>
        <w:jc w:val="both"/>
      </w:pPr>
      <w:r>
        <w:lastRenderedPageBreak/>
        <w:t xml:space="preserve">Tabela: Procentowa zmiana ceny akcji spółki, której akcje zostały umieszczone 3 marca 2015 roku </w:t>
      </w:r>
      <w:proofErr w:type="gramStart"/>
      <w:r>
        <w:t>na  stronie</w:t>
      </w:r>
      <w:proofErr w:type="gramEnd"/>
      <w:r>
        <w:t xml:space="preserve"> internetowej </w:t>
      </w:r>
      <w:hyperlink r:id="rId23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 marca do 16 października 2015 roku oraz procentowa zmiana indeksu WIG 20 w tym okresie. </w:t>
      </w:r>
    </w:p>
    <w:p w:rsidR="00A81B95" w:rsidRDefault="00A81B95" w:rsidP="00A81B9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14,02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+85,2 %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+85,2 %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-10,0 %</w:t>
            </w:r>
          </w:p>
        </w:tc>
      </w:tr>
    </w:tbl>
    <w:p w:rsidR="00A81B95" w:rsidRDefault="00A81B95" w:rsidP="00A81B95">
      <w:pPr>
        <w:spacing w:after="0" w:line="240" w:lineRule="auto"/>
        <w:jc w:val="both"/>
        <w:rPr>
          <w:rFonts w:eastAsiaTheme="minorEastAsia"/>
          <w:b/>
        </w:rPr>
      </w:pPr>
    </w:p>
    <w:p w:rsidR="00A81B95" w:rsidRDefault="00A81B95" w:rsidP="00A81B95">
      <w:pPr>
        <w:spacing w:after="0" w:line="240" w:lineRule="auto"/>
        <w:jc w:val="both"/>
      </w:pPr>
      <w:r>
        <w:t xml:space="preserve">Tabela: Procentowa zmiana ceny akcji spółki, której akcje zostały umieszczone 9 kwietnia 2015 roku </w:t>
      </w:r>
      <w:proofErr w:type="gramStart"/>
      <w:r>
        <w:t>na  stronie</w:t>
      </w:r>
      <w:proofErr w:type="gramEnd"/>
      <w:r>
        <w:t xml:space="preserve"> internetowej </w:t>
      </w:r>
      <w:hyperlink r:id="rId24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8 kwietnia do 16 października 2015 roku oraz procentowa zmiana indeksu WIG 20 w tym okresie. </w:t>
      </w:r>
    </w:p>
    <w:p w:rsidR="00A81B95" w:rsidRDefault="00A81B95" w:rsidP="00A81B9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1,31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4,8 %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4,8 %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-12,5 %</w:t>
            </w:r>
          </w:p>
        </w:tc>
      </w:tr>
    </w:tbl>
    <w:p w:rsidR="00A81B95" w:rsidRDefault="00A81B95" w:rsidP="00A81B95">
      <w:pPr>
        <w:spacing w:after="0" w:line="240" w:lineRule="auto"/>
        <w:jc w:val="both"/>
        <w:rPr>
          <w:rFonts w:eastAsiaTheme="minorEastAsia"/>
          <w:sz w:val="34"/>
          <w:szCs w:val="34"/>
        </w:rPr>
      </w:pPr>
    </w:p>
    <w:p w:rsidR="00A81B95" w:rsidRDefault="00A81B95" w:rsidP="00A81B95">
      <w:pPr>
        <w:spacing w:after="0" w:line="240" w:lineRule="auto"/>
        <w:jc w:val="both"/>
      </w:pPr>
      <w:r>
        <w:t xml:space="preserve">Tabela: Procentowa zmiana ceny akcji spółki, której akcje zostały umieszczone 5 maja 2015 roku </w:t>
      </w:r>
      <w:proofErr w:type="gramStart"/>
      <w:r>
        <w:t>na  stronie</w:t>
      </w:r>
      <w:proofErr w:type="gramEnd"/>
      <w:r>
        <w:t xml:space="preserve"> internetowej </w:t>
      </w:r>
      <w:hyperlink r:id="rId25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4 maja do 16 października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12,58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13,3  %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13,3  %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2 523,09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-15,9 %</w:t>
            </w:r>
          </w:p>
        </w:tc>
      </w:tr>
    </w:tbl>
    <w:p w:rsidR="00A81B95" w:rsidRDefault="00A81B95" w:rsidP="00A81B95">
      <w:pPr>
        <w:spacing w:after="0" w:line="240" w:lineRule="auto"/>
        <w:jc w:val="both"/>
      </w:pPr>
    </w:p>
    <w:p w:rsidR="00A81B95" w:rsidRDefault="00A81B95" w:rsidP="00A81B95">
      <w:pPr>
        <w:spacing w:after="0" w:line="240" w:lineRule="auto"/>
        <w:jc w:val="both"/>
      </w:pPr>
      <w:r>
        <w:t xml:space="preserve">Tabela: Procentowa zmiana cen akcji trzech spółek, których akcje zostały umieszczone w dniu 1 lipca na stronie internetowej </w:t>
      </w:r>
      <w:hyperlink r:id="rId26" w:history="1">
        <w:r>
          <w:rPr>
            <w:rStyle w:val="Hipercze"/>
          </w:rPr>
          <w:t>http://analizy-rynkowe.pl/</w:t>
        </w:r>
      </w:hyperlink>
      <w:r>
        <w:t xml:space="preserve"> w rubryce </w:t>
      </w:r>
      <w:proofErr w:type="gramStart"/>
      <w:r>
        <w:t>,,</w:t>
      </w:r>
      <w:proofErr w:type="gramEnd"/>
      <w:r>
        <w:t xml:space="preserve">Wykres do przemyślenia” w okresie od 30 czerwca 2015 roku do 16 października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8,60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-9,4 %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Unima</w:t>
            </w:r>
            <w:proofErr w:type="spellEnd"/>
            <w:proofErr w:type="gramEnd"/>
            <w:r>
              <w:t xml:space="preserve">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2,29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-11,2 %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Variant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1,62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 -8,5 %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-9,7 %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2317,84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-8,5 %</w:t>
            </w:r>
          </w:p>
        </w:tc>
      </w:tr>
    </w:tbl>
    <w:p w:rsidR="00A81B95" w:rsidRDefault="00A81B95" w:rsidP="00A81B95">
      <w:pPr>
        <w:spacing w:after="0" w:line="240" w:lineRule="auto"/>
        <w:jc w:val="both"/>
      </w:pPr>
      <w:r>
        <w:t xml:space="preserve">Tabela: Procentowa zmiana ceny akcji spółki, której akcje zostały umieszczone 21 lipca 2015 roku </w:t>
      </w:r>
      <w:proofErr w:type="gramStart"/>
      <w:r>
        <w:t>na  stronie</w:t>
      </w:r>
      <w:proofErr w:type="gramEnd"/>
      <w:r>
        <w:t xml:space="preserve"> internetowej </w:t>
      </w:r>
      <w:hyperlink r:id="rId27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21 lipca do 16 października 2015 roku oraz procentowa zmiana indeksu WIG 20 w tym okresie. </w:t>
      </w:r>
    </w:p>
    <w:p w:rsidR="00A81B95" w:rsidRDefault="00A81B95" w:rsidP="00A81B9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21.07.2015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Akcja spółki Ropczyce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20,80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22,00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5,8 %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5,8 %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2 444,63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-5,5 %</w:t>
            </w:r>
          </w:p>
        </w:tc>
      </w:tr>
    </w:tbl>
    <w:p w:rsidR="00A81B95" w:rsidRDefault="00A81B95" w:rsidP="00A81B95">
      <w:pPr>
        <w:spacing w:after="0" w:line="240" w:lineRule="auto"/>
        <w:jc w:val="both"/>
      </w:pPr>
    </w:p>
    <w:p w:rsidR="00A81B95" w:rsidRDefault="00A81B95" w:rsidP="00A81B95">
      <w:pPr>
        <w:spacing w:after="0" w:line="240" w:lineRule="auto"/>
        <w:jc w:val="both"/>
      </w:pPr>
      <w:r>
        <w:lastRenderedPageBreak/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28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22 lipca do 16 października 2015 roku oraz procentowa zmiana indeksu WIG 20 w tym okresie. </w:t>
      </w:r>
    </w:p>
    <w:p w:rsidR="00A81B95" w:rsidRDefault="00A81B95" w:rsidP="00A81B9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22.07.2015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Akcja spółki Eurocash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41,26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47,25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14,5 %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14,5 %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2 185,83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-2,9 %</w:t>
            </w:r>
          </w:p>
        </w:tc>
      </w:tr>
    </w:tbl>
    <w:p w:rsidR="00A81B95" w:rsidRDefault="00A81B95" w:rsidP="00A81B95">
      <w:pPr>
        <w:spacing w:after="0" w:line="240" w:lineRule="auto"/>
        <w:jc w:val="both"/>
      </w:pPr>
    </w:p>
    <w:p w:rsidR="00A81B95" w:rsidRDefault="00A81B95" w:rsidP="00A81B95">
      <w:pPr>
        <w:spacing w:after="0" w:line="240" w:lineRule="auto"/>
        <w:jc w:val="both"/>
      </w:pPr>
      <w:r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29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 do 16 października 2015 roku oraz procentowa zmiana indeksu WIG 20 w tym okresie. </w:t>
      </w:r>
    </w:p>
    <w:p w:rsidR="00A81B95" w:rsidRDefault="00A81B95" w:rsidP="00A81B9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02.09.2015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Akcja spółki Agora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11,20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11,10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-0,9 %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- 0,9 %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2 107,58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0,7 %</w:t>
            </w:r>
          </w:p>
        </w:tc>
      </w:tr>
    </w:tbl>
    <w:p w:rsidR="00A81B95" w:rsidRDefault="00A81B95" w:rsidP="00A81B95">
      <w:pPr>
        <w:spacing w:after="0" w:line="240" w:lineRule="auto"/>
        <w:jc w:val="both"/>
      </w:pPr>
    </w:p>
    <w:p w:rsidR="00A81B95" w:rsidRDefault="00A81B95" w:rsidP="00A81B95">
      <w:pPr>
        <w:spacing w:after="0" w:line="240" w:lineRule="auto"/>
        <w:jc w:val="both"/>
      </w:pPr>
      <w:r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30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3 do 16 października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03.09.2015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Akcja spółki BZWBK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309,00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317,00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2,6 %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2,6 %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2 155,07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-1,5 %</w:t>
            </w:r>
          </w:p>
        </w:tc>
      </w:tr>
    </w:tbl>
    <w:p w:rsidR="00A81B95" w:rsidRDefault="00A81B95" w:rsidP="00A81B95">
      <w:pPr>
        <w:spacing w:after="0" w:line="240" w:lineRule="auto"/>
        <w:jc w:val="both"/>
        <w:rPr>
          <w:sz w:val="30"/>
          <w:szCs w:val="30"/>
        </w:rPr>
      </w:pPr>
    </w:p>
    <w:p w:rsidR="00A81B95" w:rsidRDefault="00A81B95" w:rsidP="00A81B95">
      <w:pPr>
        <w:spacing w:after="0" w:line="240" w:lineRule="auto"/>
        <w:jc w:val="both"/>
      </w:pPr>
      <w:r>
        <w:t xml:space="preserve">Tabela: Procentowa zmiana ceny akcji spółki, której akcje zostały umieszczone 22 października na stronie internetowej </w:t>
      </w:r>
      <w:hyperlink r:id="rId31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21 października do 19 czerwca 2015 roku do 16 października 2015 roku oraz procentowa zmiana indeksu WIG 20 w tym okresie. </w:t>
      </w:r>
    </w:p>
    <w:p w:rsidR="00A81B95" w:rsidRDefault="00A81B95" w:rsidP="00A81B95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08.10.2015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Netmedia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5,69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5,46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- 4,0 %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312,70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329,90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  5,5 %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0,7 %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2 126,48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-0,2 %</w:t>
            </w:r>
          </w:p>
        </w:tc>
      </w:tr>
    </w:tbl>
    <w:p w:rsidR="00A81B95" w:rsidRDefault="00A81B95" w:rsidP="00A81B95">
      <w:pPr>
        <w:spacing w:after="0" w:line="240" w:lineRule="auto"/>
        <w:jc w:val="both"/>
      </w:pPr>
      <w:r>
        <w:t xml:space="preserve">Tabela: Procentowa zmiana ceny akcji spółki, której akcje zostały umieszczone 14 października 2015 roku </w:t>
      </w:r>
      <w:proofErr w:type="gramStart"/>
      <w:r>
        <w:t>na  stronie</w:t>
      </w:r>
      <w:proofErr w:type="gramEnd"/>
      <w:r>
        <w:t xml:space="preserve"> internetowej </w:t>
      </w:r>
      <w:hyperlink r:id="rId32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13 do 16 października 2015 roku oraz procentowa zmiana indeksu WIG 20 w tym okresie. </w:t>
      </w:r>
    </w:p>
    <w:p w:rsidR="00A81B95" w:rsidRDefault="00A81B95" w:rsidP="00A81B9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Poziom – 13.10.2015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Akcja spółki Cyfrowy Polsat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24,93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25,50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  2,3 %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2,3 %</w:t>
            </w:r>
          </w:p>
        </w:tc>
      </w:tr>
      <w:tr w:rsidR="00A81B95" w:rsidTr="002F08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 xml:space="preserve">2 123,43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95" w:rsidRDefault="00A81B95" w:rsidP="002F08D3">
            <w:pPr>
              <w:jc w:val="center"/>
              <w:rPr>
                <w:rFonts w:eastAsiaTheme="minorEastAsia"/>
              </w:rPr>
            </w:pPr>
            <w:r>
              <w:t>-0,1 %</w:t>
            </w:r>
          </w:p>
        </w:tc>
      </w:tr>
    </w:tbl>
    <w:p w:rsidR="00A81B95" w:rsidRDefault="00A81B95" w:rsidP="00A81B95">
      <w:pPr>
        <w:spacing w:after="0" w:line="240" w:lineRule="auto"/>
        <w:jc w:val="both"/>
        <w:rPr>
          <w:sz w:val="46"/>
          <w:szCs w:val="46"/>
          <w:u w:val="single"/>
        </w:rPr>
      </w:pPr>
      <w:r>
        <w:rPr>
          <w:sz w:val="46"/>
          <w:szCs w:val="46"/>
        </w:rPr>
        <w:lastRenderedPageBreak/>
        <w:t xml:space="preserve">Spółek, </w:t>
      </w:r>
      <w:r>
        <w:rPr>
          <w:sz w:val="46"/>
          <w:szCs w:val="46"/>
          <w:u w:val="single"/>
        </w:rPr>
        <w:t>dla których nie można jeszcze obliczyć</w:t>
      </w:r>
      <w:r>
        <w:rPr>
          <w:sz w:val="46"/>
          <w:szCs w:val="46"/>
        </w:rPr>
        <w:t xml:space="preserve"> procentowej zmiany kursu akcji po wprowadzeniu jej do rubryki </w:t>
      </w:r>
      <w:proofErr w:type="gramStart"/>
      <w:r>
        <w:rPr>
          <w:sz w:val="46"/>
          <w:szCs w:val="46"/>
        </w:rPr>
        <w:t>,,</w:t>
      </w:r>
      <w:proofErr w:type="gramEnd"/>
      <w:r>
        <w:rPr>
          <w:sz w:val="46"/>
          <w:szCs w:val="46"/>
        </w:rPr>
        <w:t xml:space="preserve">Wykres do przemyślenia” w okresie 12 pierwszych miesięcy po jej wprowadzeniu do tej rubryki </w:t>
      </w:r>
      <w:r>
        <w:rPr>
          <w:sz w:val="46"/>
          <w:szCs w:val="46"/>
          <w:u w:val="single"/>
        </w:rPr>
        <w:t xml:space="preserve">jest </w:t>
      </w:r>
      <w:r>
        <w:rPr>
          <w:b/>
          <w:sz w:val="46"/>
          <w:szCs w:val="46"/>
          <w:u w:val="single"/>
        </w:rPr>
        <w:t>24.</w:t>
      </w:r>
      <w:r>
        <w:rPr>
          <w:sz w:val="46"/>
          <w:szCs w:val="46"/>
          <w:u w:val="single"/>
        </w:rPr>
        <w:t xml:space="preserve"> </w:t>
      </w:r>
    </w:p>
    <w:p w:rsidR="00A81B95" w:rsidRDefault="00A81B95" w:rsidP="00A81B95">
      <w:pPr>
        <w:spacing w:after="0" w:line="240" w:lineRule="auto"/>
        <w:jc w:val="both"/>
        <w:rPr>
          <w:sz w:val="46"/>
          <w:szCs w:val="46"/>
        </w:rPr>
      </w:pPr>
    </w:p>
    <w:p w:rsidR="00A81B95" w:rsidRDefault="00A81B95" w:rsidP="00A81B95">
      <w:pPr>
        <w:spacing w:after="0" w:line="240" w:lineRule="auto"/>
        <w:jc w:val="both"/>
        <w:rPr>
          <w:sz w:val="46"/>
          <w:szCs w:val="46"/>
        </w:rPr>
      </w:pPr>
      <w:r>
        <w:rPr>
          <w:sz w:val="46"/>
          <w:szCs w:val="46"/>
        </w:rPr>
        <w:t xml:space="preserve">W odniesieniu do tej grupy </w:t>
      </w:r>
      <w:r>
        <w:rPr>
          <w:b/>
          <w:sz w:val="46"/>
          <w:szCs w:val="46"/>
          <w:u w:val="single"/>
        </w:rPr>
        <w:t>24 spółek</w:t>
      </w:r>
      <w:r>
        <w:rPr>
          <w:sz w:val="46"/>
          <w:szCs w:val="46"/>
        </w:rPr>
        <w:t xml:space="preserve"> można sformułować następujący wniosek: </w:t>
      </w:r>
    </w:p>
    <w:p w:rsidR="00A81B95" w:rsidRDefault="00A81B95" w:rsidP="00A81B95">
      <w:pPr>
        <w:spacing w:after="0" w:line="240" w:lineRule="auto"/>
        <w:jc w:val="both"/>
        <w:rPr>
          <w:sz w:val="46"/>
          <w:szCs w:val="46"/>
          <w:u w:val="single"/>
        </w:rPr>
      </w:pPr>
    </w:p>
    <w:p w:rsidR="00A81B95" w:rsidRDefault="00A81B95" w:rsidP="00A81B95">
      <w:pPr>
        <w:spacing w:after="0" w:line="240" w:lineRule="auto"/>
        <w:jc w:val="both"/>
        <w:rPr>
          <w:sz w:val="46"/>
          <w:szCs w:val="46"/>
          <w:u w:val="single"/>
        </w:rPr>
      </w:pPr>
      <w:r>
        <w:rPr>
          <w:sz w:val="46"/>
          <w:szCs w:val="46"/>
          <w:u w:val="single"/>
        </w:rPr>
        <w:t xml:space="preserve">Wniosek </w:t>
      </w:r>
    </w:p>
    <w:p w:rsidR="00A81B95" w:rsidRDefault="00A81B95" w:rsidP="00A81B95">
      <w:pPr>
        <w:spacing w:after="0" w:line="240" w:lineRule="auto"/>
        <w:jc w:val="both"/>
        <w:rPr>
          <w:sz w:val="46"/>
          <w:szCs w:val="46"/>
        </w:rPr>
      </w:pPr>
    </w:p>
    <w:p w:rsidR="00A81B95" w:rsidRDefault="00A81B95" w:rsidP="00A81B95">
      <w:pPr>
        <w:spacing w:after="0" w:line="240" w:lineRule="auto"/>
        <w:jc w:val="both"/>
        <w:rPr>
          <w:sz w:val="46"/>
          <w:szCs w:val="46"/>
        </w:rPr>
      </w:pPr>
      <w:r>
        <w:rPr>
          <w:sz w:val="46"/>
          <w:szCs w:val="46"/>
        </w:rPr>
        <w:t xml:space="preserve">Warto zauważyć, że </w:t>
      </w:r>
    </w:p>
    <w:p w:rsidR="00A81B95" w:rsidRDefault="00A81B95" w:rsidP="00A81B95">
      <w:pPr>
        <w:spacing w:after="0" w:line="240" w:lineRule="auto"/>
        <w:jc w:val="both"/>
        <w:rPr>
          <w:sz w:val="46"/>
          <w:szCs w:val="46"/>
        </w:rPr>
      </w:pPr>
    </w:p>
    <w:p w:rsidR="00A81B95" w:rsidRDefault="00A81B95" w:rsidP="00A81B95">
      <w:pPr>
        <w:spacing w:after="0" w:line="240" w:lineRule="auto"/>
        <w:jc w:val="both"/>
        <w:rPr>
          <w:b/>
          <w:sz w:val="46"/>
          <w:szCs w:val="46"/>
        </w:rPr>
      </w:pPr>
      <w:r>
        <w:rPr>
          <w:b/>
          <w:color w:val="000000" w:themeColor="text1"/>
          <w:sz w:val="46"/>
          <w:szCs w:val="46"/>
        </w:rPr>
        <w:t xml:space="preserve">spośród </w:t>
      </w:r>
      <w:r>
        <w:rPr>
          <w:b/>
          <w:color w:val="000000" w:themeColor="text1"/>
          <w:sz w:val="46"/>
          <w:szCs w:val="46"/>
          <w:u w:val="single"/>
        </w:rPr>
        <w:t xml:space="preserve">24 </w:t>
      </w:r>
      <w:proofErr w:type="gramStart"/>
      <w:r>
        <w:rPr>
          <w:b/>
          <w:color w:val="000000" w:themeColor="text1"/>
          <w:sz w:val="46"/>
          <w:szCs w:val="46"/>
          <w:u w:val="single"/>
        </w:rPr>
        <w:t>spółek</w:t>
      </w:r>
      <w:r>
        <w:rPr>
          <w:sz w:val="46"/>
          <w:szCs w:val="46"/>
        </w:rPr>
        <w:t xml:space="preserve"> (których</w:t>
      </w:r>
      <w:proofErr w:type="gramEnd"/>
      <w:r>
        <w:rPr>
          <w:sz w:val="46"/>
          <w:szCs w:val="46"/>
        </w:rPr>
        <w:t xml:space="preserve"> lista </w:t>
      </w:r>
      <w:r>
        <w:rPr>
          <w:b/>
          <w:sz w:val="46"/>
          <w:szCs w:val="46"/>
        </w:rPr>
        <w:t xml:space="preserve">opublikowana jest na str. 12-15) </w:t>
      </w:r>
    </w:p>
    <w:p w:rsidR="00A81B95" w:rsidRDefault="00A81B95" w:rsidP="00A81B95">
      <w:pPr>
        <w:spacing w:after="0" w:line="240" w:lineRule="auto"/>
        <w:jc w:val="both"/>
        <w:rPr>
          <w:sz w:val="46"/>
          <w:szCs w:val="46"/>
        </w:rPr>
      </w:pPr>
    </w:p>
    <w:p w:rsidR="00A81B95" w:rsidRDefault="00A81B95" w:rsidP="00A81B95">
      <w:pPr>
        <w:spacing w:after="0" w:line="240" w:lineRule="auto"/>
        <w:jc w:val="both"/>
        <w:rPr>
          <w:b/>
          <w:sz w:val="46"/>
          <w:szCs w:val="46"/>
        </w:rPr>
      </w:pPr>
      <w:proofErr w:type="gramStart"/>
      <w:r>
        <w:rPr>
          <w:b/>
          <w:sz w:val="46"/>
          <w:szCs w:val="46"/>
        </w:rPr>
        <w:t>kursy</w:t>
      </w:r>
      <w:proofErr w:type="gramEnd"/>
      <w:r>
        <w:rPr>
          <w:b/>
          <w:sz w:val="46"/>
          <w:szCs w:val="46"/>
        </w:rPr>
        <w:t xml:space="preserve"> akcji </w:t>
      </w:r>
      <w:r>
        <w:rPr>
          <w:b/>
          <w:color w:val="FF0000"/>
          <w:sz w:val="46"/>
          <w:szCs w:val="46"/>
        </w:rPr>
        <w:t>15-u spółek</w:t>
      </w:r>
      <w:r>
        <w:rPr>
          <w:sz w:val="46"/>
          <w:szCs w:val="46"/>
        </w:rPr>
        <w:t xml:space="preserve"> od momentu owego zakwalifikowania do tej rubryki do dnia 16 października 2015 roku zachowywały się </w:t>
      </w:r>
      <w:r>
        <w:rPr>
          <w:b/>
          <w:color w:val="FF0000"/>
          <w:sz w:val="46"/>
          <w:szCs w:val="46"/>
          <w:u w:val="single"/>
        </w:rPr>
        <w:t>lepiej</w:t>
      </w:r>
      <w:r>
        <w:rPr>
          <w:b/>
          <w:color w:val="FF0000"/>
          <w:sz w:val="46"/>
          <w:szCs w:val="46"/>
        </w:rPr>
        <w:t xml:space="preserve"> od indeksu WIG20</w:t>
      </w:r>
      <w:r>
        <w:rPr>
          <w:b/>
          <w:sz w:val="46"/>
          <w:szCs w:val="46"/>
        </w:rPr>
        <w:t xml:space="preserve"> </w:t>
      </w:r>
    </w:p>
    <w:p w:rsidR="00A81B95" w:rsidRDefault="00A81B95" w:rsidP="00A81B95">
      <w:pPr>
        <w:spacing w:after="0" w:line="240" w:lineRule="auto"/>
        <w:jc w:val="both"/>
        <w:rPr>
          <w:b/>
          <w:sz w:val="46"/>
          <w:szCs w:val="46"/>
        </w:rPr>
      </w:pPr>
    </w:p>
    <w:p w:rsidR="00A81B95" w:rsidRDefault="00A81B95" w:rsidP="00A81B95">
      <w:pPr>
        <w:spacing w:after="0" w:line="240" w:lineRule="auto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1-ej tak samo jak indeks WIG20 </w:t>
      </w:r>
    </w:p>
    <w:p w:rsidR="00A81B95" w:rsidRDefault="00A81B95" w:rsidP="00A81B95">
      <w:pPr>
        <w:spacing w:after="0" w:line="240" w:lineRule="auto"/>
        <w:jc w:val="both"/>
        <w:rPr>
          <w:b/>
          <w:sz w:val="46"/>
          <w:szCs w:val="46"/>
        </w:rPr>
      </w:pPr>
    </w:p>
    <w:p w:rsidR="00A81B95" w:rsidRDefault="00A81B95" w:rsidP="00A81B95">
      <w:pPr>
        <w:spacing w:after="0" w:line="240" w:lineRule="auto"/>
        <w:jc w:val="both"/>
        <w:rPr>
          <w:b/>
          <w:sz w:val="46"/>
          <w:szCs w:val="46"/>
        </w:rPr>
      </w:pPr>
      <w:proofErr w:type="gramStart"/>
      <w:r>
        <w:rPr>
          <w:b/>
          <w:sz w:val="46"/>
          <w:szCs w:val="46"/>
        </w:rPr>
        <w:t>a</w:t>
      </w:r>
      <w:proofErr w:type="gramEnd"/>
      <w:r>
        <w:rPr>
          <w:b/>
          <w:sz w:val="46"/>
          <w:szCs w:val="46"/>
        </w:rPr>
        <w:t xml:space="preserve"> 8-u </w:t>
      </w:r>
      <w:r>
        <w:rPr>
          <w:b/>
          <w:sz w:val="46"/>
          <w:szCs w:val="46"/>
          <w:u w:val="single"/>
        </w:rPr>
        <w:t xml:space="preserve">gorzej </w:t>
      </w:r>
      <w:r>
        <w:rPr>
          <w:b/>
          <w:sz w:val="46"/>
          <w:szCs w:val="46"/>
        </w:rPr>
        <w:t xml:space="preserve">od indeksu WIG20 </w:t>
      </w:r>
    </w:p>
    <w:p w:rsidR="00A81B95" w:rsidRDefault="00A81B95" w:rsidP="00A81B95">
      <w:pPr>
        <w:pStyle w:val="Bezodstpw"/>
        <w:jc w:val="both"/>
        <w:rPr>
          <w:color w:val="FF0000"/>
          <w:sz w:val="66"/>
          <w:szCs w:val="66"/>
        </w:rPr>
      </w:pPr>
      <w:proofErr w:type="gramStart"/>
      <w:r>
        <w:rPr>
          <w:sz w:val="66"/>
          <w:szCs w:val="66"/>
        </w:rPr>
        <w:lastRenderedPageBreak/>
        <w:t xml:space="preserve">Uwaga ! – </w:t>
      </w:r>
      <w:proofErr w:type="gramEnd"/>
      <w:r>
        <w:rPr>
          <w:sz w:val="66"/>
          <w:szCs w:val="66"/>
        </w:rPr>
        <w:t xml:space="preserve">na poprzedniej stronie przedstawiłem wyniki badań dotyczących zachowania kursów akcji tych spółek, które znalazły się w rubryce </w:t>
      </w:r>
      <w:proofErr w:type="gramStart"/>
      <w:r>
        <w:rPr>
          <w:sz w:val="66"/>
          <w:szCs w:val="66"/>
        </w:rPr>
        <w:t>,,</w:t>
      </w:r>
      <w:proofErr w:type="gramEnd"/>
      <w:r>
        <w:rPr>
          <w:sz w:val="66"/>
          <w:szCs w:val="66"/>
        </w:rPr>
        <w:t xml:space="preserve">Wykres do przemyślenia” </w:t>
      </w:r>
      <w:r>
        <w:rPr>
          <w:b/>
          <w:color w:val="FF0000"/>
          <w:sz w:val="66"/>
          <w:szCs w:val="66"/>
          <w:u w:val="single"/>
        </w:rPr>
        <w:t>na przestrzeni ostatnich 12 miesięcy.</w:t>
      </w:r>
    </w:p>
    <w:p w:rsidR="00A81B95" w:rsidRDefault="00A81B95" w:rsidP="00A81B95">
      <w:pPr>
        <w:pStyle w:val="Bezodstpw"/>
        <w:jc w:val="both"/>
        <w:rPr>
          <w:sz w:val="66"/>
          <w:szCs w:val="66"/>
        </w:rPr>
      </w:pPr>
    </w:p>
    <w:p w:rsidR="00A81B95" w:rsidRDefault="00A81B95" w:rsidP="00A81B95">
      <w:pPr>
        <w:pStyle w:val="Bezodstpw"/>
        <w:jc w:val="both"/>
        <w:rPr>
          <w:sz w:val="66"/>
          <w:szCs w:val="66"/>
        </w:rPr>
      </w:pPr>
      <w:r>
        <w:rPr>
          <w:sz w:val="66"/>
          <w:szCs w:val="66"/>
        </w:rPr>
        <w:t xml:space="preserve">Spółki te będę starał się na prowadzonej przeze mnie stronie </w:t>
      </w:r>
      <w:proofErr w:type="gramStart"/>
      <w:r>
        <w:rPr>
          <w:sz w:val="66"/>
          <w:szCs w:val="66"/>
        </w:rPr>
        <w:t xml:space="preserve">internetowej  </w:t>
      </w:r>
      <w:hyperlink r:id="rId33" w:history="1">
        <w:proofErr w:type="gramEnd"/>
        <w:r>
          <w:rPr>
            <w:rStyle w:val="Hipercze"/>
            <w:sz w:val="66"/>
            <w:szCs w:val="66"/>
          </w:rPr>
          <w:t>http://analizy-rynkowe.pl/</w:t>
        </w:r>
      </w:hyperlink>
      <w:r>
        <w:rPr>
          <w:sz w:val="66"/>
          <w:szCs w:val="66"/>
        </w:rPr>
        <w:t xml:space="preserve"> </w:t>
      </w:r>
      <w:r>
        <w:rPr>
          <w:b/>
          <w:color w:val="FF0000"/>
          <w:sz w:val="66"/>
          <w:szCs w:val="66"/>
          <w:u w:val="single"/>
        </w:rPr>
        <w:t>otaczać szczególną opieką intelektualną</w:t>
      </w:r>
      <w:r>
        <w:rPr>
          <w:color w:val="FF0000"/>
          <w:sz w:val="66"/>
          <w:szCs w:val="66"/>
        </w:rPr>
        <w:t xml:space="preserve"> </w:t>
      </w:r>
      <w:r>
        <w:rPr>
          <w:sz w:val="66"/>
          <w:szCs w:val="66"/>
        </w:rPr>
        <w:t xml:space="preserve">to znaczy analizy publikowane na tej stronie będą w znacznej mierzy dotyczyć właśnie tych spółek. </w:t>
      </w:r>
    </w:p>
    <w:p w:rsidR="00A81B95" w:rsidRDefault="00A81B95" w:rsidP="00A81B95">
      <w:pPr>
        <w:pStyle w:val="Bezodstpw"/>
        <w:jc w:val="both"/>
        <w:rPr>
          <w:sz w:val="66"/>
          <w:szCs w:val="66"/>
        </w:rPr>
      </w:pPr>
    </w:p>
    <w:p w:rsidR="00A81B95" w:rsidRDefault="00A81B95" w:rsidP="00A81B9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104"/>
          <w:szCs w:val="104"/>
        </w:rPr>
      </w:pPr>
      <w:r>
        <w:rPr>
          <w:b/>
          <w:color w:val="FFFFFF" w:themeColor="background1"/>
          <w:sz w:val="104"/>
          <w:szCs w:val="104"/>
        </w:rPr>
        <w:lastRenderedPageBreak/>
        <w:t>Generalny wniosek:</w:t>
      </w:r>
    </w:p>
    <w:p w:rsidR="00A81B95" w:rsidRDefault="00A81B95" w:rsidP="00A81B9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104"/>
          <w:szCs w:val="104"/>
        </w:rPr>
      </w:pPr>
      <w:r>
        <w:rPr>
          <w:b/>
          <w:color w:val="FFFFFF" w:themeColor="background1"/>
          <w:sz w:val="104"/>
          <w:szCs w:val="104"/>
        </w:rPr>
        <w:t xml:space="preserve">kursy akcji spółki po wprowadzeniu jej do rubryki </w:t>
      </w:r>
      <w:proofErr w:type="gramStart"/>
      <w:r>
        <w:rPr>
          <w:b/>
          <w:color w:val="FFFFFF" w:themeColor="background1"/>
          <w:sz w:val="104"/>
          <w:szCs w:val="104"/>
        </w:rPr>
        <w:t>,,</w:t>
      </w:r>
      <w:proofErr w:type="gramEnd"/>
      <w:r>
        <w:rPr>
          <w:b/>
          <w:color w:val="FFFFFF" w:themeColor="background1"/>
          <w:sz w:val="104"/>
          <w:szCs w:val="104"/>
        </w:rPr>
        <w:t>Wykres do przemyślenia” zasadniczo rzecz biorąc wykazują relatywną przewagę nad indeksem WIG20</w:t>
      </w:r>
    </w:p>
    <w:p w:rsidR="00A81B95" w:rsidRPr="00925DD0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A81B95"/>
    <w:p w:rsidR="00A81B95" w:rsidRDefault="00A81B95" w:rsidP="00A81B95">
      <w:pPr>
        <w:pStyle w:val="Bezodstpw"/>
        <w:jc w:val="both"/>
        <w:rPr>
          <w:sz w:val="26"/>
          <w:szCs w:val="26"/>
        </w:rPr>
      </w:pPr>
    </w:p>
    <w:p w:rsidR="00A81B95" w:rsidRDefault="00A81B95" w:rsidP="00212952">
      <w:pPr>
        <w:spacing w:after="0" w:line="240" w:lineRule="auto"/>
        <w:jc w:val="both"/>
        <w:rPr>
          <w:color w:val="000000" w:themeColor="text1"/>
        </w:rPr>
      </w:pPr>
    </w:p>
    <w:p w:rsidR="00212952" w:rsidRDefault="00212952" w:rsidP="00212952">
      <w:pPr>
        <w:spacing w:after="0" w:line="240" w:lineRule="auto"/>
        <w:jc w:val="both"/>
        <w:rPr>
          <w:b/>
        </w:rPr>
      </w:pPr>
      <w:r>
        <w:rPr>
          <w:b/>
        </w:rPr>
        <w:t>Wnioski końcowe</w:t>
      </w:r>
    </w:p>
    <w:p w:rsidR="00212952" w:rsidRDefault="00212952" w:rsidP="00212952">
      <w:pPr>
        <w:spacing w:after="0" w:line="240" w:lineRule="auto"/>
        <w:jc w:val="both"/>
      </w:pPr>
    </w:p>
    <w:p w:rsidR="00212952" w:rsidRDefault="00212952" w:rsidP="00212952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Kurs dolara amerykańskiego (w złotych)</w:t>
      </w:r>
      <w:r>
        <w:rPr>
          <w:color w:val="000000" w:themeColor="text1"/>
        </w:rPr>
        <w:t xml:space="preserve"> spadł poniżej bardzo ważnego oporu na poziomie 3,9130 zł. </w:t>
      </w:r>
      <w:proofErr w:type="gramStart"/>
      <w:r>
        <w:rPr>
          <w:color w:val="000000" w:themeColor="text1"/>
        </w:rPr>
        <w:t>z</w:t>
      </w:r>
      <w:proofErr w:type="gramEnd"/>
      <w:r>
        <w:rPr>
          <w:color w:val="000000" w:themeColor="text1"/>
        </w:rPr>
        <w:t xml:space="preserve"> lutego 2009 roku. W tej sytuacji można oczekiwać rozpoczęcia się fali spadków w kierunku linii trendu wzrostowego poprowadzonej przez dołki z lipca 2008 roku oraz czerwca 2014 roku, która aktualnie przebiega na poziomie </w:t>
      </w:r>
      <w:r>
        <w:rPr>
          <w:b/>
          <w:color w:val="FF0000"/>
        </w:rPr>
        <w:t>3,10</w:t>
      </w:r>
      <w:r>
        <w:rPr>
          <w:color w:val="000000" w:themeColor="text1"/>
        </w:rPr>
        <w:t xml:space="preserve">. </w:t>
      </w:r>
    </w:p>
    <w:p w:rsidR="00212952" w:rsidRDefault="00212952" w:rsidP="00212952">
      <w:pPr>
        <w:spacing w:after="0" w:line="240" w:lineRule="auto"/>
        <w:ind w:left="720"/>
        <w:jc w:val="both"/>
        <w:rPr>
          <w:color w:val="000000" w:themeColor="text1"/>
        </w:rPr>
      </w:pPr>
    </w:p>
    <w:p w:rsidR="00212952" w:rsidRDefault="00212952" w:rsidP="00212952">
      <w:pPr>
        <w:numPr>
          <w:ilvl w:val="0"/>
          <w:numId w:val="1"/>
        </w:numPr>
        <w:spacing w:after="0" w:line="240" w:lineRule="auto"/>
        <w:jc w:val="both"/>
        <w:rPr>
          <w:noProof/>
          <w:lang w:eastAsia="pl-PL"/>
        </w:rPr>
      </w:pPr>
      <w:r>
        <w:rPr>
          <w:color w:val="000000" w:themeColor="text1"/>
        </w:rPr>
        <w:t xml:space="preserve">W przypadku </w:t>
      </w:r>
      <w:r>
        <w:rPr>
          <w:b/>
          <w:color w:val="000000" w:themeColor="text1"/>
        </w:rPr>
        <w:t>kursu euro (w złotych)</w:t>
      </w:r>
      <w:r>
        <w:rPr>
          <w:color w:val="000000" w:themeColor="text1"/>
        </w:rPr>
        <w:t xml:space="preserve"> aktywność strony podażowej doprowadziła w pewnym momencie do przebicia od góry spadkowej linii trendu poprowadzonej przez szczyty z lutego 2009 roku oraz grudnia 2011 roku. Później jednak doszło do spadków. Potem popyt znów zaatakował, ale doszło do przebicia szczytu z lipca 2015 roku. Obecnie ważnym wsparciem jest poziom 3,8932 zł (dołek z maja 2011 roku).</w:t>
      </w:r>
    </w:p>
    <w:p w:rsidR="00212952" w:rsidRDefault="00212952" w:rsidP="00212952">
      <w:pPr>
        <w:spacing w:after="0" w:line="240" w:lineRule="auto"/>
        <w:ind w:left="720"/>
        <w:jc w:val="both"/>
        <w:rPr>
          <w:noProof/>
          <w:lang w:eastAsia="pl-PL"/>
        </w:rPr>
      </w:pPr>
    </w:p>
    <w:p w:rsidR="00212952" w:rsidRPr="00D116BA" w:rsidRDefault="00212952" w:rsidP="0021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WIG stoi przed szansą na wybicie z formacji podwójnego dna. Doświadczenie uczy, że w okresie między końcem kwietnia a końcem października zawsze </w:t>
      </w:r>
      <w:proofErr w:type="gramStart"/>
      <w:r>
        <w:rPr>
          <w:color w:val="000000" w:themeColor="text1"/>
        </w:rPr>
        <w:t>dochodziło do co</w:t>
      </w:r>
      <w:proofErr w:type="gramEnd"/>
      <w:r>
        <w:rPr>
          <w:color w:val="000000" w:themeColor="text1"/>
        </w:rPr>
        <w:t xml:space="preserve"> najmniej jednej zwyżki rzędu co najmniej 10,2 %. Gdyby założyć, że dołek został ustanowiony w dniu 2 października można oczekiwać, że w okresie do końca października zobaczymy WIG20 na </w:t>
      </w:r>
      <w:proofErr w:type="gramStart"/>
      <w:r>
        <w:rPr>
          <w:color w:val="000000" w:themeColor="text1"/>
        </w:rPr>
        <w:t>poziomie co</w:t>
      </w:r>
      <w:proofErr w:type="gramEnd"/>
      <w:r>
        <w:rPr>
          <w:color w:val="000000" w:themeColor="text1"/>
        </w:rPr>
        <w:t xml:space="preserve"> najmniej </w:t>
      </w:r>
      <w:r w:rsidRPr="00D116BA">
        <w:rPr>
          <w:b/>
          <w:color w:val="000000" w:themeColor="text1"/>
        </w:rPr>
        <w:t>2244,03 pkt</w:t>
      </w:r>
      <w:r>
        <w:rPr>
          <w:color w:val="000000" w:themeColor="text1"/>
        </w:rPr>
        <w:t xml:space="preserve">. Doszło by wówczas do wybicia z formacji podwójnego dna, co zapowiadać powinno wzrosty do co najmniej </w:t>
      </w:r>
      <w:r w:rsidRPr="00D116BA">
        <w:rPr>
          <w:b/>
          <w:color w:val="000000" w:themeColor="text1"/>
        </w:rPr>
        <w:t xml:space="preserve">2352,50 pkt. </w:t>
      </w:r>
      <w:r>
        <w:rPr>
          <w:color w:val="000000" w:themeColor="text1"/>
        </w:rPr>
        <w:t xml:space="preserve">Wzrostom indeksu WIG20 powinny również sprzyjać przewidywane wzrosty indeksu cen surowców CRB, który to indeks wybił się z formacji nietypowego podwójnego dna. </w:t>
      </w:r>
    </w:p>
    <w:p w:rsidR="00212952" w:rsidRDefault="00212952" w:rsidP="00212952">
      <w:pPr>
        <w:pStyle w:val="Akapitzlist"/>
        <w:rPr>
          <w:color w:val="000000" w:themeColor="text1"/>
        </w:rPr>
      </w:pPr>
    </w:p>
    <w:p w:rsidR="00212952" w:rsidRPr="00D116BA" w:rsidRDefault="00212952" w:rsidP="00212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116BA">
        <w:rPr>
          <w:color w:val="000000" w:themeColor="text1"/>
        </w:rPr>
        <w:t xml:space="preserve">Spośród indeksów branżowych bardzo ciekawie prezentuje się </w:t>
      </w:r>
      <w:r>
        <w:rPr>
          <w:color w:val="000000" w:themeColor="text1"/>
        </w:rPr>
        <w:t xml:space="preserve">obliczany przez </w:t>
      </w:r>
      <w:hyperlink r:id="rId34" w:history="1">
        <w:r w:rsidRPr="00F46756">
          <w:rPr>
            <w:rStyle w:val="Hipercze"/>
          </w:rPr>
          <w:t>http://stooq.pl/</w:t>
        </w:r>
      </w:hyperlink>
      <w:r>
        <w:rPr>
          <w:color w:val="000000" w:themeColor="text1"/>
        </w:rPr>
        <w:t xml:space="preserve"> </w:t>
      </w:r>
      <w:r w:rsidRPr="00D116BA">
        <w:rPr>
          <w:b/>
          <w:color w:val="000000" w:themeColor="text1"/>
        </w:rPr>
        <w:t>indeks branży informatycznej</w:t>
      </w:r>
      <w:r w:rsidRPr="00D116BA">
        <w:rPr>
          <w:color w:val="000000" w:themeColor="text1"/>
        </w:rPr>
        <w:t xml:space="preserve">. Jest on bardzo bliski wybici z podwójnego dna, co </w:t>
      </w:r>
      <w:proofErr w:type="gramStart"/>
      <w:r w:rsidRPr="00D116BA">
        <w:rPr>
          <w:color w:val="000000" w:themeColor="text1"/>
        </w:rPr>
        <w:t>zapowiadało by</w:t>
      </w:r>
      <w:proofErr w:type="gramEnd"/>
      <w:r w:rsidRPr="00D116BA">
        <w:rPr>
          <w:color w:val="000000" w:themeColor="text1"/>
        </w:rPr>
        <w:t xml:space="preserve"> </w:t>
      </w:r>
      <w:r w:rsidRPr="00D116BA">
        <w:rPr>
          <w:b/>
          <w:color w:val="000000" w:themeColor="text1"/>
        </w:rPr>
        <w:t>wzrost o 24,2 %.</w:t>
      </w:r>
      <w:r w:rsidRPr="00D116BA">
        <w:rPr>
          <w:color w:val="000000" w:themeColor="text1"/>
        </w:rPr>
        <w:t xml:space="preserve"> Warto przypomnieć, że spośród spółek z indeksu branży budowlanej dotychczas w rubryce </w:t>
      </w:r>
      <w:proofErr w:type="gramStart"/>
      <w:r w:rsidRPr="00B1188D">
        <w:rPr>
          <w:b/>
          <w:color w:val="000000" w:themeColor="text1"/>
        </w:rPr>
        <w:t>,,</w:t>
      </w:r>
      <w:proofErr w:type="gramEnd"/>
      <w:r w:rsidRPr="00B1188D">
        <w:rPr>
          <w:b/>
          <w:color w:val="000000" w:themeColor="text1"/>
        </w:rPr>
        <w:t>Wykres do przemyślenia”</w:t>
      </w:r>
      <w:r w:rsidRPr="00D116BA">
        <w:rPr>
          <w:color w:val="000000" w:themeColor="text1"/>
        </w:rPr>
        <w:t xml:space="preserve"> zostały umieszczone następujące spółki: </w:t>
      </w:r>
      <w:proofErr w:type="spellStart"/>
      <w:r w:rsidRPr="00D116BA">
        <w:rPr>
          <w:b/>
          <w:color w:val="FF0000"/>
        </w:rPr>
        <w:t>Asseco</w:t>
      </w:r>
      <w:proofErr w:type="spellEnd"/>
      <w:r w:rsidRPr="00D116BA">
        <w:rPr>
          <w:b/>
          <w:color w:val="FF0000"/>
        </w:rPr>
        <w:t xml:space="preserve"> Poland, CD Projekt, </w:t>
      </w:r>
      <w:proofErr w:type="spellStart"/>
      <w:r w:rsidRPr="00D116BA">
        <w:rPr>
          <w:b/>
          <w:color w:val="FF0000"/>
        </w:rPr>
        <w:t>Comarch</w:t>
      </w:r>
      <w:proofErr w:type="spellEnd"/>
      <w:r w:rsidRPr="00D116BA">
        <w:rPr>
          <w:b/>
          <w:color w:val="FF0000"/>
        </w:rPr>
        <w:t xml:space="preserve">, </w:t>
      </w:r>
      <w:proofErr w:type="spellStart"/>
      <w:r w:rsidRPr="00D116BA">
        <w:rPr>
          <w:b/>
          <w:color w:val="FF0000"/>
        </w:rPr>
        <w:t>Procas</w:t>
      </w:r>
      <w:proofErr w:type="spellEnd"/>
      <w:r w:rsidRPr="00D116BA">
        <w:rPr>
          <w:b/>
          <w:color w:val="FF0000"/>
        </w:rPr>
        <w:t xml:space="preserve">, </w:t>
      </w:r>
      <w:proofErr w:type="spellStart"/>
      <w:r w:rsidRPr="00D116BA">
        <w:rPr>
          <w:b/>
          <w:color w:val="FF0000"/>
        </w:rPr>
        <w:t>Sygnity</w:t>
      </w:r>
      <w:proofErr w:type="spellEnd"/>
      <w:r w:rsidRPr="00D116BA">
        <w:rPr>
          <w:b/>
          <w:color w:val="FF0000"/>
        </w:rPr>
        <w:t xml:space="preserve"> oraz Unima2000</w:t>
      </w:r>
      <w:r>
        <w:rPr>
          <w:b/>
          <w:color w:val="000000" w:themeColor="text1"/>
        </w:rPr>
        <w:t xml:space="preserve">.   </w:t>
      </w:r>
    </w:p>
    <w:p w:rsidR="00212952" w:rsidRDefault="00212952" w:rsidP="00212952">
      <w:pPr>
        <w:pStyle w:val="Akapitzlist"/>
      </w:pPr>
    </w:p>
    <w:p w:rsidR="00212952" w:rsidRDefault="00212952" w:rsidP="00212952">
      <w:pPr>
        <w:spacing w:after="0" w:line="240" w:lineRule="auto"/>
        <w:jc w:val="both"/>
      </w:pPr>
      <w:r>
        <w:t>Opracował: Sławomir Kłusek, 19 października 2015 roku</w:t>
      </w:r>
    </w:p>
    <w:p w:rsidR="00212952" w:rsidRDefault="00212952" w:rsidP="00212952">
      <w:pPr>
        <w:spacing w:after="0" w:line="240" w:lineRule="auto"/>
        <w:jc w:val="both"/>
      </w:pPr>
    </w:p>
    <w:p w:rsidR="00212952" w:rsidRDefault="00212952" w:rsidP="00212952">
      <w:pPr>
        <w:spacing w:after="0" w:line="240" w:lineRule="auto"/>
        <w:jc w:val="both"/>
      </w:pPr>
      <w:r>
        <w:t xml:space="preserve">Powyższy raport stanowi wyłącznie wyraz osobistych opinii autora. </w:t>
      </w:r>
    </w:p>
    <w:p w:rsidR="00212952" w:rsidRDefault="00212952" w:rsidP="00212952">
      <w:pPr>
        <w:spacing w:after="0" w:line="240" w:lineRule="auto"/>
        <w:jc w:val="both"/>
      </w:pPr>
    </w:p>
    <w:p w:rsidR="00212952" w:rsidRDefault="00212952" w:rsidP="00212952">
      <w:pPr>
        <w:spacing w:after="0" w:line="240" w:lineRule="auto"/>
        <w:jc w:val="both"/>
      </w:pPr>
      <w:r>
        <w:t xml:space="preserve">Treści zawarte na stronie internetowej </w:t>
      </w:r>
      <w:hyperlink r:id="rId35" w:history="1">
        <w:r>
          <w:rPr>
            <w:rStyle w:val="Hipercze"/>
          </w:rPr>
          <w:t>www.analizy-rynkowe.pl</w:t>
        </w:r>
      </w:hyperlink>
      <w: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2005 r. Nr 206, poz. 1715).</w:t>
      </w:r>
    </w:p>
    <w:p w:rsidR="00212952" w:rsidRDefault="00212952" w:rsidP="00212952">
      <w:pPr>
        <w:spacing w:after="0" w:line="240" w:lineRule="auto"/>
        <w:jc w:val="both"/>
      </w:pPr>
    </w:p>
    <w:p w:rsidR="00212952" w:rsidRDefault="00212952" w:rsidP="00212952">
      <w:pPr>
        <w:spacing w:after="0" w:line="240" w:lineRule="auto"/>
        <w:jc w:val="both"/>
        <w:rPr>
          <w:rStyle w:val="Hipercze"/>
        </w:rPr>
      </w:pPr>
      <w:r>
        <w:t xml:space="preserve">Autor nie ponosi odpowiedzialności za jakiekolwiek decyzje inwestycyjne podjęte na podstawie treści zawartych na stronie internetowej </w:t>
      </w:r>
      <w:hyperlink r:id="rId36" w:history="1">
        <w:r>
          <w:rPr>
            <w:rStyle w:val="Hipercze"/>
          </w:rPr>
          <w:t>www.analizy-rynkowe.pl</w:t>
        </w:r>
      </w:hyperlink>
    </w:p>
    <w:p w:rsidR="00212952" w:rsidRDefault="00212952" w:rsidP="00212952">
      <w:pPr>
        <w:spacing w:after="0" w:line="240" w:lineRule="auto"/>
        <w:jc w:val="both"/>
        <w:rPr>
          <w:rStyle w:val="Hipercze"/>
        </w:rPr>
      </w:pPr>
    </w:p>
    <w:p w:rsidR="00212952" w:rsidRDefault="00212952" w:rsidP="00212952">
      <w:pPr>
        <w:spacing w:after="0" w:line="240" w:lineRule="auto"/>
        <w:jc w:val="both"/>
      </w:pPr>
    </w:p>
    <w:p w:rsidR="00212952" w:rsidRDefault="00212952" w:rsidP="00212952">
      <w:pPr>
        <w:spacing w:after="0" w:line="240" w:lineRule="auto"/>
        <w:jc w:val="both"/>
        <w:rPr>
          <w:color w:val="000000" w:themeColor="text1"/>
        </w:rPr>
      </w:pPr>
    </w:p>
    <w:p w:rsidR="00212952" w:rsidRDefault="00212952" w:rsidP="00212952">
      <w:pPr>
        <w:pStyle w:val="Bezodstpw"/>
        <w:jc w:val="both"/>
        <w:rPr>
          <w:sz w:val="26"/>
          <w:szCs w:val="26"/>
        </w:rPr>
      </w:pPr>
    </w:p>
    <w:p w:rsidR="00212952" w:rsidRDefault="00212952" w:rsidP="00212952"/>
    <w:p w:rsidR="00212952" w:rsidRDefault="00212952" w:rsidP="00212952">
      <w:pPr>
        <w:spacing w:after="0" w:line="240" w:lineRule="auto"/>
        <w:jc w:val="both"/>
        <w:rPr>
          <w:color w:val="000000" w:themeColor="text1"/>
        </w:rPr>
      </w:pPr>
    </w:p>
    <w:p w:rsidR="00212952" w:rsidRDefault="00212952" w:rsidP="00212952">
      <w:pPr>
        <w:pStyle w:val="Bezodstpw"/>
        <w:jc w:val="both"/>
        <w:rPr>
          <w:sz w:val="26"/>
          <w:szCs w:val="26"/>
        </w:rPr>
      </w:pPr>
    </w:p>
    <w:sectPr w:rsidR="0021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52"/>
    <w:rsid w:val="00212952"/>
    <w:rsid w:val="00A81B95"/>
    <w:rsid w:val="00B1188D"/>
    <w:rsid w:val="00C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95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9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295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1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2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95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9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295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1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stooq.pl/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analizy-rynkowe.p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34" Type="http://schemas.openxmlformats.org/officeDocument/2006/relationships/hyperlink" Target="http://stooq.pl/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33" Type="http://schemas.openxmlformats.org/officeDocument/2006/relationships/hyperlink" Target="http://analizy-rynkowe.pl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stooq.pl/" TargetMode="External"/><Relationship Id="rId24" Type="http://schemas.openxmlformats.org/officeDocument/2006/relationships/hyperlink" Target="http://www.analizy-rynkowe.pl" TargetMode="External"/><Relationship Id="rId32" Type="http://schemas.openxmlformats.org/officeDocument/2006/relationships/hyperlink" Target="http://www.analizy-rynkowe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hyperlink" Target="http://www.analizy-rynkowe.pl" TargetMode="External"/><Relationship Id="rId36" Type="http://schemas.openxmlformats.org/officeDocument/2006/relationships/hyperlink" Target="http://www.analizy-rynkowe.pl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www.analizy-rynkowe.pl" TargetMode="External"/><Relationship Id="rId31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analizy-rynkowe.pl/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www.analizy-rynkowe.pl" TargetMode="External"/><Relationship Id="rId30" Type="http://schemas.openxmlformats.org/officeDocument/2006/relationships/hyperlink" Target="http://www.analizy-rynkowe.pl" TargetMode="External"/><Relationship Id="rId35" Type="http://schemas.openxmlformats.org/officeDocument/2006/relationships/hyperlink" Target="http://www.analizy-rynk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3611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3</cp:revision>
  <dcterms:created xsi:type="dcterms:W3CDTF">2015-10-18T07:51:00Z</dcterms:created>
  <dcterms:modified xsi:type="dcterms:W3CDTF">2015-10-18T07:56:00Z</dcterms:modified>
</cp:coreProperties>
</file>