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77" w:rsidRDefault="00742377" w:rsidP="00742377">
      <w:pPr>
        <w:pStyle w:val="Bezodstpw"/>
        <w:jc w:val="both"/>
        <w:rPr>
          <w:b/>
          <w:smallCaps/>
          <w:color w:val="548DD4" w:themeColor="text2" w:themeTint="99"/>
          <w:sz w:val="56"/>
          <w:szCs w:val="56"/>
        </w:rPr>
      </w:pPr>
      <w:r>
        <w:rPr>
          <w:b/>
          <w:smallCaps/>
          <w:color w:val="548DD4" w:themeColor="text2" w:themeTint="99"/>
          <w:sz w:val="56"/>
          <w:szCs w:val="56"/>
        </w:rPr>
        <w:t xml:space="preserve">Doświadczenie pokazuje, że okres od końca października roku T do końca kwietnia roku T+1 jest </w:t>
      </w:r>
      <w:r>
        <w:rPr>
          <w:b/>
          <w:smallCaps/>
          <w:color w:val="548DD4" w:themeColor="text2" w:themeTint="99"/>
          <w:sz w:val="56"/>
          <w:szCs w:val="56"/>
          <w:u w:val="single"/>
        </w:rPr>
        <w:t>stosunkowo korzystny</w:t>
      </w:r>
      <w:r>
        <w:rPr>
          <w:b/>
          <w:smallCaps/>
          <w:color w:val="548DD4" w:themeColor="text2" w:themeTint="99"/>
          <w:sz w:val="56"/>
          <w:szCs w:val="56"/>
        </w:rPr>
        <w:t xml:space="preserve"> dla posiadaczy akcji. </w:t>
      </w:r>
    </w:p>
    <w:p w:rsidR="00742377" w:rsidRDefault="00742377" w:rsidP="00742377">
      <w:pPr>
        <w:pStyle w:val="Bezodstpw"/>
        <w:jc w:val="both"/>
        <w:rPr>
          <w:b/>
          <w:smallCaps/>
          <w:color w:val="548DD4" w:themeColor="text2" w:themeTint="99"/>
          <w:sz w:val="56"/>
          <w:szCs w:val="56"/>
        </w:rPr>
      </w:pPr>
      <w:r>
        <w:rPr>
          <w:b/>
          <w:smallCaps/>
          <w:color w:val="548DD4" w:themeColor="text2" w:themeTint="99"/>
          <w:sz w:val="56"/>
          <w:szCs w:val="56"/>
        </w:rPr>
        <w:t xml:space="preserve">Z kolei okres od końca kwietnia do końca października roku T jest </w:t>
      </w:r>
      <w:r>
        <w:rPr>
          <w:b/>
          <w:smallCaps/>
          <w:color w:val="548DD4" w:themeColor="text2" w:themeTint="99"/>
          <w:sz w:val="56"/>
          <w:szCs w:val="56"/>
          <w:u w:val="single"/>
        </w:rPr>
        <w:t>stosunkowo niekorzystny</w:t>
      </w:r>
      <w:r>
        <w:rPr>
          <w:b/>
          <w:smallCaps/>
          <w:color w:val="548DD4" w:themeColor="text2" w:themeTint="99"/>
          <w:sz w:val="56"/>
          <w:szCs w:val="56"/>
        </w:rPr>
        <w:t xml:space="preserve"> dla posiadaczy. </w:t>
      </w:r>
    </w:p>
    <w:p w:rsidR="00742377" w:rsidRDefault="00742377" w:rsidP="00742377">
      <w:pPr>
        <w:pStyle w:val="Bezodstpw"/>
        <w:jc w:val="both"/>
        <w:rPr>
          <w:b/>
          <w:smallCaps/>
          <w:color w:val="548DD4" w:themeColor="text2" w:themeTint="99"/>
          <w:sz w:val="56"/>
          <w:szCs w:val="56"/>
        </w:rPr>
      </w:pPr>
      <w:r>
        <w:rPr>
          <w:b/>
          <w:smallCaps/>
          <w:color w:val="548DD4" w:themeColor="text2" w:themeTint="99"/>
          <w:sz w:val="56"/>
          <w:szCs w:val="56"/>
        </w:rPr>
        <w:t xml:space="preserve">Pomimo to także w okresie pomiędzy końcem kwietnia a końcem października zdarzała się dotychczas zawsze </w:t>
      </w:r>
      <w:r>
        <w:rPr>
          <w:b/>
          <w:smallCaps/>
          <w:color w:val="548DD4" w:themeColor="text2" w:themeTint="99"/>
          <w:sz w:val="56"/>
          <w:szCs w:val="56"/>
          <w:u w:val="single"/>
        </w:rPr>
        <w:t xml:space="preserve">fala wzrostu indeksu WIG20 </w:t>
      </w:r>
      <w:r>
        <w:rPr>
          <w:b/>
          <w:smallCaps/>
          <w:color w:val="FF0000"/>
          <w:sz w:val="56"/>
          <w:szCs w:val="56"/>
          <w:u w:val="single"/>
        </w:rPr>
        <w:t>od wcześniejszego dołka do późniejszego szczytu</w:t>
      </w:r>
      <w:r>
        <w:rPr>
          <w:b/>
          <w:smallCaps/>
          <w:color w:val="548DD4" w:themeColor="text2" w:themeTint="99"/>
          <w:sz w:val="56"/>
          <w:szCs w:val="56"/>
        </w:rPr>
        <w:t xml:space="preserve">, która doprowadzała do wzrostu tego </w:t>
      </w:r>
      <w:proofErr w:type="gramStart"/>
      <w:r>
        <w:rPr>
          <w:b/>
          <w:smallCaps/>
          <w:color w:val="548DD4" w:themeColor="text2" w:themeTint="99"/>
          <w:sz w:val="56"/>
          <w:szCs w:val="56"/>
        </w:rPr>
        <w:t>indeksu o co</w:t>
      </w:r>
      <w:proofErr w:type="gramEnd"/>
      <w:r>
        <w:rPr>
          <w:b/>
          <w:smallCaps/>
          <w:color w:val="548DD4" w:themeColor="text2" w:themeTint="99"/>
          <w:sz w:val="56"/>
          <w:szCs w:val="56"/>
        </w:rPr>
        <w:t xml:space="preserve"> najmniej </w:t>
      </w:r>
      <w:r>
        <w:rPr>
          <w:b/>
          <w:smallCaps/>
          <w:color w:val="FF0000"/>
          <w:sz w:val="56"/>
          <w:szCs w:val="56"/>
        </w:rPr>
        <w:t>10,2 %</w:t>
      </w:r>
      <w:r>
        <w:rPr>
          <w:b/>
          <w:smallCaps/>
          <w:color w:val="548DD4" w:themeColor="text2" w:themeTint="99"/>
          <w:sz w:val="56"/>
          <w:szCs w:val="56"/>
        </w:rPr>
        <w:t xml:space="preserve">. </w:t>
      </w:r>
    </w:p>
    <w:p w:rsidR="00742377" w:rsidRDefault="00742377" w:rsidP="00742377">
      <w:pPr>
        <w:pStyle w:val="Bezodstpw"/>
        <w:jc w:val="both"/>
        <w:rPr>
          <w:b/>
          <w:smallCaps/>
          <w:color w:val="548DD4" w:themeColor="text2" w:themeTint="99"/>
          <w:sz w:val="56"/>
          <w:szCs w:val="56"/>
        </w:rPr>
      </w:pPr>
      <w:r>
        <w:rPr>
          <w:b/>
          <w:smallCaps/>
          <w:color w:val="548DD4" w:themeColor="text2" w:themeTint="99"/>
          <w:sz w:val="56"/>
          <w:szCs w:val="56"/>
        </w:rPr>
        <w:t xml:space="preserve">Na stronach 8-28 zaprezentowałem poszczególne okresy pomiędzy końcem kwietnia a końcem października wszystkich lat okresu 1994-2014. </w:t>
      </w:r>
    </w:p>
    <w:p w:rsidR="00742377" w:rsidRDefault="00742377" w:rsidP="00742377">
      <w:pPr>
        <w:pStyle w:val="Bezodstpw"/>
        <w:jc w:val="both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Załóżmy, że</w:t>
      </w:r>
      <w:r>
        <w:rPr>
          <w:sz w:val="40"/>
          <w:szCs w:val="40"/>
        </w:rPr>
        <w:t xml:space="preserve"> 24 sierpnia 2015 roku został ustanowiony istotny dołek na poziomie </w:t>
      </w:r>
      <w:r>
        <w:rPr>
          <w:color w:val="FF0000"/>
          <w:sz w:val="40"/>
          <w:szCs w:val="40"/>
        </w:rPr>
        <w:t>2056,38 pkt</w:t>
      </w:r>
      <w:r>
        <w:rPr>
          <w:sz w:val="40"/>
          <w:szCs w:val="40"/>
        </w:rPr>
        <w:t xml:space="preserve">. </w:t>
      </w:r>
    </w:p>
    <w:p w:rsidR="00742377" w:rsidRDefault="00742377" w:rsidP="00742377">
      <w:pPr>
        <w:pStyle w:val="Bezodstpw"/>
        <w:jc w:val="both"/>
        <w:rPr>
          <w:sz w:val="40"/>
          <w:szCs w:val="40"/>
        </w:rPr>
      </w:pPr>
      <w:r>
        <w:rPr>
          <w:b/>
          <w:sz w:val="40"/>
          <w:szCs w:val="40"/>
        </w:rPr>
        <w:t>Załóżmy, że</w:t>
      </w:r>
      <w:r>
        <w:rPr>
          <w:sz w:val="40"/>
          <w:szCs w:val="40"/>
        </w:rPr>
        <w:t xml:space="preserve"> dołek ten nie zostanie przebity do końca października 2015 roku. </w:t>
      </w:r>
    </w:p>
    <w:p w:rsidR="00742377" w:rsidRDefault="00742377" w:rsidP="00742377">
      <w:pPr>
        <w:pStyle w:val="Bezodstpw"/>
        <w:jc w:val="both"/>
        <w:rPr>
          <w:sz w:val="40"/>
          <w:szCs w:val="40"/>
        </w:rPr>
      </w:pPr>
      <w:r>
        <w:rPr>
          <w:b/>
          <w:sz w:val="40"/>
          <w:szCs w:val="40"/>
        </w:rPr>
        <w:t>Załóżmy, że</w:t>
      </w:r>
      <w:r>
        <w:rPr>
          <w:sz w:val="40"/>
          <w:szCs w:val="40"/>
        </w:rPr>
        <w:t xml:space="preserve"> zgodnie z doświadczeniem lat 1994-2014 w okresie pomiędzy końcem kwietnia a końcem października 2015 roku pojawi się fala wzrostu indeksu WIG20 pomiędzy wcześniejszym dołkiem a późniejszym szczytem, która doprowadzi do wzrostu indeksu </w:t>
      </w:r>
      <w:proofErr w:type="gramStart"/>
      <w:r>
        <w:rPr>
          <w:sz w:val="40"/>
          <w:szCs w:val="40"/>
        </w:rPr>
        <w:t>WIG20 o co</w:t>
      </w:r>
      <w:proofErr w:type="gramEnd"/>
      <w:r>
        <w:rPr>
          <w:sz w:val="40"/>
          <w:szCs w:val="40"/>
        </w:rPr>
        <w:t xml:space="preserve"> najmniej 10,2 %. </w:t>
      </w:r>
    </w:p>
    <w:p w:rsidR="00742377" w:rsidRDefault="00742377" w:rsidP="00742377">
      <w:pPr>
        <w:pStyle w:val="Bezodstpw"/>
        <w:jc w:val="both"/>
        <w:rPr>
          <w:sz w:val="40"/>
          <w:szCs w:val="40"/>
        </w:rPr>
      </w:pPr>
      <w:r>
        <w:rPr>
          <w:b/>
          <w:sz w:val="40"/>
          <w:szCs w:val="40"/>
        </w:rPr>
        <w:t>Oznaczałoby to, że</w:t>
      </w:r>
      <w:r>
        <w:rPr>
          <w:sz w:val="40"/>
          <w:szCs w:val="40"/>
        </w:rPr>
        <w:t xml:space="preserve"> w okresie do końca października 2015 roku indeks WIG 20 w którymś momencie (na zamknięciu sesji) osiągnie </w:t>
      </w:r>
      <w:proofErr w:type="gramStart"/>
      <w:r>
        <w:rPr>
          <w:sz w:val="40"/>
          <w:szCs w:val="40"/>
        </w:rPr>
        <w:t>poziom co</w:t>
      </w:r>
      <w:proofErr w:type="gramEnd"/>
      <w:r>
        <w:rPr>
          <w:sz w:val="40"/>
          <w:szCs w:val="40"/>
        </w:rPr>
        <w:t xml:space="preserve"> najmniej </w:t>
      </w:r>
      <w:bookmarkStart w:id="0" w:name="_GoBack"/>
      <w:r>
        <w:rPr>
          <w:color w:val="FF0000"/>
          <w:sz w:val="40"/>
          <w:szCs w:val="40"/>
        </w:rPr>
        <w:t>2266,13 pkt</w:t>
      </w:r>
      <w:r>
        <w:rPr>
          <w:sz w:val="40"/>
          <w:szCs w:val="40"/>
        </w:rPr>
        <w:t xml:space="preserve">. </w:t>
      </w:r>
    </w:p>
    <w:bookmarkEnd w:id="0"/>
    <w:p w:rsidR="00742377" w:rsidRDefault="00742377" w:rsidP="00742377">
      <w:pPr>
        <w:pStyle w:val="Bezodstpw"/>
        <w:jc w:val="both"/>
        <w:rPr>
          <w:sz w:val="40"/>
          <w:szCs w:val="40"/>
        </w:rPr>
      </w:pPr>
      <w:r>
        <w:rPr>
          <w:b/>
          <w:sz w:val="40"/>
          <w:szCs w:val="40"/>
        </w:rPr>
        <w:t>Gdyby tak się stało</w:t>
      </w:r>
      <w:r>
        <w:rPr>
          <w:sz w:val="40"/>
          <w:szCs w:val="40"/>
        </w:rPr>
        <w:t xml:space="preserve"> przebita zostałaby spadkowa linia trendu poprowadzona przez szczyty z maja i sierpnia 2015 roku. </w:t>
      </w:r>
    </w:p>
    <w:p w:rsidR="00742377" w:rsidRDefault="00742377" w:rsidP="00742377">
      <w:pPr>
        <w:pStyle w:val="Bezodstpw"/>
        <w:jc w:val="both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pl-PL"/>
        </w:rPr>
        <w:drawing>
          <wp:inline distT="0" distB="0" distL="0" distR="0">
            <wp:extent cx="5429250" cy="325755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77" w:rsidRDefault="00742377" w:rsidP="00742377">
      <w:pPr>
        <w:pStyle w:val="Bezodstpw"/>
        <w:jc w:val="both"/>
        <w:rPr>
          <w:b/>
          <w:sz w:val="86"/>
          <w:szCs w:val="86"/>
        </w:rPr>
      </w:pPr>
      <w:r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 xml:space="preserve">1994 roku </w:t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>
            <wp:extent cx="5419725" cy="3257550"/>
            <wp:effectExtent l="0" t="0" r="952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76"/>
          <w:szCs w:val="76"/>
        </w:rPr>
      </w:pPr>
      <w:r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69,4 %</w:t>
      </w:r>
      <w:r>
        <w:rPr>
          <w:sz w:val="76"/>
          <w:szCs w:val="76"/>
        </w:rPr>
        <w:t xml:space="preserve"> </w:t>
      </w:r>
    </w:p>
    <w:p w:rsidR="00742377" w:rsidRDefault="00742377" w:rsidP="00742377">
      <w:pPr>
        <w:pStyle w:val="Bezodstpw"/>
        <w:jc w:val="both"/>
        <w:rPr>
          <w:b/>
          <w:sz w:val="86"/>
          <w:szCs w:val="86"/>
        </w:rPr>
      </w:pPr>
      <w:r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 xml:space="preserve">1995 roku </w:t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>
            <wp:extent cx="5429250" cy="325755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  <w:r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28,3%</w:t>
      </w:r>
      <w:r>
        <w:rPr>
          <w:sz w:val="76"/>
          <w:szCs w:val="76"/>
        </w:rPr>
        <w:t xml:space="preserve"> </w:t>
      </w:r>
    </w:p>
    <w:p w:rsidR="00742377" w:rsidRDefault="00742377" w:rsidP="00742377">
      <w:pPr>
        <w:pStyle w:val="Bezodstpw"/>
        <w:jc w:val="both"/>
        <w:rPr>
          <w:b/>
          <w:sz w:val="86"/>
          <w:szCs w:val="86"/>
        </w:rPr>
      </w:pPr>
      <w:r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 xml:space="preserve">1996 roku </w:t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>
            <wp:extent cx="5429250" cy="325755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  <w:r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26,4%</w:t>
      </w:r>
      <w:r>
        <w:rPr>
          <w:sz w:val="76"/>
          <w:szCs w:val="76"/>
        </w:rPr>
        <w:t xml:space="preserve"> </w:t>
      </w:r>
    </w:p>
    <w:p w:rsidR="00742377" w:rsidRDefault="00742377" w:rsidP="00742377">
      <w:pPr>
        <w:pStyle w:val="Bezodstpw"/>
        <w:jc w:val="both"/>
        <w:rPr>
          <w:b/>
          <w:sz w:val="86"/>
          <w:szCs w:val="86"/>
        </w:rPr>
      </w:pPr>
      <w:r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 xml:space="preserve">1997 roku </w:t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>
            <wp:extent cx="5429250" cy="325755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  <w:r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24,2%</w:t>
      </w:r>
      <w:r>
        <w:rPr>
          <w:sz w:val="76"/>
          <w:szCs w:val="76"/>
        </w:rPr>
        <w:t xml:space="preserve"> </w:t>
      </w:r>
    </w:p>
    <w:p w:rsidR="00742377" w:rsidRDefault="00742377" w:rsidP="00742377">
      <w:pPr>
        <w:pStyle w:val="Bezodstpw"/>
        <w:jc w:val="both"/>
        <w:rPr>
          <w:b/>
          <w:sz w:val="86"/>
          <w:szCs w:val="86"/>
        </w:rPr>
      </w:pPr>
      <w:r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 xml:space="preserve">1998 roku </w:t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>
            <wp:extent cx="4829175" cy="2905125"/>
            <wp:effectExtent l="0" t="0" r="9525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  <w:r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26,1%</w:t>
      </w:r>
      <w:r>
        <w:rPr>
          <w:sz w:val="76"/>
          <w:szCs w:val="76"/>
        </w:rPr>
        <w:t xml:space="preserve"> </w:t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b/>
          <w:sz w:val="86"/>
          <w:szCs w:val="86"/>
        </w:rPr>
      </w:pPr>
      <w:r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 xml:space="preserve">1999 roku </w:t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>
            <wp:extent cx="5429250" cy="32575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  <w:r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18,6%</w:t>
      </w:r>
      <w:r>
        <w:rPr>
          <w:sz w:val="76"/>
          <w:szCs w:val="76"/>
        </w:rPr>
        <w:t xml:space="preserve"> </w:t>
      </w:r>
    </w:p>
    <w:p w:rsidR="00742377" w:rsidRDefault="00742377" w:rsidP="00742377">
      <w:pPr>
        <w:pStyle w:val="Bezodstpw"/>
        <w:jc w:val="both"/>
        <w:rPr>
          <w:b/>
          <w:sz w:val="86"/>
          <w:szCs w:val="86"/>
        </w:rPr>
      </w:pPr>
      <w:r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 xml:space="preserve">2000 roku </w:t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>
            <wp:extent cx="5429250" cy="325755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76"/>
          <w:szCs w:val="76"/>
        </w:rPr>
      </w:pPr>
      <w:r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11,2%</w:t>
      </w:r>
      <w:r>
        <w:rPr>
          <w:sz w:val="76"/>
          <w:szCs w:val="76"/>
        </w:rPr>
        <w:t xml:space="preserve"> </w:t>
      </w:r>
    </w:p>
    <w:p w:rsidR="00742377" w:rsidRDefault="00742377" w:rsidP="00742377">
      <w:pPr>
        <w:pStyle w:val="Bezodstpw"/>
        <w:jc w:val="both"/>
        <w:rPr>
          <w:b/>
          <w:sz w:val="86"/>
          <w:szCs w:val="86"/>
        </w:rPr>
      </w:pPr>
      <w:r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 xml:space="preserve">2001 roku </w:t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>
            <wp:extent cx="5429250" cy="32575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76"/>
          <w:szCs w:val="76"/>
        </w:rPr>
      </w:pPr>
      <w:r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27,8%</w:t>
      </w:r>
      <w:r>
        <w:rPr>
          <w:sz w:val="76"/>
          <w:szCs w:val="76"/>
        </w:rPr>
        <w:t xml:space="preserve"> </w:t>
      </w:r>
    </w:p>
    <w:p w:rsidR="00742377" w:rsidRDefault="00742377" w:rsidP="00742377">
      <w:pPr>
        <w:pStyle w:val="Bezodstpw"/>
        <w:jc w:val="both"/>
        <w:rPr>
          <w:b/>
          <w:sz w:val="86"/>
          <w:szCs w:val="86"/>
        </w:rPr>
      </w:pPr>
      <w:r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 xml:space="preserve">2002 roku </w:t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>
            <wp:extent cx="5429250" cy="32575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76"/>
          <w:szCs w:val="76"/>
        </w:rPr>
      </w:pPr>
      <w:r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13,7%</w:t>
      </w:r>
      <w:r>
        <w:rPr>
          <w:sz w:val="76"/>
          <w:szCs w:val="76"/>
        </w:rPr>
        <w:t xml:space="preserve"> </w:t>
      </w:r>
    </w:p>
    <w:p w:rsidR="00742377" w:rsidRDefault="00742377" w:rsidP="00742377">
      <w:pPr>
        <w:pStyle w:val="Bezodstpw"/>
        <w:jc w:val="both"/>
        <w:rPr>
          <w:b/>
          <w:sz w:val="86"/>
          <w:szCs w:val="86"/>
        </w:rPr>
      </w:pPr>
      <w:r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 xml:space="preserve">2003 roku </w:t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>
            <wp:extent cx="5429250" cy="32575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76"/>
          <w:szCs w:val="76"/>
        </w:rPr>
      </w:pPr>
      <w:r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54,0%</w:t>
      </w:r>
      <w:r>
        <w:rPr>
          <w:sz w:val="76"/>
          <w:szCs w:val="76"/>
        </w:rPr>
        <w:t xml:space="preserve"> </w:t>
      </w:r>
    </w:p>
    <w:p w:rsidR="00742377" w:rsidRDefault="00742377" w:rsidP="00742377">
      <w:pPr>
        <w:pStyle w:val="Bezodstpw"/>
        <w:jc w:val="both"/>
        <w:rPr>
          <w:b/>
          <w:sz w:val="86"/>
          <w:szCs w:val="86"/>
        </w:rPr>
      </w:pPr>
      <w:r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 xml:space="preserve">2004 roku </w:t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>
            <wp:extent cx="5429250" cy="32575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76"/>
          <w:szCs w:val="76"/>
        </w:rPr>
      </w:pPr>
      <w:r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14,9%</w:t>
      </w:r>
      <w:r>
        <w:rPr>
          <w:sz w:val="76"/>
          <w:szCs w:val="76"/>
        </w:rPr>
        <w:t xml:space="preserve"> </w:t>
      </w:r>
    </w:p>
    <w:p w:rsidR="00742377" w:rsidRDefault="00742377" w:rsidP="00742377">
      <w:pPr>
        <w:pStyle w:val="Bezodstpw"/>
        <w:jc w:val="both"/>
        <w:rPr>
          <w:b/>
          <w:sz w:val="86"/>
          <w:szCs w:val="86"/>
        </w:rPr>
      </w:pPr>
      <w:r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 xml:space="preserve">2005 roku </w:t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>
            <wp:extent cx="5429250" cy="32575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76"/>
          <w:szCs w:val="76"/>
        </w:rPr>
      </w:pPr>
      <w:r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40,5%</w:t>
      </w:r>
      <w:r>
        <w:rPr>
          <w:sz w:val="76"/>
          <w:szCs w:val="76"/>
        </w:rPr>
        <w:t xml:space="preserve"> </w:t>
      </w:r>
    </w:p>
    <w:p w:rsidR="00742377" w:rsidRDefault="00742377" w:rsidP="00742377">
      <w:pPr>
        <w:pStyle w:val="Bezodstpw"/>
        <w:jc w:val="both"/>
        <w:rPr>
          <w:b/>
          <w:sz w:val="86"/>
          <w:szCs w:val="86"/>
        </w:rPr>
      </w:pPr>
      <w:r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 xml:space="preserve">2006 roku </w:t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>
            <wp:extent cx="5429250" cy="32575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76"/>
          <w:szCs w:val="76"/>
        </w:rPr>
      </w:pPr>
      <w:r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26,5%</w:t>
      </w:r>
      <w:r>
        <w:rPr>
          <w:sz w:val="76"/>
          <w:szCs w:val="76"/>
        </w:rPr>
        <w:t xml:space="preserve"> </w:t>
      </w:r>
    </w:p>
    <w:p w:rsidR="00742377" w:rsidRDefault="00742377" w:rsidP="00742377">
      <w:pPr>
        <w:pStyle w:val="Bezodstpw"/>
        <w:jc w:val="both"/>
        <w:rPr>
          <w:b/>
          <w:sz w:val="86"/>
          <w:szCs w:val="86"/>
        </w:rPr>
      </w:pPr>
      <w:r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 xml:space="preserve">2007 roku </w:t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>
            <wp:extent cx="5429250" cy="32575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76"/>
          <w:szCs w:val="76"/>
        </w:rPr>
      </w:pPr>
      <w:r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17,7%</w:t>
      </w:r>
      <w:r>
        <w:rPr>
          <w:sz w:val="76"/>
          <w:szCs w:val="76"/>
        </w:rPr>
        <w:t xml:space="preserve"> </w:t>
      </w:r>
    </w:p>
    <w:p w:rsidR="00742377" w:rsidRDefault="00742377" w:rsidP="00742377">
      <w:pPr>
        <w:pStyle w:val="Bezodstpw"/>
        <w:jc w:val="both"/>
        <w:rPr>
          <w:b/>
          <w:sz w:val="86"/>
          <w:szCs w:val="86"/>
        </w:rPr>
      </w:pPr>
      <w:r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 xml:space="preserve">2008 roku </w:t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>
            <wp:extent cx="5429250" cy="32575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76"/>
          <w:szCs w:val="76"/>
        </w:rPr>
      </w:pPr>
      <w:r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14,2%</w:t>
      </w:r>
      <w:r>
        <w:rPr>
          <w:sz w:val="76"/>
          <w:szCs w:val="76"/>
        </w:rPr>
        <w:t xml:space="preserve"> </w:t>
      </w:r>
    </w:p>
    <w:p w:rsidR="00742377" w:rsidRDefault="00742377" w:rsidP="00742377">
      <w:pPr>
        <w:pStyle w:val="Bezodstpw"/>
        <w:jc w:val="both"/>
        <w:rPr>
          <w:b/>
          <w:sz w:val="86"/>
          <w:szCs w:val="86"/>
        </w:rPr>
      </w:pPr>
      <w:r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 xml:space="preserve">2009 roku </w:t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>
            <wp:extent cx="5429250" cy="32575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76"/>
          <w:szCs w:val="76"/>
        </w:rPr>
      </w:pPr>
      <w:r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34,1%</w:t>
      </w:r>
      <w:r>
        <w:rPr>
          <w:sz w:val="76"/>
          <w:szCs w:val="76"/>
        </w:rPr>
        <w:t xml:space="preserve"> </w:t>
      </w:r>
    </w:p>
    <w:p w:rsidR="00742377" w:rsidRDefault="00742377" w:rsidP="00742377">
      <w:pPr>
        <w:pStyle w:val="Bezodstpw"/>
        <w:jc w:val="both"/>
        <w:rPr>
          <w:b/>
          <w:sz w:val="86"/>
          <w:szCs w:val="86"/>
        </w:rPr>
      </w:pPr>
      <w:r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 xml:space="preserve">2010 roku </w:t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>
            <wp:extent cx="5429250" cy="3257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b/>
          <w:sz w:val="66"/>
          <w:szCs w:val="66"/>
        </w:rPr>
      </w:pPr>
      <w:r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18,6%</w:t>
      </w:r>
      <w:r>
        <w:rPr>
          <w:sz w:val="76"/>
          <w:szCs w:val="76"/>
        </w:rPr>
        <w:t xml:space="preserve"> </w:t>
      </w:r>
    </w:p>
    <w:p w:rsidR="00742377" w:rsidRDefault="00742377" w:rsidP="00742377">
      <w:pPr>
        <w:pStyle w:val="Bezodstpw"/>
        <w:jc w:val="both"/>
        <w:rPr>
          <w:b/>
          <w:sz w:val="86"/>
          <w:szCs w:val="86"/>
        </w:rPr>
      </w:pPr>
      <w:r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 xml:space="preserve">2011 roku </w:t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>
            <wp:extent cx="5429250" cy="3257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b/>
          <w:sz w:val="66"/>
          <w:szCs w:val="66"/>
        </w:rPr>
      </w:pPr>
      <w:r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15,6%</w:t>
      </w:r>
      <w:r>
        <w:rPr>
          <w:sz w:val="76"/>
          <w:szCs w:val="76"/>
        </w:rPr>
        <w:t xml:space="preserve"> </w:t>
      </w:r>
    </w:p>
    <w:p w:rsidR="00742377" w:rsidRDefault="00742377" w:rsidP="00742377">
      <w:pPr>
        <w:pStyle w:val="Bezodstpw"/>
        <w:jc w:val="both"/>
        <w:rPr>
          <w:b/>
          <w:sz w:val="86"/>
          <w:szCs w:val="86"/>
        </w:rPr>
      </w:pPr>
      <w:r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 xml:space="preserve">2012 roku </w:t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>
            <wp:extent cx="5429250" cy="3257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b/>
          <w:sz w:val="66"/>
          <w:szCs w:val="66"/>
        </w:rPr>
      </w:pPr>
      <w:r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18,7%</w:t>
      </w:r>
      <w:r>
        <w:rPr>
          <w:sz w:val="76"/>
          <w:szCs w:val="76"/>
        </w:rPr>
        <w:t xml:space="preserve"> </w:t>
      </w:r>
    </w:p>
    <w:p w:rsidR="00742377" w:rsidRDefault="00742377" w:rsidP="00742377">
      <w:pPr>
        <w:pStyle w:val="Bezodstpw"/>
        <w:jc w:val="both"/>
        <w:rPr>
          <w:b/>
          <w:sz w:val="86"/>
          <w:szCs w:val="86"/>
        </w:rPr>
      </w:pPr>
      <w:r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 xml:space="preserve">2013 roku </w:t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>
            <wp:extent cx="5429250" cy="3257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b/>
          <w:sz w:val="66"/>
          <w:szCs w:val="66"/>
        </w:rPr>
      </w:pPr>
      <w:r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18,3%</w:t>
      </w:r>
      <w:r>
        <w:rPr>
          <w:sz w:val="76"/>
          <w:szCs w:val="76"/>
        </w:rPr>
        <w:t xml:space="preserve"> </w:t>
      </w:r>
    </w:p>
    <w:p w:rsidR="00742377" w:rsidRDefault="00742377" w:rsidP="00742377">
      <w:pPr>
        <w:pStyle w:val="Bezodstpw"/>
        <w:jc w:val="both"/>
        <w:rPr>
          <w:b/>
          <w:sz w:val="86"/>
          <w:szCs w:val="86"/>
        </w:rPr>
      </w:pPr>
      <w:r>
        <w:rPr>
          <w:sz w:val="86"/>
          <w:szCs w:val="86"/>
        </w:rPr>
        <w:lastRenderedPageBreak/>
        <w:t xml:space="preserve">Okres od końca kwietnia do końca października </w:t>
      </w:r>
      <w:r>
        <w:rPr>
          <w:b/>
          <w:sz w:val="86"/>
          <w:szCs w:val="86"/>
        </w:rPr>
        <w:t xml:space="preserve">2014 roku </w:t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  <w:r>
        <w:rPr>
          <w:noProof/>
          <w:sz w:val="66"/>
          <w:szCs w:val="66"/>
          <w:lang w:eastAsia="pl-PL"/>
        </w:rPr>
        <w:drawing>
          <wp:inline distT="0" distB="0" distL="0" distR="0">
            <wp:extent cx="5429250" cy="3257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77" w:rsidRDefault="00742377" w:rsidP="00742377">
      <w:pPr>
        <w:pStyle w:val="Bezodstpw"/>
        <w:jc w:val="both"/>
        <w:rPr>
          <w:sz w:val="66"/>
          <w:szCs w:val="66"/>
        </w:rPr>
      </w:pPr>
    </w:p>
    <w:p w:rsidR="00742377" w:rsidRDefault="00742377" w:rsidP="00742377">
      <w:pPr>
        <w:pStyle w:val="Bezodstpw"/>
        <w:jc w:val="both"/>
        <w:rPr>
          <w:color w:val="000000" w:themeColor="text1"/>
        </w:rPr>
      </w:pPr>
      <w:r>
        <w:rPr>
          <w:sz w:val="76"/>
          <w:szCs w:val="76"/>
        </w:rPr>
        <w:t xml:space="preserve">Wzrost indeksu WIG20 pomiędzy wcześniejszym dołkiem a późniejszym szczytem wyniósł </w:t>
      </w:r>
      <w:r>
        <w:rPr>
          <w:color w:val="FF0000"/>
          <w:sz w:val="76"/>
          <w:szCs w:val="76"/>
        </w:rPr>
        <w:t>10,2%</w:t>
      </w:r>
      <w:r>
        <w:rPr>
          <w:sz w:val="76"/>
          <w:szCs w:val="76"/>
        </w:rPr>
        <w:t xml:space="preserve"> </w:t>
      </w:r>
    </w:p>
    <w:p w:rsidR="00F30CBD" w:rsidRDefault="00F30CBD"/>
    <w:sectPr w:rsidR="00F3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77"/>
    <w:rsid w:val="00742377"/>
    <w:rsid w:val="00F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237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237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1</cp:revision>
  <dcterms:created xsi:type="dcterms:W3CDTF">2015-09-17T09:06:00Z</dcterms:created>
  <dcterms:modified xsi:type="dcterms:W3CDTF">2015-09-17T09:07:00Z</dcterms:modified>
</cp:coreProperties>
</file>