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6A" w:rsidRDefault="0035736A" w:rsidP="0035736A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35736A" w:rsidRDefault="0035736A" w:rsidP="0035736A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35736A" w:rsidRDefault="0035736A" w:rsidP="0035736A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35736A" w:rsidRDefault="0035736A" w:rsidP="0035736A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35736A" w:rsidRDefault="0035736A" w:rsidP="0035736A">
      <w:pPr>
        <w:pStyle w:val="Bezodstpw"/>
        <w:jc w:val="center"/>
        <w:rPr>
          <w:sz w:val="48"/>
          <w:szCs w:val="48"/>
        </w:rPr>
      </w:pPr>
    </w:p>
    <w:p w:rsidR="0035736A" w:rsidRDefault="0035736A" w:rsidP="0035736A">
      <w:pPr>
        <w:pStyle w:val="Bezodstpw"/>
        <w:jc w:val="center"/>
        <w:rPr>
          <w:sz w:val="48"/>
          <w:szCs w:val="48"/>
        </w:rPr>
      </w:pPr>
    </w:p>
    <w:p w:rsidR="0035736A" w:rsidRDefault="0035736A" w:rsidP="0035736A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35736A" w:rsidRDefault="0035736A" w:rsidP="0035736A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736A" w:rsidRDefault="0035736A" w:rsidP="0035736A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35736A" w:rsidRDefault="0035736A" w:rsidP="0035736A"/>
    <w:p w:rsidR="0035736A" w:rsidRDefault="0035736A" w:rsidP="00695E6F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736A" w:rsidRDefault="0035736A" w:rsidP="00695E6F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E6F" w:rsidRDefault="00695E6F" w:rsidP="00695E6F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21 września 2015 roku</w:t>
      </w:r>
    </w:p>
    <w:p w:rsidR="00695E6F" w:rsidRDefault="00695E6F" w:rsidP="00695E6F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E6F" w:rsidRDefault="00695E6F" w:rsidP="0069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18 września 2015 roku = 3,7269</w:t>
      </w:r>
    </w:p>
    <w:p w:rsidR="00695E6F" w:rsidRDefault="00695E6F" w:rsidP="00695E6F">
      <w:pPr>
        <w:spacing w:after="0" w:line="240" w:lineRule="auto"/>
        <w:jc w:val="both"/>
      </w:pPr>
    </w:p>
    <w:p w:rsidR="00695E6F" w:rsidRDefault="00695E6F" w:rsidP="00695E6F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CAAA93E" wp14:editId="4A2B8132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E6F" w:rsidRDefault="00695E6F" w:rsidP="00695E6F">
      <w:pPr>
        <w:spacing w:after="0" w:line="240" w:lineRule="auto"/>
        <w:jc w:val="both"/>
      </w:pPr>
    </w:p>
    <w:p w:rsidR="00695E6F" w:rsidRDefault="00695E6F" w:rsidP="00695E6F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3,25.</w:t>
      </w:r>
    </w:p>
    <w:p w:rsidR="00695E6F" w:rsidRDefault="00695E6F" w:rsidP="0069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18 września 2015 roku = 4,2054</w:t>
      </w:r>
    </w:p>
    <w:p w:rsidR="00695E6F" w:rsidRDefault="00695E6F" w:rsidP="00695E6F">
      <w:pPr>
        <w:spacing w:after="0" w:line="240" w:lineRule="auto"/>
        <w:jc w:val="both"/>
      </w:pPr>
    </w:p>
    <w:p w:rsidR="00695E6F" w:rsidRDefault="00695E6F" w:rsidP="00695E6F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208348F" wp14:editId="0FD4F9D0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E6F" w:rsidRDefault="00695E6F" w:rsidP="00695E6F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ale nie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35736A" w:rsidRDefault="0035736A" w:rsidP="0035736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861312">
        <w:rPr>
          <w:sz w:val="26"/>
          <w:szCs w:val="26"/>
        </w:rPr>
        <w:lastRenderedPageBreak/>
        <w:t>Nadal szansa na wzrosty</w:t>
      </w:r>
    </w:p>
    <w:p w:rsidR="0035736A" w:rsidRDefault="0035736A" w:rsidP="0035736A">
      <w:pPr>
        <w:pStyle w:val="Bezodstpw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poprzednich 2 numerach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wskazywałem, że w okresie od końca kwietnia do końca października zawsze (w latach 1994-2014) było tak, że pomiędzy wcześniejszym dołkiem a późniejszym szczytem dochodziło do wzrostu o co najmniej 10,2 %. Zakładając, że z owym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wcześniejszym dołkiem” mieliśmy do czynienia w dniu 24 sierpnia 2015 roku a w okresie pomiędzy tym ,,wcześniejszym dołkiem” a ,,późniejszym szczytem” dojdzie do wzrostu o 10,2 % to można spodziewać się, że jeszcze przed końce października zobaczymy WIG20 (na zamknięciu którejś z sesji) na poziomie co najmniej 2266,13 pkt.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Pr="00362B0F" w:rsidRDefault="0035736A" w:rsidP="0035736A">
      <w:pPr>
        <w:pStyle w:val="Bezodstpw"/>
        <w:jc w:val="both"/>
        <w:rPr>
          <w:b/>
          <w:sz w:val="26"/>
          <w:szCs w:val="26"/>
          <w:u w:val="single"/>
        </w:rPr>
      </w:pPr>
      <w:r w:rsidRPr="00362B0F">
        <w:rPr>
          <w:b/>
          <w:sz w:val="26"/>
          <w:szCs w:val="26"/>
          <w:u w:val="single"/>
        </w:rPr>
        <w:t>WIG20</w:t>
      </w:r>
    </w:p>
    <w:p w:rsidR="0035736A" w:rsidRPr="00861312" w:rsidRDefault="0035736A" w:rsidP="0035736A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52D4B81C" wp14:editId="45A7FF23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6A" w:rsidRDefault="0035736A" w:rsidP="0035736A">
      <w:pPr>
        <w:jc w:val="both"/>
        <w:rPr>
          <w:sz w:val="26"/>
          <w:szCs w:val="26"/>
        </w:rPr>
      </w:pPr>
    </w:p>
    <w:p w:rsidR="0035736A" w:rsidRDefault="0035736A" w:rsidP="00357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Spośród indeksów branżowych obliczanych przez GPW warto zwrócić uwagę na indeks WIG-Informatyka </w:t>
      </w:r>
    </w:p>
    <w:p w:rsidR="0035736A" w:rsidRPr="00DB6B46" w:rsidRDefault="0035736A" w:rsidP="0035736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WIG-INFORMATYKA – wybicie z podwójnego dna </w:t>
      </w:r>
    </w:p>
    <w:p w:rsidR="0035736A" w:rsidRDefault="0035736A" w:rsidP="0035736A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58F3A9F2" wp14:editId="16CB86A7">
            <wp:extent cx="3028950" cy="18192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 w:rsidRPr="00A7012A">
        <w:rPr>
          <w:sz w:val="26"/>
          <w:szCs w:val="26"/>
        </w:rPr>
        <w:lastRenderedPageBreak/>
        <w:t xml:space="preserve">Indeks WIG-Informatyka wybił się z formacji podwójnego dna. Potem doszło do korekty spadkowej a następnie popyt zaatakował i wydaje się, że wracamy do trendu wzrostowego. </w:t>
      </w:r>
    </w:p>
    <w:p w:rsidR="0035736A" w:rsidRPr="00A7012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Pr="00FC53FB" w:rsidRDefault="0035736A" w:rsidP="0035736A">
      <w:pPr>
        <w:rPr>
          <w:b/>
          <w:sz w:val="26"/>
          <w:szCs w:val="26"/>
          <w:u w:val="single"/>
        </w:rPr>
      </w:pPr>
      <w:r w:rsidRPr="00FC53FB">
        <w:rPr>
          <w:b/>
          <w:sz w:val="26"/>
          <w:szCs w:val="26"/>
          <w:u w:val="single"/>
        </w:rPr>
        <w:t xml:space="preserve">COMARCH </w:t>
      </w:r>
    </w:p>
    <w:p w:rsidR="0035736A" w:rsidRDefault="0035736A" w:rsidP="0035736A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18F97110" wp14:editId="347335B9">
            <wp:extent cx="5429250" cy="3257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6A" w:rsidRDefault="0035736A" w:rsidP="0035736A">
      <w:pPr>
        <w:pStyle w:val="Bezodstpw"/>
        <w:rPr>
          <w:sz w:val="26"/>
          <w:szCs w:val="26"/>
        </w:rPr>
      </w:pPr>
      <w:r w:rsidRPr="00FC53FB">
        <w:rPr>
          <w:sz w:val="26"/>
          <w:szCs w:val="26"/>
        </w:rPr>
        <w:t xml:space="preserve">Spośród spółek wchodzących w skład indeksu WIG-Informatyka moją uwagę zwraca spółka </w:t>
      </w:r>
      <w:proofErr w:type="spellStart"/>
      <w:r w:rsidRPr="00FC53FB">
        <w:rPr>
          <w:sz w:val="26"/>
          <w:szCs w:val="26"/>
        </w:rPr>
        <w:t>Comarch</w:t>
      </w:r>
      <w:proofErr w:type="spellEnd"/>
      <w:r w:rsidRPr="00FC53FB">
        <w:rPr>
          <w:sz w:val="26"/>
          <w:szCs w:val="26"/>
        </w:rPr>
        <w:t xml:space="preserve">. Na wykresie </w:t>
      </w:r>
      <w:r>
        <w:rPr>
          <w:sz w:val="26"/>
          <w:szCs w:val="26"/>
        </w:rPr>
        <w:t xml:space="preserve">kursu akcji tej spółki doszło do wybicia z bardzo dużej formacji podwójnego dna, która to formacja jeszcze się nie wypełniła. </w:t>
      </w:r>
    </w:p>
    <w:p w:rsidR="0035736A" w:rsidRDefault="0035736A" w:rsidP="0035736A">
      <w:pPr>
        <w:pStyle w:val="Bezodstpw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zwrócić uwagę na wykres siły względnej polskiego indeksu cenowego do niemieckiego indeksu DAX. Pojawia się tu szansa na wybicie z formacji podwójnego dna, co stwarza szansę na to, że polski indeks cenowy będzie się zachowywał się lepiej od indeksu DAX. Czyżby więc nadchodziły czasy, w których uwidoczni się relatywna siła polskiego rynku akcji kosztem rynków </w:t>
      </w:r>
      <w:proofErr w:type="gramStart"/>
      <w:r>
        <w:rPr>
          <w:sz w:val="26"/>
          <w:szCs w:val="26"/>
        </w:rPr>
        <w:t>dojrzałych ? (w</w:t>
      </w:r>
      <w:proofErr w:type="gramEnd"/>
      <w:r>
        <w:rPr>
          <w:sz w:val="26"/>
          <w:szCs w:val="26"/>
        </w:rPr>
        <w:t xml:space="preserve"> tym indeksu DAX). Z powyższego wykresu wynika, ze to bardzo realne.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Pr="008815C2" w:rsidRDefault="0035736A" w:rsidP="0035736A">
      <w:pPr>
        <w:pStyle w:val="Bezodstpw"/>
        <w:jc w:val="both"/>
        <w:rPr>
          <w:b/>
          <w:sz w:val="26"/>
          <w:szCs w:val="26"/>
          <w:u w:val="single"/>
        </w:rPr>
      </w:pPr>
      <w:r w:rsidRPr="008815C2">
        <w:rPr>
          <w:b/>
          <w:sz w:val="26"/>
          <w:szCs w:val="26"/>
          <w:u w:val="single"/>
        </w:rPr>
        <w:t>POLSKI INDEKS CENOWY/DAX</w:t>
      </w:r>
    </w:p>
    <w:p w:rsidR="0035736A" w:rsidRDefault="0035736A" w:rsidP="0035736A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2E0DBEA" wp14:editId="47617474">
            <wp:extent cx="3028950" cy="18192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6A" w:rsidRPr="002B0485" w:rsidRDefault="0035736A" w:rsidP="0035736A">
      <w:pPr>
        <w:pStyle w:val="Bezodstpw"/>
        <w:shd w:val="clear" w:color="auto" w:fill="FFFF00"/>
        <w:jc w:val="center"/>
        <w:rPr>
          <w:b/>
          <w:sz w:val="100"/>
          <w:szCs w:val="100"/>
        </w:rPr>
      </w:pPr>
      <w:r w:rsidRPr="002B0485">
        <w:rPr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 w:rsidRPr="002B0485">
        <w:rPr>
          <w:b/>
          <w:sz w:val="100"/>
          <w:szCs w:val="100"/>
        </w:rPr>
        <w:t>,,</w:t>
      </w:r>
      <w:proofErr w:type="gramEnd"/>
      <w:r w:rsidRPr="002B0485">
        <w:rPr>
          <w:b/>
          <w:sz w:val="100"/>
          <w:szCs w:val="100"/>
        </w:rPr>
        <w:t>Wykres do przemyślenia” w okresie 12 pierwszych miesięcy po jej wprowadzeniu do tej rubryki ?</w:t>
      </w: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</w:p>
    <w:p w:rsidR="0035736A" w:rsidRDefault="0035736A" w:rsidP="0035736A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18 września 2015 roku</w:t>
      </w:r>
    </w:p>
    <w:p w:rsidR="0035736A" w:rsidRDefault="0035736A" w:rsidP="0035736A">
      <w:pPr>
        <w:pStyle w:val="Bezodstpw"/>
        <w:jc w:val="center"/>
        <w:rPr>
          <w:b/>
          <w:sz w:val="32"/>
          <w:szCs w:val="32"/>
          <w:u w:val="single"/>
        </w:rPr>
      </w:pP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Wprowadzenie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12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35736A" w:rsidRDefault="0035736A" w:rsidP="0035736A">
      <w:pPr>
        <w:pStyle w:val="Bezodstpw"/>
        <w:jc w:val="both"/>
        <w:rPr>
          <w:sz w:val="26"/>
          <w:szCs w:val="26"/>
        </w:rPr>
      </w:pPr>
    </w:p>
    <w:p w:rsidR="0035736A" w:rsidRPr="00F01EBC" w:rsidRDefault="0035736A" w:rsidP="0035736A">
      <w:pPr>
        <w:spacing w:after="0" w:line="240" w:lineRule="auto"/>
        <w:jc w:val="both"/>
        <w:rPr>
          <w:sz w:val="26"/>
          <w:szCs w:val="26"/>
        </w:rPr>
      </w:pPr>
      <w:r w:rsidRPr="00F01EBC">
        <w:rPr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 w:rsidRPr="00F01EBC">
        <w:rPr>
          <w:sz w:val="26"/>
          <w:szCs w:val="26"/>
        </w:rPr>
        <w:t>,,</w:t>
      </w:r>
      <w:proofErr w:type="gramEnd"/>
      <w:r w:rsidRPr="00F01EBC">
        <w:rPr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35736A" w:rsidRPr="00F01EBC" w:rsidRDefault="0035736A" w:rsidP="0035736A">
      <w:pPr>
        <w:spacing w:after="0" w:line="240" w:lineRule="auto"/>
        <w:jc w:val="both"/>
        <w:rPr>
          <w:sz w:val="26"/>
          <w:szCs w:val="26"/>
        </w:rPr>
      </w:pPr>
      <w:r w:rsidRPr="00F01EBC">
        <w:rPr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 w:rsidRPr="00F01EBC">
        <w:rPr>
          <w:sz w:val="26"/>
          <w:szCs w:val="26"/>
        </w:rPr>
        <w:t>,,</w:t>
      </w:r>
      <w:proofErr w:type="gramEnd"/>
      <w:r w:rsidRPr="00F01EBC">
        <w:rPr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 -12,5 %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Pr="00F01EBC" w:rsidRDefault="0035736A" w:rsidP="0035736A">
      <w:pPr>
        <w:spacing w:after="0" w:line="240" w:lineRule="auto"/>
        <w:jc w:val="both"/>
        <w:rPr>
          <w:sz w:val="26"/>
          <w:szCs w:val="26"/>
        </w:rPr>
      </w:pPr>
      <w:r w:rsidRPr="00F01EBC">
        <w:rPr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3" w:history="1">
        <w:r w:rsidRPr="00F01EBC">
          <w:rPr>
            <w:rStyle w:val="Hipercze"/>
            <w:sz w:val="26"/>
            <w:szCs w:val="26"/>
          </w:rPr>
          <w:t>www.analizy-rynkowe.pl</w:t>
        </w:r>
      </w:hyperlink>
      <w:r w:rsidRPr="00F01EBC">
        <w:rPr>
          <w:sz w:val="26"/>
          <w:szCs w:val="26"/>
        </w:rPr>
        <w:t xml:space="preserve"> w </w:t>
      </w:r>
      <w:proofErr w:type="gramStart"/>
      <w:r w:rsidRPr="00F01EBC">
        <w:rPr>
          <w:sz w:val="26"/>
          <w:szCs w:val="26"/>
        </w:rPr>
        <w:t>rubryce  ,,Wykres</w:t>
      </w:r>
      <w:proofErr w:type="gramEnd"/>
      <w:r w:rsidRPr="00F01EBC">
        <w:rPr>
          <w:sz w:val="26"/>
          <w:szCs w:val="26"/>
        </w:rPr>
        <w:t xml:space="preserve"> do przemyślenia” w okresie od 15 września do 1</w:t>
      </w:r>
      <w:r>
        <w:rPr>
          <w:sz w:val="26"/>
          <w:szCs w:val="26"/>
        </w:rPr>
        <w:t>5</w:t>
      </w:r>
      <w:r w:rsidRPr="00F01EBC">
        <w:rPr>
          <w:sz w:val="26"/>
          <w:szCs w:val="26"/>
        </w:rP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24,2 %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24,2 %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Pr="00AE60C1" w:rsidRDefault="0035736A" w:rsidP="0035736A">
      <w:pPr>
        <w:spacing w:after="0" w:line="240" w:lineRule="auto"/>
        <w:jc w:val="both"/>
        <w:rPr>
          <w:sz w:val="26"/>
          <w:szCs w:val="26"/>
        </w:rPr>
      </w:pPr>
      <w:r w:rsidRPr="00AE60C1">
        <w:rPr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 w:rsidRPr="00AE60C1">
        <w:rPr>
          <w:sz w:val="26"/>
          <w:szCs w:val="26"/>
        </w:rPr>
        <w:t>,,</w:t>
      </w:r>
      <w:proofErr w:type="gramEnd"/>
      <w:r w:rsidRPr="00AE60C1">
        <w:rPr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2,3 %</w:t>
            </w:r>
          </w:p>
        </w:tc>
      </w:tr>
      <w:tr w:rsidR="0035736A" w:rsidTr="006F2D20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-13,2 %</w:t>
            </w:r>
          </w:p>
        </w:tc>
      </w:tr>
    </w:tbl>
    <w:p w:rsidR="0035736A" w:rsidRPr="00737C15" w:rsidRDefault="0035736A" w:rsidP="0035736A">
      <w:pPr>
        <w:spacing w:after="0" w:line="240" w:lineRule="auto"/>
        <w:rPr>
          <w:rFonts w:ascii="Calibri" w:eastAsia="Times New Roman" w:hAnsi="Calibri" w:cs="Times New Roman"/>
          <w:sz w:val="122"/>
          <w:szCs w:val="122"/>
          <w:u w:val="single"/>
          <w:lang w:eastAsia="pl-PL"/>
        </w:rPr>
      </w:pPr>
      <w:r w:rsidRPr="00737C15">
        <w:rPr>
          <w:rFonts w:ascii="Calibri" w:eastAsia="Times New Roman" w:hAnsi="Calibri" w:cs="Times New Roman"/>
          <w:sz w:val="122"/>
          <w:szCs w:val="122"/>
          <w:u w:val="single"/>
          <w:lang w:eastAsia="pl-PL"/>
        </w:rPr>
        <w:lastRenderedPageBreak/>
        <w:t>Wniosek końcowy</w:t>
      </w:r>
    </w:p>
    <w:p w:rsidR="0035736A" w:rsidRDefault="0035736A" w:rsidP="0035736A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76"/>
          <w:szCs w:val="76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5736A" w:rsidRPr="00737C15" w:rsidRDefault="0035736A" w:rsidP="0035736A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7C15">
        <w:rPr>
          <w:rFonts w:ascii="Calibri" w:eastAsia="Times New Roman" w:hAnsi="Calibri" w:cs="Times New Roman"/>
          <w:color w:val="00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737C15">
        <w:rPr>
          <w:rFonts w:ascii="Calibri" w:eastAsia="Times New Roman" w:hAnsi="Calibri" w:cs="Times New Roman"/>
          <w:color w:val="00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37C15">
        <w:rPr>
          <w:rFonts w:ascii="Calibri" w:eastAsia="Times New Roman" w:hAnsi="Calibri" w:cs="Times New Roman"/>
          <w:color w:val="00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</w:t>
      </w:r>
      <w:r w:rsidRPr="00737C15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737C15">
        <w:rPr>
          <w:rFonts w:ascii="Calibri" w:eastAsia="Times New Roman" w:hAnsi="Calibri" w:cs="Times New Roman"/>
          <w:color w:val="00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7C15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20,8 %. </w:t>
      </w:r>
      <w:r w:rsidRPr="00737C15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14,3 %. </w:t>
      </w:r>
    </w:p>
    <w:p w:rsidR="0035736A" w:rsidRPr="00A16BC2" w:rsidRDefault="0035736A" w:rsidP="0035736A">
      <w:pPr>
        <w:pStyle w:val="Bezodstpw"/>
        <w:shd w:val="clear" w:color="auto" w:fill="FFFF00"/>
        <w:jc w:val="center"/>
        <w:rPr>
          <w:b/>
          <w:sz w:val="96"/>
          <w:szCs w:val="96"/>
        </w:rPr>
      </w:pPr>
      <w:r w:rsidRPr="00A16BC2">
        <w:rPr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A16BC2">
        <w:rPr>
          <w:b/>
          <w:sz w:val="96"/>
          <w:szCs w:val="96"/>
        </w:rPr>
        <w:t>,,</w:t>
      </w:r>
      <w:proofErr w:type="gramEnd"/>
      <w:r w:rsidRPr="00A16BC2">
        <w:rPr>
          <w:b/>
          <w:sz w:val="96"/>
          <w:szCs w:val="96"/>
        </w:rPr>
        <w:t xml:space="preserve">Wykres do przemyślenia” w okresie 12 pierwszych miesięcy po jej wprowadzeniu do tej rubryki </w:t>
      </w: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</w:p>
    <w:p w:rsidR="0035736A" w:rsidRDefault="0035736A" w:rsidP="0035736A">
      <w:pPr>
        <w:pStyle w:val="Bezodstpw"/>
        <w:jc w:val="both"/>
        <w:rPr>
          <w:b/>
          <w:sz w:val="26"/>
          <w:szCs w:val="26"/>
        </w:rPr>
      </w:pPr>
    </w:p>
    <w:p w:rsidR="0035736A" w:rsidRDefault="0035736A" w:rsidP="0035736A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18 września 2015 roku</w:t>
      </w: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2,43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+31,4 %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+31,4 %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-12,4 %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>Raportu Tygodniowego” z 29 września 2014 roku w rubryce ,,Wykres do przemyślenia” w okresie od 30 września do 1</w:t>
      </w:r>
      <w:r>
        <w:t>8</w:t>
      </w:r>
      <w:r>
        <w:t xml:space="preserve">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55,88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+22,4 %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25,86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+55,9 %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9,10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- 48,3 %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+10,0% 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- 12,7 %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>Raportu Tygodniowego” z 6 października 2014 roku w rubryce ,,Wykres do przemyślenia” w okresie od 3 października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318,60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+30,5 %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+30,5 %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-11,3 %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>Raportu Tygodniowego” z 20 października 2014 roku w rubryce ,,Wykres do przemyślenia” w okresie od 17 września do 1</w:t>
      </w:r>
      <w:r>
        <w:t>8</w:t>
      </w:r>
      <w:r>
        <w:t xml:space="preserve">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3,43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-34,2 %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-34,2 %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 -9,7 %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1</w:t>
      </w:r>
      <w:r>
        <w:t>8</w:t>
      </w:r>
      <w:r>
        <w:t xml:space="preserve">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14,94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+ 71,7 %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6,55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-5,5 %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+ 33,1 %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-10,5 %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lastRenderedPageBreak/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>Raportu Tygodniowego” z 27 października 2014 roku w rubryce ,,Wykres do przemyślenia” w okresie od 24 października 2014 roku do 1</w:t>
      </w:r>
      <w:r>
        <w:t>8</w:t>
      </w:r>
      <w:r>
        <w:t xml:space="preserve">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3,42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-10,6 %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>Raportu Tygodniowego” z 3 listopada 2014 roku w rubryce ,,Wykres do przemyślenia” w okresie od 31 października 2014 roku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13,70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-14,4 %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-14,4 %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-12,0 %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>Raportu Tygodniowego” z 1 grudnia 2014 roku w rubryce ,,Wykres do przemyślenia” w okresie od 28 listopada 2014 roku do 1</w:t>
      </w:r>
      <w:r>
        <w:t>8</w:t>
      </w:r>
      <w:r>
        <w:t xml:space="preserve">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1,67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Pr="003E4869" w:rsidRDefault="0035736A" w:rsidP="006F2D20">
            <w:pPr>
              <w:jc w:val="center"/>
              <w:rPr>
                <w:rFonts w:eastAsiaTheme="minorEastAsia"/>
              </w:rPr>
            </w:pPr>
            <w:r w:rsidRPr="003E4869">
              <w:t>+</w:t>
            </w:r>
            <w:r>
              <w:t>57</w:t>
            </w:r>
            <w:r w:rsidRPr="003E4869">
              <w:t>,</w:t>
            </w:r>
            <w:r>
              <w:t>5</w:t>
            </w:r>
            <w:r w:rsidRPr="003E4869">
              <w:t xml:space="preserve">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Pr="003E4869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E4869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57</w:t>
            </w:r>
            <w:r w:rsidRPr="003E486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3E4869">
              <w:rPr>
                <w:b/>
                <w:color w:val="FF0000"/>
              </w:rPr>
              <w:t xml:space="preserve">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-10,3 %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1</w:t>
      </w:r>
      <w:r>
        <w:t>8</w:t>
      </w:r>
      <w:r>
        <w:t xml:space="preserve"> września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30,16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-19,9 %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-19,9 %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-10,3 %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>Raportu Tygodniowego” z 15 grudnia 2014 roku w rubryce ,,Wykres do przemyślenia” w okresie od 12 grudnia 2014 roku do 19 czerwca 2015 roku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9,35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+14,9 %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+14,9 %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-  8,1 %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126,00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+9,1 %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+9,1 %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-6,4 %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1</w:t>
      </w:r>
      <w:r>
        <w:t>8</w:t>
      </w:r>
      <w:r>
        <w:t xml:space="preserve"> września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3,0 %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3,0 %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-10,3 %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</w:rPr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1,04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-6,3 %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-6,3 %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-10,3 %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5,36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+19,1 %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+19,1 %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-7,3%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  <w:b/>
        </w:rPr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14,57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+92,5 %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+92,5 %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-8,1 %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  <w:b/>
        </w:rPr>
      </w:pPr>
    </w:p>
    <w:p w:rsidR="0035736A" w:rsidRDefault="0035736A" w:rsidP="0035736A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kwietnia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1,24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-0,8 %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-0,8 %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-10,6 %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maja do 1</w:t>
      </w:r>
      <w:r>
        <w:t>8</w:t>
      </w:r>
      <w:r>
        <w:t xml:space="preserve">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11,43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3,0  %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3,0  %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-14,1 %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24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>Wykres do przemyślenia” w okresie od 30 czerwca 2015 roku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8,92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-6,0 %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2,13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-17,4 %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1,73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 -2,3 %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-8,6 %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 -6,5 %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lipca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22,27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7,1 %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7,1 %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-3,4 %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lipca do 1</w:t>
      </w:r>
      <w:r>
        <w:t>8</w:t>
      </w:r>
      <w:r>
        <w:t xml:space="preserve">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42,50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3,0 %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3,0 %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-0,8 %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do 1</w:t>
      </w:r>
      <w:r>
        <w:t>8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Pr="007A568C" w:rsidRDefault="0035736A" w:rsidP="006F2D20">
            <w:pPr>
              <w:jc w:val="center"/>
              <w:rPr>
                <w:rFonts w:eastAsiaTheme="minorEastAsia"/>
                <w:b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12,01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7,2 %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7,2 %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2,9 %</w:t>
            </w:r>
          </w:p>
        </w:tc>
      </w:tr>
    </w:tbl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3 do </w:t>
      </w:r>
      <w:r>
        <w:t>11</w:t>
      </w:r>
      <w:r>
        <w:t xml:space="preserve"> września 2015 roku oraz procentowa zmiana indeksu WIG 20 w tym okresie. </w:t>
      </w:r>
    </w:p>
    <w:p w:rsidR="0035736A" w:rsidRDefault="0035736A" w:rsidP="0035736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302,00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-2,3 %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-2,3 %</w:t>
            </w:r>
          </w:p>
        </w:tc>
      </w:tr>
      <w:tr w:rsidR="0035736A" w:rsidTr="006F2D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A" w:rsidRDefault="0035736A" w:rsidP="006F2D20">
            <w:pPr>
              <w:jc w:val="center"/>
              <w:rPr>
                <w:rFonts w:eastAsiaTheme="minorEastAsia"/>
              </w:rPr>
            </w:pPr>
            <w:r>
              <w:t xml:space="preserve"> 0,6 %</w:t>
            </w:r>
          </w:p>
        </w:tc>
      </w:tr>
    </w:tbl>
    <w:p w:rsidR="0035736A" w:rsidRDefault="0035736A" w:rsidP="0035736A">
      <w:pPr>
        <w:spacing w:after="0" w:line="240" w:lineRule="auto"/>
        <w:jc w:val="both"/>
        <w:rPr>
          <w:sz w:val="40"/>
          <w:szCs w:val="40"/>
        </w:rPr>
      </w:pPr>
    </w:p>
    <w:p w:rsidR="0035736A" w:rsidRPr="00855754" w:rsidRDefault="0035736A" w:rsidP="0035736A">
      <w:pPr>
        <w:spacing w:after="0" w:line="240" w:lineRule="auto"/>
        <w:jc w:val="both"/>
        <w:rPr>
          <w:sz w:val="70"/>
          <w:szCs w:val="70"/>
          <w:u w:val="single"/>
        </w:rPr>
      </w:pPr>
      <w:r w:rsidRPr="00855754">
        <w:rPr>
          <w:sz w:val="70"/>
          <w:szCs w:val="70"/>
        </w:rPr>
        <w:t xml:space="preserve">Spółek, </w:t>
      </w:r>
      <w:r w:rsidRPr="00855754">
        <w:rPr>
          <w:sz w:val="70"/>
          <w:szCs w:val="70"/>
          <w:u w:val="single"/>
        </w:rPr>
        <w:t>dla których nie można jeszcze obliczyć</w:t>
      </w:r>
      <w:r w:rsidRPr="00855754">
        <w:rPr>
          <w:sz w:val="70"/>
          <w:szCs w:val="70"/>
        </w:rPr>
        <w:t xml:space="preserve"> procentowej zmiany kursu akcji po wprowadzeniu jej do rubryki </w:t>
      </w:r>
      <w:proofErr w:type="gramStart"/>
      <w:r w:rsidRPr="00855754">
        <w:rPr>
          <w:sz w:val="70"/>
          <w:szCs w:val="70"/>
        </w:rPr>
        <w:t>,,</w:t>
      </w:r>
      <w:proofErr w:type="gramEnd"/>
      <w:r w:rsidRPr="00855754">
        <w:rPr>
          <w:sz w:val="70"/>
          <w:szCs w:val="70"/>
        </w:rPr>
        <w:t xml:space="preserve">Wykres do przemyślenia” w okresie 12 pierwszych miesięcy po jej wprowadzeniu do tej rubryki </w:t>
      </w:r>
      <w:r w:rsidRPr="00855754">
        <w:rPr>
          <w:sz w:val="70"/>
          <w:szCs w:val="70"/>
          <w:u w:val="single"/>
        </w:rPr>
        <w:t xml:space="preserve">jest </w:t>
      </w:r>
      <w:r w:rsidRPr="00855754">
        <w:rPr>
          <w:b/>
          <w:sz w:val="70"/>
          <w:szCs w:val="70"/>
          <w:u w:val="single"/>
        </w:rPr>
        <w:t>27.</w:t>
      </w:r>
      <w:r w:rsidRPr="00855754">
        <w:rPr>
          <w:sz w:val="70"/>
          <w:szCs w:val="70"/>
          <w:u w:val="single"/>
        </w:rPr>
        <w:t xml:space="preserve"> </w:t>
      </w:r>
    </w:p>
    <w:p w:rsidR="0035736A" w:rsidRPr="00855754" w:rsidRDefault="0035736A" w:rsidP="0035736A">
      <w:pPr>
        <w:spacing w:after="0" w:line="240" w:lineRule="auto"/>
        <w:jc w:val="both"/>
        <w:rPr>
          <w:sz w:val="70"/>
          <w:szCs w:val="70"/>
        </w:rPr>
      </w:pPr>
    </w:p>
    <w:p w:rsidR="0035736A" w:rsidRPr="000B785B" w:rsidRDefault="0035736A" w:rsidP="0035736A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 odniesieniu do tej grupy </w:t>
      </w:r>
      <w:r>
        <w:rPr>
          <w:b/>
          <w:sz w:val="40"/>
          <w:szCs w:val="40"/>
          <w:u w:val="single"/>
        </w:rPr>
        <w:t>27</w:t>
      </w:r>
      <w:r w:rsidRPr="000D018E">
        <w:rPr>
          <w:b/>
          <w:sz w:val="40"/>
          <w:szCs w:val="40"/>
          <w:u w:val="single"/>
        </w:rPr>
        <w:t xml:space="preserve"> spółek</w:t>
      </w:r>
      <w:r>
        <w:rPr>
          <w:sz w:val="40"/>
          <w:szCs w:val="40"/>
        </w:rPr>
        <w:t xml:space="preserve"> można sformułować następujący wniosek: </w:t>
      </w:r>
    </w:p>
    <w:p w:rsidR="0035736A" w:rsidRDefault="0035736A" w:rsidP="0035736A">
      <w:pPr>
        <w:spacing w:after="0" w:line="240" w:lineRule="auto"/>
        <w:jc w:val="both"/>
        <w:rPr>
          <w:sz w:val="60"/>
          <w:szCs w:val="60"/>
          <w:u w:val="single"/>
        </w:rPr>
      </w:pPr>
    </w:p>
    <w:p w:rsidR="0035736A" w:rsidRPr="00855754" w:rsidRDefault="0035736A" w:rsidP="0035736A">
      <w:pPr>
        <w:spacing w:after="0" w:line="240" w:lineRule="auto"/>
        <w:jc w:val="both"/>
        <w:rPr>
          <w:sz w:val="66"/>
          <w:szCs w:val="66"/>
          <w:u w:val="single"/>
        </w:rPr>
      </w:pPr>
      <w:r w:rsidRPr="00855754">
        <w:rPr>
          <w:sz w:val="66"/>
          <w:szCs w:val="66"/>
          <w:u w:val="single"/>
        </w:rPr>
        <w:t xml:space="preserve">Wniosek </w:t>
      </w:r>
    </w:p>
    <w:p w:rsidR="0035736A" w:rsidRPr="00855754" w:rsidRDefault="0035736A" w:rsidP="0035736A">
      <w:pPr>
        <w:spacing w:after="0" w:line="240" w:lineRule="auto"/>
        <w:jc w:val="both"/>
        <w:rPr>
          <w:sz w:val="66"/>
          <w:szCs w:val="66"/>
        </w:rPr>
      </w:pPr>
    </w:p>
    <w:p w:rsidR="0035736A" w:rsidRPr="00855754" w:rsidRDefault="0035736A" w:rsidP="0035736A">
      <w:pPr>
        <w:spacing w:after="0" w:line="240" w:lineRule="auto"/>
        <w:jc w:val="both"/>
        <w:rPr>
          <w:sz w:val="66"/>
          <w:szCs w:val="66"/>
        </w:rPr>
      </w:pPr>
      <w:r w:rsidRPr="00855754">
        <w:rPr>
          <w:sz w:val="66"/>
          <w:szCs w:val="66"/>
        </w:rPr>
        <w:t xml:space="preserve">Warto zauważyć, że </w:t>
      </w:r>
    </w:p>
    <w:p w:rsidR="0035736A" w:rsidRPr="00855754" w:rsidRDefault="0035736A" w:rsidP="0035736A">
      <w:pPr>
        <w:spacing w:after="0" w:line="240" w:lineRule="auto"/>
        <w:jc w:val="both"/>
        <w:rPr>
          <w:sz w:val="66"/>
          <w:szCs w:val="66"/>
        </w:rPr>
      </w:pPr>
    </w:p>
    <w:p w:rsidR="0035736A" w:rsidRPr="0035736A" w:rsidRDefault="0035736A" w:rsidP="0035736A">
      <w:pPr>
        <w:spacing w:after="0" w:line="240" w:lineRule="auto"/>
        <w:jc w:val="both"/>
        <w:rPr>
          <w:b/>
          <w:sz w:val="66"/>
          <w:szCs w:val="66"/>
        </w:rPr>
      </w:pPr>
      <w:r w:rsidRPr="00855754">
        <w:rPr>
          <w:b/>
          <w:color w:val="000000" w:themeColor="text1"/>
          <w:sz w:val="66"/>
          <w:szCs w:val="66"/>
        </w:rPr>
        <w:t xml:space="preserve">spośród </w:t>
      </w:r>
      <w:r w:rsidRPr="00855754">
        <w:rPr>
          <w:b/>
          <w:color w:val="000000" w:themeColor="text1"/>
          <w:sz w:val="66"/>
          <w:szCs w:val="66"/>
          <w:u w:val="single"/>
        </w:rPr>
        <w:t>2</w:t>
      </w:r>
      <w:r>
        <w:rPr>
          <w:b/>
          <w:color w:val="000000" w:themeColor="text1"/>
          <w:sz w:val="66"/>
          <w:szCs w:val="66"/>
          <w:u w:val="single"/>
        </w:rPr>
        <w:t>7</w:t>
      </w:r>
      <w:r w:rsidRPr="00855754">
        <w:rPr>
          <w:b/>
          <w:color w:val="000000" w:themeColor="text1"/>
          <w:sz w:val="66"/>
          <w:szCs w:val="66"/>
          <w:u w:val="single"/>
        </w:rPr>
        <w:t xml:space="preserve"> </w:t>
      </w:r>
      <w:proofErr w:type="gramStart"/>
      <w:r w:rsidRPr="00855754">
        <w:rPr>
          <w:b/>
          <w:color w:val="000000" w:themeColor="text1"/>
          <w:sz w:val="66"/>
          <w:szCs w:val="66"/>
          <w:u w:val="single"/>
        </w:rPr>
        <w:t>spółek</w:t>
      </w:r>
      <w:r w:rsidRPr="00855754">
        <w:rPr>
          <w:sz w:val="66"/>
          <w:szCs w:val="66"/>
        </w:rPr>
        <w:t xml:space="preserve"> (których</w:t>
      </w:r>
      <w:proofErr w:type="gramEnd"/>
      <w:r w:rsidRPr="00855754">
        <w:rPr>
          <w:sz w:val="66"/>
          <w:szCs w:val="66"/>
        </w:rPr>
        <w:t xml:space="preserve"> lista </w:t>
      </w:r>
      <w:r w:rsidRPr="0035736A">
        <w:rPr>
          <w:b/>
          <w:sz w:val="66"/>
          <w:szCs w:val="66"/>
        </w:rPr>
        <w:t xml:space="preserve">opublikowana jest na str. </w:t>
      </w:r>
      <w:r>
        <w:rPr>
          <w:b/>
          <w:sz w:val="66"/>
          <w:szCs w:val="66"/>
        </w:rPr>
        <w:t>10</w:t>
      </w:r>
      <w:r w:rsidRPr="0035736A">
        <w:rPr>
          <w:b/>
          <w:sz w:val="66"/>
          <w:szCs w:val="66"/>
        </w:rPr>
        <w:t>-1</w:t>
      </w:r>
      <w:r>
        <w:rPr>
          <w:b/>
          <w:sz w:val="66"/>
          <w:szCs w:val="66"/>
        </w:rPr>
        <w:t>4</w:t>
      </w:r>
      <w:r w:rsidRPr="0035736A">
        <w:rPr>
          <w:b/>
          <w:sz w:val="66"/>
          <w:szCs w:val="66"/>
        </w:rPr>
        <w:t xml:space="preserve">) </w:t>
      </w:r>
    </w:p>
    <w:p w:rsidR="0035736A" w:rsidRPr="00855754" w:rsidRDefault="0035736A" w:rsidP="0035736A">
      <w:pPr>
        <w:spacing w:after="0" w:line="240" w:lineRule="auto"/>
        <w:jc w:val="both"/>
        <w:rPr>
          <w:sz w:val="66"/>
          <w:szCs w:val="66"/>
        </w:rPr>
      </w:pPr>
    </w:p>
    <w:p w:rsidR="0035736A" w:rsidRPr="00855754" w:rsidRDefault="0035736A" w:rsidP="0035736A">
      <w:pPr>
        <w:spacing w:after="0" w:line="240" w:lineRule="auto"/>
        <w:jc w:val="both"/>
        <w:rPr>
          <w:b/>
          <w:sz w:val="66"/>
          <w:szCs w:val="66"/>
        </w:rPr>
      </w:pPr>
      <w:proofErr w:type="gramStart"/>
      <w:r w:rsidRPr="00855754">
        <w:rPr>
          <w:b/>
          <w:sz w:val="66"/>
          <w:szCs w:val="66"/>
        </w:rPr>
        <w:t>kursy</w:t>
      </w:r>
      <w:proofErr w:type="gramEnd"/>
      <w:r w:rsidRPr="00855754">
        <w:rPr>
          <w:b/>
          <w:sz w:val="66"/>
          <w:szCs w:val="66"/>
        </w:rPr>
        <w:t xml:space="preserve"> akcji </w:t>
      </w:r>
      <w:r>
        <w:rPr>
          <w:b/>
          <w:color w:val="FF0000"/>
          <w:sz w:val="66"/>
          <w:szCs w:val="66"/>
        </w:rPr>
        <w:t>20-</w:t>
      </w:r>
      <w:r w:rsidRPr="00855754">
        <w:rPr>
          <w:b/>
          <w:color w:val="FF0000"/>
          <w:sz w:val="66"/>
          <w:szCs w:val="66"/>
        </w:rPr>
        <w:t>u spółek</w:t>
      </w:r>
      <w:r w:rsidRPr="00855754">
        <w:rPr>
          <w:sz w:val="66"/>
          <w:szCs w:val="66"/>
        </w:rPr>
        <w:t xml:space="preserve"> od momentu owego zakwalifikowania do tej rubryki do dnia 1</w:t>
      </w:r>
      <w:r>
        <w:rPr>
          <w:sz w:val="66"/>
          <w:szCs w:val="66"/>
        </w:rPr>
        <w:t>8</w:t>
      </w:r>
      <w:r w:rsidRPr="00855754">
        <w:rPr>
          <w:sz w:val="66"/>
          <w:szCs w:val="66"/>
        </w:rPr>
        <w:t xml:space="preserve"> września 2015 roku zachowywały się </w:t>
      </w:r>
      <w:r w:rsidRPr="00855754">
        <w:rPr>
          <w:b/>
          <w:color w:val="FF0000"/>
          <w:sz w:val="66"/>
          <w:szCs w:val="66"/>
          <w:u w:val="single"/>
        </w:rPr>
        <w:t>lepiej</w:t>
      </w:r>
      <w:r w:rsidRPr="00855754">
        <w:rPr>
          <w:b/>
          <w:color w:val="FF0000"/>
          <w:sz w:val="66"/>
          <w:szCs w:val="66"/>
        </w:rPr>
        <w:t xml:space="preserve"> od indeksu WIG20</w:t>
      </w:r>
      <w:r w:rsidRPr="00855754">
        <w:rPr>
          <w:b/>
          <w:sz w:val="66"/>
          <w:szCs w:val="66"/>
        </w:rPr>
        <w:t xml:space="preserve"> </w:t>
      </w:r>
    </w:p>
    <w:p w:rsidR="0035736A" w:rsidRPr="00855754" w:rsidRDefault="0035736A" w:rsidP="0035736A">
      <w:pPr>
        <w:spacing w:after="0" w:line="240" w:lineRule="auto"/>
        <w:jc w:val="both"/>
        <w:rPr>
          <w:b/>
          <w:sz w:val="66"/>
          <w:szCs w:val="66"/>
        </w:rPr>
      </w:pPr>
    </w:p>
    <w:p w:rsidR="0035736A" w:rsidRPr="00855754" w:rsidRDefault="0035736A" w:rsidP="0035736A">
      <w:pPr>
        <w:spacing w:after="0" w:line="240" w:lineRule="auto"/>
        <w:jc w:val="both"/>
        <w:rPr>
          <w:b/>
          <w:sz w:val="66"/>
          <w:szCs w:val="66"/>
        </w:rPr>
      </w:pPr>
      <w:proofErr w:type="gramStart"/>
      <w:r w:rsidRPr="00855754">
        <w:rPr>
          <w:b/>
          <w:sz w:val="66"/>
          <w:szCs w:val="66"/>
        </w:rPr>
        <w:t>a</w:t>
      </w:r>
      <w:proofErr w:type="gramEnd"/>
      <w:r w:rsidRPr="00855754">
        <w:rPr>
          <w:b/>
          <w:sz w:val="66"/>
          <w:szCs w:val="66"/>
        </w:rPr>
        <w:t xml:space="preserve"> </w:t>
      </w:r>
      <w:r>
        <w:rPr>
          <w:b/>
          <w:sz w:val="66"/>
          <w:szCs w:val="66"/>
        </w:rPr>
        <w:t>7</w:t>
      </w:r>
      <w:r w:rsidRPr="00855754">
        <w:rPr>
          <w:b/>
          <w:sz w:val="66"/>
          <w:szCs w:val="66"/>
        </w:rPr>
        <w:t xml:space="preserve">-u </w:t>
      </w:r>
      <w:r w:rsidRPr="00855754">
        <w:rPr>
          <w:b/>
          <w:sz w:val="66"/>
          <w:szCs w:val="66"/>
          <w:u w:val="single"/>
        </w:rPr>
        <w:t xml:space="preserve">gorzej </w:t>
      </w:r>
      <w:r w:rsidRPr="00855754">
        <w:rPr>
          <w:b/>
          <w:sz w:val="66"/>
          <w:szCs w:val="66"/>
        </w:rPr>
        <w:t xml:space="preserve">od indeksu WIG20 </w:t>
      </w:r>
    </w:p>
    <w:p w:rsidR="0035736A" w:rsidRPr="001F2D1E" w:rsidRDefault="0035736A" w:rsidP="0035736A">
      <w:pPr>
        <w:pStyle w:val="Bezodstpw"/>
        <w:jc w:val="both"/>
        <w:rPr>
          <w:color w:val="FF0000"/>
          <w:sz w:val="66"/>
          <w:szCs w:val="66"/>
        </w:rPr>
      </w:pPr>
      <w:proofErr w:type="gramStart"/>
      <w:r w:rsidRPr="001F2D1E">
        <w:rPr>
          <w:sz w:val="66"/>
          <w:szCs w:val="66"/>
        </w:rPr>
        <w:lastRenderedPageBreak/>
        <w:t xml:space="preserve">Uwaga ! – </w:t>
      </w:r>
      <w:proofErr w:type="gramEnd"/>
      <w:r w:rsidRPr="001F2D1E">
        <w:rPr>
          <w:sz w:val="66"/>
          <w:szCs w:val="66"/>
        </w:rPr>
        <w:t xml:space="preserve">na poprzedniej stronie użyłem sformułowania odnoszącego się do tych spółek, które znalazły się w rubryce </w:t>
      </w:r>
      <w:proofErr w:type="gramStart"/>
      <w:r w:rsidRPr="001F2D1E">
        <w:rPr>
          <w:sz w:val="66"/>
          <w:szCs w:val="66"/>
        </w:rPr>
        <w:t>,,</w:t>
      </w:r>
      <w:proofErr w:type="gramEnd"/>
      <w:r w:rsidRPr="001F2D1E">
        <w:rPr>
          <w:sz w:val="66"/>
          <w:szCs w:val="66"/>
        </w:rPr>
        <w:t xml:space="preserve">Wykres do przemyślenia” </w:t>
      </w:r>
      <w:r w:rsidRPr="001F2D1E">
        <w:rPr>
          <w:b/>
          <w:color w:val="FF0000"/>
          <w:sz w:val="66"/>
          <w:szCs w:val="66"/>
          <w:u w:val="single"/>
        </w:rPr>
        <w:t>,,na przestrzeni ostatnich 12 miesięcy”</w:t>
      </w:r>
    </w:p>
    <w:p w:rsidR="0035736A" w:rsidRPr="001F2D1E" w:rsidRDefault="0035736A" w:rsidP="0035736A">
      <w:pPr>
        <w:pStyle w:val="Bezodstpw"/>
        <w:jc w:val="both"/>
        <w:rPr>
          <w:sz w:val="66"/>
          <w:szCs w:val="66"/>
        </w:rPr>
      </w:pPr>
    </w:p>
    <w:p w:rsidR="0035736A" w:rsidRDefault="0035736A" w:rsidP="0035736A">
      <w:pPr>
        <w:pStyle w:val="Bezodstpw"/>
        <w:jc w:val="both"/>
        <w:rPr>
          <w:sz w:val="66"/>
          <w:szCs w:val="66"/>
        </w:rPr>
      </w:pPr>
      <w:r w:rsidRPr="001F2D1E">
        <w:rPr>
          <w:sz w:val="66"/>
          <w:szCs w:val="66"/>
        </w:rPr>
        <w:t xml:space="preserve">Spółki te będę starał się na prowadzonej przeze mnie stronie </w:t>
      </w:r>
      <w:proofErr w:type="gramStart"/>
      <w:r w:rsidRPr="001F2D1E">
        <w:rPr>
          <w:sz w:val="66"/>
          <w:szCs w:val="66"/>
        </w:rPr>
        <w:t xml:space="preserve">internetowej  </w:t>
      </w:r>
      <w:hyperlink r:id="rId29" w:history="1">
        <w:proofErr w:type="gramEnd"/>
        <w:r w:rsidRPr="001F2D1E">
          <w:rPr>
            <w:rStyle w:val="Hipercze"/>
            <w:sz w:val="66"/>
            <w:szCs w:val="66"/>
          </w:rPr>
          <w:t>http://analizy-rynkowe.pl/</w:t>
        </w:r>
      </w:hyperlink>
      <w:r w:rsidRPr="001F2D1E">
        <w:rPr>
          <w:sz w:val="66"/>
          <w:szCs w:val="66"/>
        </w:rPr>
        <w:t xml:space="preserve"> </w:t>
      </w:r>
      <w:r w:rsidRPr="001F2D1E">
        <w:rPr>
          <w:b/>
          <w:color w:val="FF0000"/>
          <w:sz w:val="66"/>
          <w:szCs w:val="66"/>
          <w:u w:val="single"/>
        </w:rPr>
        <w:t>otaczać szczególną opieką intelektualną</w:t>
      </w:r>
      <w:r w:rsidRPr="001F2D1E">
        <w:rPr>
          <w:color w:val="FF0000"/>
          <w:sz w:val="66"/>
          <w:szCs w:val="66"/>
        </w:rPr>
        <w:t xml:space="preserve"> </w:t>
      </w:r>
      <w:r w:rsidRPr="001F2D1E">
        <w:rPr>
          <w:sz w:val="66"/>
          <w:szCs w:val="66"/>
        </w:rPr>
        <w:t xml:space="preserve">to znaczy analizy publikowane na tej stronie będą w znacznej mierzy dotyczyć właśnie tych spółek. </w:t>
      </w:r>
    </w:p>
    <w:p w:rsidR="0035736A" w:rsidRDefault="0035736A" w:rsidP="0035736A">
      <w:pPr>
        <w:pStyle w:val="Bezodstpw"/>
        <w:jc w:val="both"/>
        <w:rPr>
          <w:sz w:val="66"/>
          <w:szCs w:val="66"/>
        </w:rPr>
      </w:pPr>
    </w:p>
    <w:p w:rsidR="0035736A" w:rsidRPr="001F7AF5" w:rsidRDefault="0035736A" w:rsidP="0035736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 w:rsidRPr="001F7AF5">
        <w:rPr>
          <w:b/>
          <w:color w:val="FFFFFF" w:themeColor="background1"/>
          <w:sz w:val="104"/>
          <w:szCs w:val="104"/>
        </w:rPr>
        <w:lastRenderedPageBreak/>
        <w:t>Generalny wniosek</w:t>
      </w:r>
      <w:r>
        <w:rPr>
          <w:b/>
          <w:color w:val="FFFFFF" w:themeColor="background1"/>
          <w:sz w:val="104"/>
          <w:szCs w:val="104"/>
        </w:rPr>
        <w:t>:</w:t>
      </w:r>
    </w:p>
    <w:p w:rsidR="0035736A" w:rsidRPr="001F7AF5" w:rsidRDefault="0035736A" w:rsidP="0035736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>k</w:t>
      </w:r>
      <w:r w:rsidRPr="001F7AF5">
        <w:rPr>
          <w:b/>
          <w:color w:val="FFFFFF" w:themeColor="background1"/>
          <w:sz w:val="104"/>
          <w:szCs w:val="104"/>
        </w:rPr>
        <w:t xml:space="preserve">ursy akcji spółki po wprowadzeniu jej do rubryki </w:t>
      </w:r>
      <w:proofErr w:type="gramStart"/>
      <w:r w:rsidRPr="001F7AF5">
        <w:rPr>
          <w:b/>
          <w:color w:val="FFFFFF" w:themeColor="background1"/>
          <w:sz w:val="104"/>
          <w:szCs w:val="104"/>
        </w:rPr>
        <w:t>,,</w:t>
      </w:r>
      <w:proofErr w:type="gramEnd"/>
      <w:r w:rsidRPr="001F7AF5">
        <w:rPr>
          <w:b/>
          <w:color w:val="FFFFFF" w:themeColor="background1"/>
          <w:sz w:val="104"/>
          <w:szCs w:val="104"/>
        </w:rPr>
        <w:t xml:space="preserve">Wykres do przemyślenia” </w:t>
      </w:r>
      <w:r>
        <w:rPr>
          <w:b/>
          <w:color w:val="FFFFFF" w:themeColor="background1"/>
          <w:sz w:val="104"/>
          <w:szCs w:val="104"/>
        </w:rPr>
        <w:t>zasadniczo</w:t>
      </w:r>
      <w:r w:rsidRPr="001F7AF5">
        <w:rPr>
          <w:b/>
          <w:color w:val="FFFFFF" w:themeColor="background1"/>
          <w:sz w:val="104"/>
          <w:szCs w:val="104"/>
        </w:rPr>
        <w:t xml:space="preserve"> rzecz biorąc wykazują relatywną przewagę nad indeksem WIG20</w:t>
      </w:r>
    </w:p>
    <w:p w:rsidR="0035736A" w:rsidRDefault="0035736A"/>
    <w:p w:rsidR="0035736A" w:rsidRDefault="0035736A"/>
    <w:p w:rsidR="0035736A" w:rsidRDefault="0035736A" w:rsidP="0035736A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040905">
        <w:rPr>
          <w:b/>
          <w:color w:val="000000" w:themeColor="text1"/>
        </w:rPr>
        <w:t>Kurs dolara amerykańskiego (w złotych)</w:t>
      </w:r>
      <w:r w:rsidRPr="00040905">
        <w:rPr>
          <w:color w:val="000000" w:themeColor="text1"/>
        </w:rPr>
        <w:t xml:space="preserve"> spadł poniżej bardzo ważnego oporu na poziomie 3,9130 zł. </w:t>
      </w:r>
      <w:proofErr w:type="gramStart"/>
      <w:r w:rsidRPr="00040905">
        <w:rPr>
          <w:color w:val="000000" w:themeColor="text1"/>
        </w:rPr>
        <w:t>z</w:t>
      </w:r>
      <w:proofErr w:type="gramEnd"/>
      <w:r w:rsidRPr="00040905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040905">
        <w:rPr>
          <w:b/>
          <w:color w:val="FF0000"/>
        </w:rPr>
        <w:t>3,10</w:t>
      </w:r>
      <w:r w:rsidRPr="00040905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</w:t>
      </w:r>
    </w:p>
    <w:p w:rsidR="0035736A" w:rsidRPr="00040905" w:rsidRDefault="0035736A" w:rsidP="0035736A">
      <w:pPr>
        <w:spacing w:after="0" w:line="240" w:lineRule="auto"/>
        <w:ind w:left="720"/>
        <w:jc w:val="both"/>
        <w:rPr>
          <w:color w:val="000000" w:themeColor="text1"/>
        </w:rPr>
      </w:pPr>
    </w:p>
    <w:p w:rsidR="0035736A" w:rsidRPr="00AE745F" w:rsidRDefault="0035736A" w:rsidP="0035736A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</w:t>
      </w:r>
      <w:r w:rsidRPr="00AE745F">
        <w:rPr>
          <w:color w:val="000000" w:themeColor="text1"/>
        </w:rPr>
        <w:t>Potem popyt znów zaatakował, ale nie doszło do przebicia szczytu z lipca 2015 roku. Obecnie ważnym wsparciem jest poziom 3,89</w:t>
      </w:r>
      <w:r>
        <w:rPr>
          <w:color w:val="000000" w:themeColor="text1"/>
        </w:rPr>
        <w:t>32 zł (dołek z maja 2011 roku).</w:t>
      </w:r>
    </w:p>
    <w:p w:rsidR="0035736A" w:rsidRDefault="0035736A" w:rsidP="0035736A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35736A" w:rsidRDefault="0035736A" w:rsidP="0035736A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D67D4B">
        <w:rPr>
          <w:b/>
          <w:color w:val="000000" w:themeColor="text1"/>
          <w:u w:val="single"/>
        </w:rPr>
        <w:t xml:space="preserve">W okresie pomiędzy końcem kwietnia a końcem października zawsze było tak, że WIG20 rósł od wcześniejszego dołka do późniejszego </w:t>
      </w:r>
      <w:proofErr w:type="gramStart"/>
      <w:r w:rsidRPr="00D67D4B">
        <w:rPr>
          <w:b/>
          <w:color w:val="000000" w:themeColor="text1"/>
          <w:u w:val="single"/>
        </w:rPr>
        <w:t>szczytu o co</w:t>
      </w:r>
      <w:proofErr w:type="gramEnd"/>
      <w:r w:rsidRPr="00D67D4B">
        <w:rPr>
          <w:b/>
          <w:color w:val="000000" w:themeColor="text1"/>
          <w:u w:val="single"/>
        </w:rPr>
        <w:t xml:space="preserve"> najmniej 10,</w:t>
      </w:r>
      <w:r>
        <w:rPr>
          <w:b/>
          <w:color w:val="000000" w:themeColor="text1"/>
          <w:u w:val="single"/>
        </w:rPr>
        <w:t>2</w:t>
      </w:r>
      <w:r w:rsidRPr="00D67D4B">
        <w:rPr>
          <w:b/>
          <w:color w:val="000000" w:themeColor="text1"/>
          <w:u w:val="single"/>
        </w:rPr>
        <w:t xml:space="preserve"> %.</w:t>
      </w:r>
      <w:r w:rsidRPr="00D67D4B">
        <w:rPr>
          <w:color w:val="000000" w:themeColor="text1"/>
        </w:rPr>
        <w:t xml:space="preserve"> Zakładając, że i tak będzie w roku 2015 można i przyjmując, że dołek miał miejsce 24 sierpnia można oczekiwać, że w którymś momencie (na zamknięciu </w:t>
      </w:r>
      <w:proofErr w:type="gramStart"/>
      <w:r w:rsidRPr="00D67D4B">
        <w:rPr>
          <w:color w:val="000000" w:themeColor="text1"/>
        </w:rPr>
        <w:t>sesji)   okresie</w:t>
      </w:r>
      <w:proofErr w:type="gramEnd"/>
      <w:r w:rsidRPr="00D67D4B">
        <w:rPr>
          <w:color w:val="000000" w:themeColor="text1"/>
        </w:rPr>
        <w:t xml:space="preserve"> do końca października tego roku WIG20 ukształtuje się na poziomie </w:t>
      </w:r>
      <w:r w:rsidRPr="00D67D4B">
        <w:rPr>
          <w:b/>
          <w:color w:val="000000" w:themeColor="text1"/>
        </w:rPr>
        <w:t>226</w:t>
      </w:r>
      <w:r>
        <w:rPr>
          <w:b/>
          <w:color w:val="000000" w:themeColor="text1"/>
        </w:rPr>
        <w:t>6</w:t>
      </w:r>
      <w:r w:rsidRPr="00D67D4B">
        <w:rPr>
          <w:b/>
          <w:color w:val="000000" w:themeColor="text1"/>
        </w:rPr>
        <w:t>,</w:t>
      </w:r>
      <w:r>
        <w:rPr>
          <w:b/>
          <w:color w:val="000000" w:themeColor="text1"/>
        </w:rPr>
        <w:t>13</w:t>
      </w:r>
      <w:r w:rsidRPr="00D67D4B">
        <w:rPr>
          <w:b/>
          <w:color w:val="000000" w:themeColor="text1"/>
        </w:rPr>
        <w:t xml:space="preserve"> pkt.</w:t>
      </w:r>
      <w:r w:rsidRPr="00D67D4B">
        <w:rPr>
          <w:color w:val="000000" w:themeColor="text1"/>
        </w:rPr>
        <w:t xml:space="preserve"> </w:t>
      </w:r>
    </w:p>
    <w:p w:rsidR="0035736A" w:rsidRPr="009C3C15" w:rsidRDefault="0035736A" w:rsidP="0035736A">
      <w:pPr>
        <w:pStyle w:val="Akapitzlist"/>
        <w:rPr>
          <w:color w:val="000000" w:themeColor="text1"/>
        </w:rPr>
      </w:pPr>
    </w:p>
    <w:p w:rsidR="0035736A" w:rsidRDefault="0035736A" w:rsidP="0035736A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 wykresie siły względnej polskiego indeksu cenowego do niemieckiego indeksu DAX pojawia się szansa na wybicie z dużej formacji podwójnego dna. Pojawia się wiec szansa na to, że w perspektywie kilku lub nawet kilkunastu miesięcy będziemy świadkami </w:t>
      </w:r>
      <w:r w:rsidRPr="0035736A">
        <w:rPr>
          <w:b/>
          <w:color w:val="000000" w:themeColor="text1"/>
          <w:u w:val="single"/>
        </w:rPr>
        <w:t>umocnienia się relatywnej siły polskiego rynku akcji w stosunku do rynków dojrzałych</w:t>
      </w:r>
      <w:r>
        <w:rPr>
          <w:color w:val="000000" w:themeColor="text1"/>
        </w:rPr>
        <w:t>, w tym także w stosunku do niemieckiego rynku akcji</w:t>
      </w:r>
    </w:p>
    <w:p w:rsidR="0035736A" w:rsidRPr="00D67D4B" w:rsidRDefault="0035736A" w:rsidP="0035736A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35736A" w:rsidRDefault="0035736A" w:rsidP="0035736A">
      <w:pPr>
        <w:spacing w:after="0" w:line="240" w:lineRule="auto"/>
        <w:jc w:val="both"/>
      </w:pPr>
      <w:r>
        <w:t>Opracował: Sławomir Kłusek, 21 września 2015 roku</w:t>
      </w:r>
    </w:p>
    <w:p w:rsidR="0035736A" w:rsidRDefault="0035736A" w:rsidP="0035736A">
      <w:pPr>
        <w:spacing w:after="0" w:line="240" w:lineRule="auto"/>
        <w:ind w:left="720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Treści zawarte na stronie internetowej </w:t>
      </w:r>
      <w:hyperlink r:id="rId30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>
      <w:pPr>
        <w:spacing w:after="0" w:line="240" w:lineRule="auto"/>
        <w:jc w:val="both"/>
      </w:pPr>
      <w:r>
        <w:t xml:space="preserve">Autor nie ponosi odpowiedzialności za jakiekolwiek decyzje inwestycyjne podjęte na podstawie treści zawartych na stronie internetowej </w:t>
      </w:r>
      <w:hyperlink r:id="rId31" w:history="1">
        <w:r>
          <w:rPr>
            <w:rStyle w:val="Hipercze"/>
          </w:rPr>
          <w:t>www.analizy-rynkowe.pl</w:t>
        </w:r>
      </w:hyperlink>
    </w:p>
    <w:p w:rsidR="0035736A" w:rsidRDefault="0035736A" w:rsidP="0035736A">
      <w:pPr>
        <w:spacing w:after="0" w:line="240" w:lineRule="auto"/>
        <w:jc w:val="both"/>
      </w:pPr>
    </w:p>
    <w:p w:rsidR="0035736A" w:rsidRDefault="0035736A" w:rsidP="0035736A"/>
    <w:p w:rsidR="0035736A" w:rsidRPr="007A66F3" w:rsidRDefault="0035736A" w:rsidP="0035736A">
      <w:pPr>
        <w:spacing w:after="0" w:line="240" w:lineRule="auto"/>
        <w:jc w:val="both"/>
        <w:rPr>
          <w:b/>
          <w:sz w:val="56"/>
          <w:szCs w:val="56"/>
        </w:rPr>
      </w:pPr>
    </w:p>
    <w:p w:rsidR="0035736A" w:rsidRDefault="0035736A" w:rsidP="0035736A">
      <w:pPr>
        <w:spacing w:after="0" w:line="240" w:lineRule="auto"/>
        <w:jc w:val="both"/>
        <w:rPr>
          <w:sz w:val="26"/>
          <w:szCs w:val="26"/>
        </w:rPr>
      </w:pPr>
    </w:p>
    <w:p w:rsidR="0035736A" w:rsidRDefault="0035736A" w:rsidP="0035736A">
      <w:pPr>
        <w:spacing w:after="0" w:line="240" w:lineRule="auto"/>
        <w:jc w:val="both"/>
        <w:rPr>
          <w:sz w:val="26"/>
          <w:szCs w:val="26"/>
        </w:rPr>
      </w:pPr>
    </w:p>
    <w:p w:rsidR="0035736A" w:rsidRDefault="0035736A">
      <w:bookmarkStart w:id="0" w:name="_GoBack"/>
      <w:bookmarkEnd w:id="0"/>
    </w:p>
    <w:sectPr w:rsidR="0035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F"/>
    <w:rsid w:val="0035736A"/>
    <w:rsid w:val="00695E6F"/>
    <w:rsid w:val="008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E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E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analizy-rynkowe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analizy-rynkowe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3217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2015-09-20T09:36:00Z</dcterms:created>
  <dcterms:modified xsi:type="dcterms:W3CDTF">2015-09-20T09:42:00Z</dcterms:modified>
</cp:coreProperties>
</file>