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72" w:rsidRDefault="00573A3D" w:rsidP="00CD3372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CD3372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aport</w:t>
      </w:r>
    </w:p>
    <w:p w:rsidR="00CD3372" w:rsidRDefault="00CD3372" w:rsidP="00CD3372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CD3372" w:rsidRDefault="00CD3372" w:rsidP="00CD3372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CD3372" w:rsidRDefault="00CD3372" w:rsidP="00CD3372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CD3372" w:rsidRDefault="00CD3372" w:rsidP="00CD3372">
      <w:pPr>
        <w:pStyle w:val="Bezodstpw"/>
        <w:jc w:val="center"/>
        <w:rPr>
          <w:sz w:val="48"/>
          <w:szCs w:val="48"/>
        </w:rPr>
      </w:pPr>
    </w:p>
    <w:p w:rsidR="00CD3372" w:rsidRDefault="00CD3372" w:rsidP="00CD3372">
      <w:pPr>
        <w:pStyle w:val="Bezodstpw"/>
        <w:jc w:val="center"/>
        <w:rPr>
          <w:sz w:val="48"/>
          <w:szCs w:val="48"/>
        </w:rPr>
      </w:pPr>
    </w:p>
    <w:p w:rsidR="00CD3372" w:rsidRDefault="00CD3372" w:rsidP="00CD3372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CD3372" w:rsidRDefault="00CD3372" w:rsidP="00CD3372">
      <w:pPr>
        <w:pStyle w:val="Bezodstpw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3372" w:rsidRDefault="00CD3372" w:rsidP="00CD3372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CD3372" w:rsidRDefault="00CD3372" w:rsidP="00CD3372">
      <w:pPr>
        <w:spacing w:after="0" w:line="240" w:lineRule="auto"/>
        <w:jc w:val="both"/>
      </w:pPr>
    </w:p>
    <w:p w:rsidR="00573A3D" w:rsidRDefault="00573A3D" w:rsidP="00CD3372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A3D" w:rsidRDefault="00573A3D" w:rsidP="00CD3372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A3D" w:rsidRDefault="00573A3D" w:rsidP="00CD3372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3372" w:rsidRDefault="00CD3372" w:rsidP="00CD3372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31 sierpnia 2015 roku</w:t>
      </w:r>
    </w:p>
    <w:p w:rsidR="00CD3372" w:rsidRDefault="00CD3372" w:rsidP="00CD3372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3372" w:rsidRDefault="00CD3372" w:rsidP="00CD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USD/PLN – perspektywa długoterminowa, kurs z 28 sierpnia 2015 roku = 3,7669</w:t>
      </w:r>
    </w:p>
    <w:p w:rsidR="00CD3372" w:rsidRDefault="00CD3372" w:rsidP="00CD3372">
      <w:pPr>
        <w:spacing w:after="0" w:line="240" w:lineRule="auto"/>
        <w:jc w:val="both"/>
      </w:pPr>
    </w:p>
    <w:p w:rsidR="00CD3372" w:rsidRDefault="00CD3372" w:rsidP="00CD3372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1CFEFC35" wp14:editId="7D1E4AE0">
            <wp:extent cx="4829175" cy="2905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372" w:rsidRDefault="00CD3372" w:rsidP="00CD3372">
      <w:pPr>
        <w:spacing w:after="0" w:line="240" w:lineRule="auto"/>
        <w:jc w:val="both"/>
      </w:pPr>
    </w:p>
    <w:p w:rsidR="00CD3372" w:rsidRDefault="00CD3372" w:rsidP="00CD3372">
      <w:pPr>
        <w:spacing w:after="0" w:line="240" w:lineRule="auto"/>
        <w:jc w:val="both"/>
      </w:pPr>
      <w:r>
        <w:t xml:space="preserve">Kurs spadł </w:t>
      </w:r>
      <w:r>
        <w:rPr>
          <w:b/>
          <w:color w:val="FF0000"/>
        </w:rPr>
        <w:t>poniżej bardzo ważnego oporu</w:t>
      </w:r>
      <w:r>
        <w:t xml:space="preserve"> na poziomie 3,9130 zł. </w:t>
      </w:r>
      <w:proofErr w:type="gramStart"/>
      <w:r>
        <w:t>z</w:t>
      </w:r>
      <w:proofErr w:type="gramEnd"/>
      <w:r>
        <w:t xml:space="preserve"> lutego 2009 roku. </w:t>
      </w:r>
      <w:r>
        <w:rPr>
          <w:u w:val="single"/>
        </w:rPr>
        <w:t xml:space="preserve">W tej sytuacji </w:t>
      </w:r>
      <w:r>
        <w:t>można</w:t>
      </w:r>
      <w:r>
        <w:rPr>
          <w:u w:val="single"/>
        </w:rPr>
        <w:t xml:space="preserve"> </w:t>
      </w:r>
      <w:r>
        <w:rPr>
          <w:b/>
          <w:u w:val="single"/>
        </w:rPr>
        <w:t>oczekiwać rozpoczęcia się fali spadków</w:t>
      </w:r>
      <w:r>
        <w:t xml:space="preserve"> w kierunku linii trendu wzrostowego poprowadzonej przez dołki z lipca 2008 roku oraz czerwca 2014 roku, która aktualnie przebiega na poziomie </w:t>
      </w:r>
      <w:r>
        <w:rPr>
          <w:b/>
          <w:color w:val="FF0000"/>
        </w:rPr>
        <w:t>3,25.</w:t>
      </w:r>
    </w:p>
    <w:p w:rsidR="00CD3372" w:rsidRDefault="00CD3372" w:rsidP="00CD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EUR/PLN – perspektywa długoterminowa, kurs z 28 sierpnia 2015 roku = 4,2142</w:t>
      </w:r>
    </w:p>
    <w:p w:rsidR="00CD3372" w:rsidRDefault="00CD3372" w:rsidP="00CD3372">
      <w:pPr>
        <w:spacing w:after="0" w:line="240" w:lineRule="auto"/>
        <w:jc w:val="both"/>
      </w:pPr>
    </w:p>
    <w:p w:rsidR="00CD3372" w:rsidRDefault="00CD3372" w:rsidP="00CD3372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0E2B7A79" wp14:editId="35063A9E">
            <wp:extent cx="4829175" cy="2905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372" w:rsidRDefault="00CD3372" w:rsidP="00CD3372">
      <w:pPr>
        <w:spacing w:after="0" w:line="240" w:lineRule="auto"/>
        <w:jc w:val="both"/>
        <w:rPr>
          <w:color w:val="000000" w:themeColor="text1"/>
        </w:rPr>
      </w:pPr>
      <w:r>
        <w:t xml:space="preserve">Aktywność strony podażowej doprowadziła w pewnym momencie do przebicia od góry spadkowej linii trendu poprowadzonej przez szczyty z lutego 2009 roku oraz grudnia 2011 roku. Później jednak doszło do spadków. Potem popyt znów zaatakował, ale nie doszło do przebicia szczytu z lipca 2015 roku. Obecnie ważnym </w:t>
      </w:r>
      <w:r>
        <w:rPr>
          <w:color w:val="000000" w:themeColor="text1"/>
        </w:rPr>
        <w:t xml:space="preserve">wsparciem jest poziom </w:t>
      </w:r>
      <w:r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Ruch w kierunku tego wsparcia może się zacząć, </w:t>
      </w:r>
      <w:proofErr w:type="gramStart"/>
      <w:r>
        <w:rPr>
          <w:color w:val="000000" w:themeColor="text1"/>
        </w:rPr>
        <w:t>gdyż (o czym</w:t>
      </w:r>
      <w:proofErr w:type="gramEnd"/>
      <w:r>
        <w:rPr>
          <w:color w:val="000000" w:themeColor="text1"/>
        </w:rPr>
        <w:t xml:space="preserve"> będzie mowa potem) szykuje się nad poprawa sytuacji na polskim rynku akcji, czemu może powinien towarzyszyć napływ kapitału zagranicznego.</w:t>
      </w:r>
    </w:p>
    <w:p w:rsidR="009A72C5" w:rsidRDefault="009A72C5" w:rsidP="009A72C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W momentach silnych zaburzeń na rynkach akcji warto spojrzeć na sytuację długoterminową</w:t>
      </w:r>
    </w:p>
    <w:p w:rsidR="009A72C5" w:rsidRDefault="009A72C5" w:rsidP="009A72C5">
      <w:pPr>
        <w:pStyle w:val="Bezodstpw"/>
        <w:jc w:val="center"/>
      </w:pPr>
    </w:p>
    <w:p w:rsidR="009A72C5" w:rsidRDefault="009A72C5" w:rsidP="009A72C5">
      <w:pPr>
        <w:pStyle w:val="Bezodstpw"/>
        <w:jc w:val="both"/>
      </w:pPr>
      <w:r>
        <w:t xml:space="preserve">W okresie od początku do 28 sierpnia mieliśmy do czynienia z silnymi spadkami indeksów rynków akcji w różnych krajach. </w:t>
      </w:r>
    </w:p>
    <w:p w:rsidR="009A72C5" w:rsidRDefault="009A72C5" w:rsidP="009A72C5">
      <w:pPr>
        <w:pStyle w:val="Bezodstpw"/>
        <w:jc w:val="both"/>
      </w:pPr>
    </w:p>
    <w:p w:rsidR="009A72C5" w:rsidRDefault="009A72C5" w:rsidP="009A72C5">
      <w:pPr>
        <w:pStyle w:val="Bezodstpw"/>
        <w:jc w:val="both"/>
      </w:pPr>
      <w:r>
        <w:t xml:space="preserve">Szczególnie silny spadek indeksu nastąpił w Chinach. Generalnie sądzę, że spadek ten mógł wynikać z przekonania, iż perspektywy wzrostu gospodarczego w Chinach nie są aż tak dobre, jak można było tego jeszcze niedawno oczekiwać. </w:t>
      </w:r>
    </w:p>
    <w:p w:rsidR="009A72C5" w:rsidRDefault="009A72C5" w:rsidP="009A72C5">
      <w:pPr>
        <w:pStyle w:val="Bezodstpw"/>
        <w:jc w:val="both"/>
      </w:pPr>
    </w:p>
    <w:p w:rsidR="009A72C5" w:rsidRDefault="009A72C5" w:rsidP="009A72C5">
      <w:pPr>
        <w:pStyle w:val="Bezodstpw"/>
        <w:jc w:val="both"/>
      </w:pPr>
      <w:r w:rsidRPr="00573A3D">
        <w:rPr>
          <w:b/>
          <w:u w:val="single"/>
        </w:rPr>
        <w:t xml:space="preserve">Warto jednak zauważyć, że na przestrzeni ostatnich 12 miesięcy indeks chiński wzrósł o 47,2 %. </w:t>
      </w:r>
      <w:r>
        <w:t xml:space="preserve">Zachowanie tego indeksu było bardzo silne i z tego punktu widzenia nadejście spadkowej korekty jest czymś naturalnym. </w:t>
      </w:r>
    </w:p>
    <w:p w:rsidR="009A72C5" w:rsidRDefault="009A72C5" w:rsidP="009A72C5">
      <w:pPr>
        <w:pStyle w:val="Bezodstpw"/>
        <w:jc w:val="both"/>
      </w:pPr>
    </w:p>
    <w:p w:rsidR="009A72C5" w:rsidRDefault="009A72C5" w:rsidP="009A72C5">
      <w:pPr>
        <w:pStyle w:val="Bezodstpw"/>
        <w:jc w:val="both"/>
      </w:pPr>
      <w:r>
        <w:t xml:space="preserve">Generalnie sądzę, że inwestorów giełdowych mogą niepokoić </w:t>
      </w:r>
      <w:r w:rsidRPr="00573A3D">
        <w:rPr>
          <w:b/>
          <w:u w:val="single"/>
        </w:rPr>
        <w:t>spadki cen surowców</w:t>
      </w:r>
      <w:r>
        <w:t xml:space="preserve">, a dokładnie rzecz biorąc spadki cen kontraktów terminowych na surowce. </w:t>
      </w:r>
    </w:p>
    <w:p w:rsidR="009A72C5" w:rsidRDefault="009A72C5" w:rsidP="009A72C5">
      <w:pPr>
        <w:pStyle w:val="Bezodstpw"/>
        <w:jc w:val="both"/>
      </w:pPr>
    </w:p>
    <w:p w:rsidR="009A72C5" w:rsidRDefault="009A72C5" w:rsidP="009A72C5">
      <w:pPr>
        <w:pStyle w:val="Bezodstpw"/>
        <w:jc w:val="both"/>
      </w:pPr>
      <w:r>
        <w:t xml:space="preserve">Spadki cen kontraktów na surowce mogą wynikać na przykład z tego, że popyt na nie będzie mniejszy niż dotychczas oczekiwano. </w:t>
      </w:r>
    </w:p>
    <w:p w:rsidR="009A72C5" w:rsidRDefault="009A72C5" w:rsidP="009A72C5">
      <w:pPr>
        <w:pStyle w:val="Bezodstpw"/>
        <w:jc w:val="both"/>
      </w:pPr>
    </w:p>
    <w:p w:rsidR="009A72C5" w:rsidRPr="00376E77" w:rsidRDefault="009A72C5" w:rsidP="009A72C5">
      <w:pPr>
        <w:pStyle w:val="Bezodstpw"/>
        <w:jc w:val="both"/>
        <w:rPr>
          <w:b/>
          <w:u w:val="single"/>
        </w:rPr>
      </w:pPr>
      <w:r w:rsidRPr="00376E77">
        <w:rPr>
          <w:b/>
          <w:u w:val="single"/>
        </w:rPr>
        <w:t xml:space="preserve">MIEDŹ </w:t>
      </w:r>
    </w:p>
    <w:p w:rsidR="009A72C5" w:rsidRDefault="009A72C5" w:rsidP="009A72C5">
      <w:pPr>
        <w:pStyle w:val="Bezodstpw"/>
        <w:jc w:val="both"/>
      </w:pPr>
    </w:p>
    <w:p w:rsidR="009A72C5" w:rsidRPr="009A72C5" w:rsidRDefault="009A72C5" w:rsidP="009A72C5">
      <w:pPr>
        <w:pStyle w:val="Bezodstpw"/>
        <w:jc w:val="both"/>
        <w:rPr>
          <w:b/>
        </w:rPr>
      </w:pPr>
      <w:r>
        <w:t xml:space="preserve">Po wybiciu z nietypowej formacji podwójnego dna można oczekiwać spadków cen kontraktów terminowych na miedź </w:t>
      </w:r>
      <w:r w:rsidRPr="009A72C5">
        <w:rPr>
          <w:b/>
        </w:rPr>
        <w:t xml:space="preserve">o jeszcze 12,2 %. </w:t>
      </w:r>
    </w:p>
    <w:p w:rsidR="009A72C5" w:rsidRPr="009A72C5" w:rsidRDefault="009A72C5" w:rsidP="009A72C5">
      <w:pPr>
        <w:pStyle w:val="Bezodstpw"/>
        <w:jc w:val="both"/>
        <w:rPr>
          <w:b/>
        </w:rPr>
      </w:pPr>
    </w:p>
    <w:p w:rsidR="009A72C5" w:rsidRDefault="009A72C5" w:rsidP="009A72C5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5BF6E6E7" wp14:editId="2A051365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2C5" w:rsidRDefault="009A72C5" w:rsidP="009A72C5">
      <w:pPr>
        <w:pStyle w:val="Bezodstpw"/>
        <w:jc w:val="both"/>
      </w:pPr>
    </w:p>
    <w:p w:rsidR="009A72C5" w:rsidRDefault="009A72C5" w:rsidP="009A72C5">
      <w:pPr>
        <w:pStyle w:val="Bezodstpw"/>
        <w:jc w:val="both"/>
      </w:pPr>
      <w:r>
        <w:t xml:space="preserve">Dlaczego to jest tak </w:t>
      </w:r>
      <w:proofErr w:type="gramStart"/>
      <w:r>
        <w:t xml:space="preserve">ważne ? </w:t>
      </w:r>
      <w:proofErr w:type="gramEnd"/>
      <w:r>
        <w:t xml:space="preserve">Otóż ważne jest </w:t>
      </w:r>
      <w:proofErr w:type="gramStart"/>
      <w:r>
        <w:t>to dlatego</w:t>
      </w:r>
      <w:proofErr w:type="gramEnd"/>
      <w:r>
        <w:t xml:space="preserve">, że doświadczenie uczy, iż generalnie rzecz biorąc spadki cen kontraktów terminowych na miedź sprzyjają raczej spadkom cen akcji na rynkach wschodzących. Załóżmy, że w średnim terminie czekają nas rzeczywiście spadki cen kontraktów terminowych na miedź. </w:t>
      </w:r>
    </w:p>
    <w:p w:rsidR="009A72C5" w:rsidRDefault="009A72C5" w:rsidP="009A72C5">
      <w:pPr>
        <w:pStyle w:val="Bezodstpw"/>
        <w:jc w:val="both"/>
      </w:pPr>
    </w:p>
    <w:p w:rsidR="009A72C5" w:rsidRDefault="009A72C5" w:rsidP="009A72C5">
      <w:pPr>
        <w:pStyle w:val="Bezodstpw"/>
        <w:jc w:val="both"/>
      </w:pPr>
      <w:r>
        <w:t xml:space="preserve">Wyobraźmy sobie </w:t>
      </w:r>
      <w:r w:rsidRPr="00B12405">
        <w:rPr>
          <w:b/>
        </w:rPr>
        <w:t>hipotetycznego inwestora Romana</w:t>
      </w:r>
      <w:r>
        <w:t xml:space="preserve">, który zastanawia się nad tym, które akcje spółek mogą się zachowywać na przestrzeni następnych 12 miesięcy stosunkowo mocno na tle zachowania kontraktów terminowych na miedź Aby odpowiedzieć </w:t>
      </w:r>
      <w:proofErr w:type="gramStart"/>
      <w:r>
        <w:t>na  to</w:t>
      </w:r>
      <w:proofErr w:type="gramEnd"/>
      <w:r>
        <w:t xml:space="preserve"> pytanie odwołam się do idei tak zwanego ,,portfela anty-miedziowego” </w:t>
      </w:r>
    </w:p>
    <w:p w:rsidR="009A72C5" w:rsidRDefault="009A72C5" w:rsidP="009A72C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lastRenderedPageBreak/>
        <w:t>,,</w:t>
      </w:r>
      <w:proofErr w:type="gramEnd"/>
      <w:r>
        <w:t>Portfel anty-miedziowy”</w:t>
      </w:r>
    </w:p>
    <w:p w:rsidR="009A72C5" w:rsidRDefault="009A72C5" w:rsidP="009A72C5">
      <w:pPr>
        <w:pStyle w:val="Bezodstpw"/>
        <w:jc w:val="both"/>
      </w:pPr>
    </w:p>
    <w:p w:rsidR="009A72C5" w:rsidRDefault="009A72C5" w:rsidP="009A72C5">
      <w:pPr>
        <w:pStyle w:val="Bezodstpw"/>
        <w:jc w:val="both"/>
      </w:pPr>
      <w:r>
        <w:t xml:space="preserve">12 sierpnia 2015 roku opublikowałem na stronie </w:t>
      </w:r>
      <w:hyperlink r:id="rId9" w:history="1">
        <w:r w:rsidRPr="00642641">
          <w:rPr>
            <w:rStyle w:val="Hipercze"/>
          </w:rPr>
          <w:t>http://analizy-rynkowe.pl/</w:t>
        </w:r>
      </w:hyperlink>
      <w:r>
        <w:t xml:space="preserve"> </w:t>
      </w:r>
      <w:proofErr w:type="spellStart"/>
      <w:r>
        <w:t>tekst</w:t>
      </w:r>
      <w:proofErr w:type="gramStart"/>
      <w:r>
        <w:t>,,</w:t>
      </w:r>
      <w:proofErr w:type="gramEnd"/>
      <w:r>
        <w:t>Kursy</w:t>
      </w:r>
      <w:proofErr w:type="spellEnd"/>
      <w:r>
        <w:t xml:space="preserve">, których akcji mogą wykazywać szczególnie wysoką odporność na ewentualne dalsze spadki cen kontraktów terminowych na miedź ?” – jak można spróbować odpowiedzieć na to </w:t>
      </w:r>
      <w:proofErr w:type="gramStart"/>
      <w:r>
        <w:t xml:space="preserve">pytanie ?”. </w:t>
      </w:r>
      <w:proofErr w:type="gramEnd"/>
      <w:r>
        <w:t>Oto fragment</w:t>
      </w:r>
    </w:p>
    <w:p w:rsidR="009A72C5" w:rsidRDefault="009A72C5" w:rsidP="009A72C5">
      <w:pPr>
        <w:pStyle w:val="Bezodstpw"/>
        <w:jc w:val="both"/>
      </w:pPr>
    </w:p>
    <w:p w:rsidR="009A72C5" w:rsidRPr="000535B4" w:rsidRDefault="009A72C5" w:rsidP="009A72C5">
      <w:pPr>
        <w:pStyle w:val="Bezodstpw"/>
        <w:jc w:val="both"/>
        <w:rPr>
          <w:b/>
          <w:u w:val="single"/>
        </w:rPr>
      </w:pPr>
      <w:proofErr w:type="gramStart"/>
      <w:r>
        <w:rPr>
          <w:b/>
          <w:u w:val="single"/>
        </w:rPr>
        <w:t>,,</w:t>
      </w:r>
      <w:proofErr w:type="gramEnd"/>
      <w:r w:rsidRPr="000535B4">
        <w:rPr>
          <w:b/>
          <w:u w:val="single"/>
        </w:rPr>
        <w:t>Jak ,,wyłowić” spółki odporna na spadki cen kontraktów terminowych na miedź ?</w:t>
      </w:r>
    </w:p>
    <w:p w:rsidR="009A72C5" w:rsidRDefault="009A72C5" w:rsidP="009A72C5">
      <w:pPr>
        <w:pStyle w:val="Bezodstpw"/>
        <w:jc w:val="both"/>
      </w:pPr>
    </w:p>
    <w:p w:rsidR="009A72C5" w:rsidRPr="00B12405" w:rsidRDefault="009A72C5" w:rsidP="009A72C5">
      <w:pPr>
        <w:pStyle w:val="Bezodstpw"/>
        <w:jc w:val="both"/>
        <w:rPr>
          <w:b/>
          <w:color w:val="FF0000"/>
        </w:rPr>
      </w:pPr>
      <w:r>
        <w:t xml:space="preserve">Warto się w takim razie zastanowić nad tym, </w:t>
      </w:r>
      <w:r w:rsidRPr="00B12405">
        <w:rPr>
          <w:b/>
          <w:color w:val="FF0000"/>
        </w:rPr>
        <w:t xml:space="preserve">w </w:t>
      </w:r>
      <w:proofErr w:type="gramStart"/>
      <w:r w:rsidRPr="00B12405">
        <w:rPr>
          <w:b/>
          <w:color w:val="FF0000"/>
        </w:rPr>
        <w:t>przypadku których</w:t>
      </w:r>
      <w:proofErr w:type="gramEnd"/>
      <w:r w:rsidRPr="00B12405">
        <w:rPr>
          <w:b/>
          <w:color w:val="FF0000"/>
        </w:rPr>
        <w:t xml:space="preserve"> spółek będzie można mówić o dużej przewidywanej odporności na przyszłe przewidywane spadki cen owych kontraktów.</w:t>
      </w:r>
    </w:p>
    <w:p w:rsidR="009A72C5" w:rsidRDefault="009A72C5" w:rsidP="009A72C5">
      <w:pPr>
        <w:pStyle w:val="Bezodstpw"/>
        <w:jc w:val="both"/>
      </w:pPr>
    </w:p>
    <w:p w:rsidR="009A72C5" w:rsidRPr="00B12405" w:rsidRDefault="009A72C5" w:rsidP="009A72C5">
      <w:pPr>
        <w:pStyle w:val="Bezodstpw"/>
        <w:jc w:val="both"/>
        <w:rPr>
          <w:b/>
          <w:color w:val="FF0000"/>
        </w:rPr>
      </w:pPr>
      <w:r>
        <w:t xml:space="preserve">W celu odpowiedzi na to pytanie postanowiłem przejrzeć wykresy sil relatywnych kursów akcji, które dotychczas znalazły się w rubryce </w:t>
      </w:r>
      <w:proofErr w:type="gramStart"/>
      <w:r>
        <w:t>,,</w:t>
      </w:r>
      <w:proofErr w:type="gramEnd"/>
      <w:r>
        <w:t xml:space="preserve">Wykres do przemyślenia” w stosunku do cen kontraktów terminowych na miedź. Postanowiłem sprawdzić w </w:t>
      </w:r>
      <w:proofErr w:type="gramStart"/>
      <w:r>
        <w:t>przypadku których</w:t>
      </w:r>
      <w:proofErr w:type="gramEnd"/>
      <w:r>
        <w:t xml:space="preserve"> sił względnych mamy do czynienia z taką oto sytuacją, że </w:t>
      </w:r>
      <w:r w:rsidRPr="00B12405">
        <w:rPr>
          <w:b/>
          <w:color w:val="FF0000"/>
        </w:rPr>
        <w:t>na wykresie danej siły względnej w trendzie wzrostowym znajdują się zarówno średnia ruchoma z 1000 sesji, jak również średnia ruchoma z 500 sesji, a ponadto średnia ruchoma z 500 sesji znajduje się powyżej średniej ruchomej z 1000 sesji.</w:t>
      </w:r>
    </w:p>
    <w:p w:rsidR="009A72C5" w:rsidRDefault="009A72C5" w:rsidP="009A72C5">
      <w:pPr>
        <w:pStyle w:val="Bezodstpw"/>
        <w:jc w:val="both"/>
      </w:pPr>
    </w:p>
    <w:p w:rsidR="009A72C5" w:rsidRPr="000535B4" w:rsidRDefault="009A72C5" w:rsidP="009A72C5">
      <w:pPr>
        <w:pStyle w:val="Bezodstpw"/>
        <w:jc w:val="both"/>
        <w:rPr>
          <w:b/>
        </w:rPr>
      </w:pPr>
      <w:r>
        <w:t xml:space="preserve">Okazało się były to siły </w:t>
      </w:r>
      <w:proofErr w:type="gramStart"/>
      <w:r>
        <w:t>względne (w czyli</w:t>
      </w:r>
      <w:proofErr w:type="gramEnd"/>
      <w:r>
        <w:t xml:space="preserve"> wykresy typu kurs akcji X w stosunku do cen kontraktów terminowych na miedź) następujących spółek: </w:t>
      </w:r>
      <w:proofErr w:type="spellStart"/>
      <w:r w:rsidRPr="000535B4">
        <w:rPr>
          <w:b/>
        </w:rPr>
        <w:t>Asseco</w:t>
      </w:r>
      <w:proofErr w:type="spellEnd"/>
      <w:r w:rsidRPr="000535B4">
        <w:rPr>
          <w:b/>
        </w:rPr>
        <w:t xml:space="preserve"> Poland, </w:t>
      </w:r>
      <w:proofErr w:type="spellStart"/>
      <w:r w:rsidRPr="000535B4">
        <w:rPr>
          <w:b/>
        </w:rPr>
        <w:t>Atrem</w:t>
      </w:r>
      <w:proofErr w:type="spellEnd"/>
      <w:r w:rsidRPr="000535B4">
        <w:rPr>
          <w:b/>
        </w:rPr>
        <w:t xml:space="preserve">, Boryszew, Capital Partners, </w:t>
      </w:r>
      <w:proofErr w:type="spellStart"/>
      <w:r w:rsidRPr="000535B4">
        <w:rPr>
          <w:b/>
        </w:rPr>
        <w:t>Comarch</w:t>
      </w:r>
      <w:proofErr w:type="spellEnd"/>
      <w:r w:rsidRPr="000535B4">
        <w:rPr>
          <w:b/>
        </w:rPr>
        <w:t xml:space="preserve">, Enea, </w:t>
      </w:r>
      <w:proofErr w:type="spellStart"/>
      <w:r w:rsidRPr="000535B4">
        <w:rPr>
          <w:b/>
        </w:rPr>
        <w:t>Elektrotim</w:t>
      </w:r>
      <w:proofErr w:type="spellEnd"/>
      <w:r w:rsidRPr="000535B4">
        <w:rPr>
          <w:b/>
        </w:rPr>
        <w:t xml:space="preserve">, </w:t>
      </w:r>
      <w:proofErr w:type="spellStart"/>
      <w:r w:rsidRPr="000535B4">
        <w:rPr>
          <w:b/>
        </w:rPr>
        <w:t>Erbud</w:t>
      </w:r>
      <w:proofErr w:type="spellEnd"/>
      <w:r w:rsidRPr="000535B4">
        <w:rPr>
          <w:b/>
        </w:rPr>
        <w:t xml:space="preserve">, </w:t>
      </w:r>
      <w:proofErr w:type="spellStart"/>
      <w:r w:rsidRPr="000535B4">
        <w:rPr>
          <w:b/>
        </w:rPr>
        <w:t>Immobile</w:t>
      </w:r>
      <w:proofErr w:type="spellEnd"/>
      <w:r w:rsidRPr="000535B4">
        <w:rPr>
          <w:b/>
        </w:rPr>
        <w:t xml:space="preserve">, Lena, </w:t>
      </w:r>
      <w:proofErr w:type="spellStart"/>
      <w:r w:rsidRPr="000535B4">
        <w:rPr>
          <w:b/>
        </w:rPr>
        <w:t>Netmedia</w:t>
      </w:r>
      <w:proofErr w:type="spellEnd"/>
      <w:r w:rsidRPr="000535B4">
        <w:rPr>
          <w:b/>
        </w:rPr>
        <w:t xml:space="preserve">, </w:t>
      </w:r>
      <w:proofErr w:type="spellStart"/>
      <w:r w:rsidRPr="000535B4">
        <w:rPr>
          <w:b/>
        </w:rPr>
        <w:t>Mercor</w:t>
      </w:r>
      <w:proofErr w:type="spellEnd"/>
      <w:r w:rsidRPr="000535B4">
        <w:rPr>
          <w:b/>
        </w:rPr>
        <w:t xml:space="preserve">, </w:t>
      </w:r>
      <w:proofErr w:type="spellStart"/>
      <w:r w:rsidRPr="000535B4">
        <w:rPr>
          <w:b/>
        </w:rPr>
        <w:t>Procad</w:t>
      </w:r>
      <w:proofErr w:type="spellEnd"/>
      <w:r w:rsidRPr="000535B4">
        <w:rPr>
          <w:b/>
        </w:rPr>
        <w:t>, Ropczyce i TIM.</w:t>
      </w:r>
    </w:p>
    <w:p w:rsidR="009A72C5" w:rsidRDefault="009A72C5" w:rsidP="009A72C5">
      <w:pPr>
        <w:pStyle w:val="Bezodstpw"/>
        <w:jc w:val="both"/>
      </w:pPr>
    </w:p>
    <w:p w:rsidR="009A72C5" w:rsidRPr="00B12405" w:rsidRDefault="009A72C5" w:rsidP="009A72C5">
      <w:pPr>
        <w:pStyle w:val="Bezodstpw"/>
        <w:jc w:val="both"/>
        <w:rPr>
          <w:b/>
          <w:u w:val="single"/>
        </w:rPr>
      </w:pPr>
      <w:r w:rsidRPr="00B12405">
        <w:rPr>
          <w:b/>
          <w:u w:val="single"/>
        </w:rPr>
        <w:t>Zastanawiam się: jak zachowają się kursy akcji wyżej wymienionych spółek w perspektywie najbliższych 12 miesięcy”</w:t>
      </w:r>
    </w:p>
    <w:p w:rsidR="009A72C5" w:rsidRDefault="009A72C5" w:rsidP="009A72C5">
      <w:pPr>
        <w:pStyle w:val="Bezodstpw"/>
        <w:jc w:val="both"/>
      </w:pPr>
    </w:p>
    <w:p w:rsidR="009A72C5" w:rsidRDefault="009A72C5" w:rsidP="009A72C5">
      <w:pPr>
        <w:pStyle w:val="Bezodstpw"/>
        <w:jc w:val="both"/>
      </w:pPr>
      <w:hyperlink r:id="rId10" w:history="1">
        <w:r w:rsidRPr="00642641">
          <w:rPr>
            <w:rStyle w:val="Hipercze"/>
          </w:rPr>
          <w:t>http://analizy-rynkowe.pl/kursy-ktorych-akcji-moga-wykazywac-szczegolnie-wysoka-odpornosc-na-ewentualne-dalsze-spadki-cen-kontraktow-terminowych-na-miedz-jak-mozna-sprobowac-odpowiedziec-na-to-pytanie/</w:t>
        </w:r>
      </w:hyperlink>
    </w:p>
    <w:p w:rsidR="009A72C5" w:rsidRDefault="009A72C5" w:rsidP="009A72C5">
      <w:pPr>
        <w:pStyle w:val="Bezodstpw"/>
        <w:jc w:val="both"/>
      </w:pPr>
    </w:p>
    <w:p w:rsidR="009A72C5" w:rsidRDefault="009A72C5" w:rsidP="009A72C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Uwaga na BZW </w:t>
      </w:r>
      <w:proofErr w:type="gramStart"/>
      <w:r>
        <w:t>WBK !</w:t>
      </w:r>
      <w:proofErr w:type="gramEnd"/>
    </w:p>
    <w:p w:rsidR="009A72C5" w:rsidRDefault="009A72C5" w:rsidP="009A72C5">
      <w:pPr>
        <w:pStyle w:val="Bezodstpw"/>
        <w:jc w:val="both"/>
      </w:pPr>
    </w:p>
    <w:p w:rsidR="009A72C5" w:rsidRPr="00B12405" w:rsidRDefault="009A72C5" w:rsidP="009A72C5">
      <w:pPr>
        <w:pStyle w:val="Bezodstpw"/>
        <w:jc w:val="both"/>
        <w:rPr>
          <w:b/>
        </w:rPr>
      </w:pPr>
      <w:r>
        <w:t xml:space="preserve">Wychodzę z założenie, że jeżeli WIG20 miałby zacząć rosnąć to w tej zwyżce powinny przede wszystkim uczestniczyć akcje przynajmniej niektórych banków. Ciekawie prezentuje się na przykład wykres akcji BZ WBK, który ma szasnę wybić się z </w:t>
      </w:r>
      <w:r w:rsidRPr="00B12405">
        <w:rPr>
          <w:b/>
        </w:rPr>
        <w:t xml:space="preserve">formacji podwójnego dna. </w:t>
      </w:r>
    </w:p>
    <w:p w:rsidR="009A72C5" w:rsidRDefault="009A72C5" w:rsidP="009A72C5">
      <w:pPr>
        <w:pStyle w:val="Bezodstpw"/>
        <w:jc w:val="both"/>
      </w:pPr>
    </w:p>
    <w:p w:rsidR="009A72C5" w:rsidRDefault="009A72C5" w:rsidP="009A72C5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1FC5DD9D" wp14:editId="04D3944C">
            <wp:extent cx="3619500" cy="21812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2C5" w:rsidRDefault="009A72C5" w:rsidP="009A72C5">
      <w:pPr>
        <w:pStyle w:val="Bezodstpw"/>
        <w:jc w:val="both"/>
      </w:pPr>
    </w:p>
    <w:p w:rsidR="009A72C5" w:rsidRDefault="009A72C5" w:rsidP="009A72C5">
      <w:pPr>
        <w:pStyle w:val="Bezodstpw"/>
        <w:jc w:val="both"/>
      </w:pPr>
      <w:r>
        <w:t xml:space="preserve">Do wybicia z tej formacji doszłoby wówczas, gdyby kurs (na zamknięciu sesji) osiągnął </w:t>
      </w:r>
      <w:r w:rsidRPr="00B12405">
        <w:rPr>
          <w:b/>
        </w:rPr>
        <w:t>304 złote i 80 groszy lub więcej.</w:t>
      </w:r>
      <w:r>
        <w:t xml:space="preserve"> </w:t>
      </w:r>
    </w:p>
    <w:p w:rsidR="009A72C5" w:rsidRDefault="009A72C5" w:rsidP="009A72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lastRenderedPageBreak/>
        <w:t xml:space="preserve">Wykres do przemyślenia – refleksje </w:t>
      </w:r>
    </w:p>
    <w:p w:rsidR="009A72C5" w:rsidRDefault="009A72C5" w:rsidP="009A72C5">
      <w:pPr>
        <w:spacing w:after="0" w:line="240" w:lineRule="auto"/>
        <w:jc w:val="both"/>
      </w:pPr>
    </w:p>
    <w:p w:rsidR="009A72C5" w:rsidRDefault="009A72C5" w:rsidP="009A72C5">
      <w:pPr>
        <w:spacing w:after="0" w:line="240" w:lineRule="auto"/>
        <w:jc w:val="both"/>
      </w:pPr>
      <w:r>
        <w:t xml:space="preserve">W pierwszym numerze </w:t>
      </w:r>
      <w:proofErr w:type="gramStart"/>
      <w:r>
        <w:t>,,</w:t>
      </w:r>
      <w:proofErr w:type="gramEnd"/>
      <w:r>
        <w:t xml:space="preserve">Raportu Tygodniowego” z 8 września 2014 roku pojawiły się wykresy akcji czterech spółek. Były to wykresy akcji następujących spółek: </w:t>
      </w:r>
    </w:p>
    <w:p w:rsidR="009A72C5" w:rsidRDefault="009A72C5" w:rsidP="009A72C5">
      <w:pPr>
        <w:spacing w:after="0" w:line="240" w:lineRule="auto"/>
        <w:jc w:val="both"/>
      </w:pPr>
    </w:p>
    <w:p w:rsidR="009A72C5" w:rsidRDefault="009A72C5" w:rsidP="009A72C5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Immobile</w:t>
      </w:r>
      <w:proofErr w:type="spellEnd"/>
    </w:p>
    <w:p w:rsidR="009A72C5" w:rsidRDefault="009A72C5" w:rsidP="009A72C5">
      <w:pPr>
        <w:numPr>
          <w:ilvl w:val="0"/>
          <w:numId w:val="1"/>
        </w:numPr>
        <w:spacing w:after="0" w:line="240" w:lineRule="auto"/>
        <w:jc w:val="both"/>
      </w:pPr>
      <w:r>
        <w:t>Lena</w:t>
      </w:r>
    </w:p>
    <w:p w:rsidR="009A72C5" w:rsidRDefault="009A72C5" w:rsidP="009A72C5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Netmedia</w:t>
      </w:r>
      <w:proofErr w:type="spellEnd"/>
      <w:r>
        <w:t xml:space="preserve"> </w:t>
      </w:r>
    </w:p>
    <w:p w:rsidR="009A72C5" w:rsidRDefault="009A72C5" w:rsidP="009A72C5">
      <w:pPr>
        <w:numPr>
          <w:ilvl w:val="0"/>
          <w:numId w:val="1"/>
        </w:numPr>
        <w:spacing w:after="0" w:line="240" w:lineRule="auto"/>
        <w:jc w:val="both"/>
      </w:pPr>
      <w:r>
        <w:t>Rafako</w:t>
      </w:r>
    </w:p>
    <w:p w:rsidR="009A72C5" w:rsidRDefault="009A72C5" w:rsidP="009A72C5">
      <w:pPr>
        <w:spacing w:after="0" w:line="240" w:lineRule="auto"/>
        <w:jc w:val="both"/>
      </w:pPr>
    </w:p>
    <w:p w:rsidR="009A72C5" w:rsidRDefault="009A72C5" w:rsidP="009A72C5">
      <w:pPr>
        <w:spacing w:after="0" w:line="240" w:lineRule="auto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>
        <w:rPr>
          <w:b/>
        </w:rPr>
        <w:t>wybicie z formacji podwójnego dna</w:t>
      </w:r>
      <w:r>
        <w:t xml:space="preserve">. </w:t>
      </w:r>
      <w:r>
        <w:rPr>
          <w:b/>
          <w:color w:val="FF66FF"/>
        </w:rPr>
        <w:t xml:space="preserve">Na str. 5-9 przedstawiam listę 32 spółek wpisanych do rubryki </w:t>
      </w:r>
      <w:proofErr w:type="gramStart"/>
      <w:r>
        <w:rPr>
          <w:b/>
          <w:color w:val="FF66FF"/>
        </w:rPr>
        <w:t>,,</w:t>
      </w:r>
      <w:proofErr w:type="gramEnd"/>
      <w:r>
        <w:rPr>
          <w:b/>
          <w:color w:val="FF66FF"/>
        </w:rPr>
        <w:t>Wykres do przemyślenia”.</w:t>
      </w:r>
      <w:r>
        <w:t xml:space="preserve"> </w:t>
      </w:r>
      <w:r>
        <w:rPr>
          <w:b/>
          <w:color w:val="FF66FF"/>
        </w:rPr>
        <w:t>Osoby znającą tą listę mogą listę tą pominąć i od razu przejść na stronę 10.</w:t>
      </w:r>
    </w:p>
    <w:p w:rsidR="009A72C5" w:rsidRDefault="009A72C5" w:rsidP="009A72C5">
      <w:pPr>
        <w:spacing w:after="0" w:line="240" w:lineRule="auto"/>
        <w:jc w:val="both"/>
      </w:pPr>
    </w:p>
    <w:p w:rsidR="009A72C5" w:rsidRDefault="009A72C5" w:rsidP="009A72C5">
      <w:pPr>
        <w:spacing w:after="0" w:line="240" w:lineRule="auto"/>
        <w:jc w:val="both"/>
      </w:pPr>
      <w:r>
        <w:t xml:space="preserve">Tabela: Procentowa zmiana cen akcji czterech spółek, których akcje zostały wymienione w pierwszym numerze </w:t>
      </w:r>
      <w:proofErr w:type="gramStart"/>
      <w:r>
        <w:t>,,</w:t>
      </w:r>
      <w:proofErr w:type="gramEnd"/>
      <w:r>
        <w:t xml:space="preserve">Raportu Tygodniowego” z 8 września 2014 roku w rubryce ,,Wykres do przemyślenia” w okresie od 5 września do 21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 +15,2 %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4,55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  +14,0 %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5,85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 +61,2 %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6,68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 +64,2 %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+36,9 %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   -15,6 %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drugim numerze </w:t>
      </w:r>
      <w:proofErr w:type="gramStart"/>
      <w:r>
        <w:t>,,</w:t>
      </w:r>
      <w:proofErr w:type="gramEnd"/>
      <w:r>
        <w:t xml:space="preserve">Raportu Tygodniowego” z 15 września 2014 roku w rubryce ,,Wykres do przemyślenia” w okresie od 12 września do 21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5,72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-12,0 %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-12,0 %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  -14,1 %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16 września na stronie internetowej </w:t>
      </w:r>
      <w:hyperlink r:id="rId12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15 września do 21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32,11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21,2 %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20,8 %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-13,8 %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trzecim numerze </w:t>
      </w:r>
      <w:proofErr w:type="gramStart"/>
      <w:r>
        <w:t>,,</w:t>
      </w:r>
      <w:proofErr w:type="gramEnd"/>
      <w:r>
        <w:t xml:space="preserve">Raportu Tygodniowego” z 22 września 2014 roku w rubryce ,,Wykres do przemyślenia” w okresie od 19 września do 21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0,97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-26,5 %</w:t>
            </w:r>
          </w:p>
        </w:tc>
      </w:tr>
      <w:tr w:rsidR="009A72C5" w:rsidTr="00937464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-26,5 %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-14,1 %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umieszczone 25 września na stronie internetowej </w:t>
      </w:r>
      <w:hyperlink r:id="rId13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24 września do 21 sierpnia 2015 roku oraz procentowa zmiana indeksu WIG 20 w tym okresie. </w:t>
      </w:r>
    </w:p>
    <w:p w:rsidR="009A72C5" w:rsidRDefault="009A72C5" w:rsidP="009A72C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2,48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+34,1 %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+34,1 %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-13,8 %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</w:rPr>
      </w:pPr>
    </w:p>
    <w:p w:rsidR="009A72C5" w:rsidRDefault="009A72C5" w:rsidP="009A72C5">
      <w:pPr>
        <w:spacing w:after="0" w:line="240" w:lineRule="auto"/>
        <w:jc w:val="both"/>
      </w:pPr>
      <w:r>
        <w:t xml:space="preserve">Tabela: Procentowa zmiana cen akcji trzech spółek, których akcje zostały wymienione w czwartym numerze </w:t>
      </w:r>
      <w:proofErr w:type="gramStart"/>
      <w:r>
        <w:t>,,</w:t>
      </w:r>
      <w:proofErr w:type="gramEnd"/>
      <w:r>
        <w:t xml:space="preserve">Raportu Tygodniowego” z 29 września 2014 roku w rubryce ,,Wykres do przemyślenia” w okresie od 30 września do 21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52,00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+13,9 %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>spółki  CD</w:t>
            </w:r>
            <w:proofErr w:type="gramEnd"/>
            <w: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23,36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+40,8 %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9,17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- 47,9 %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+2,3% 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- 13,6 %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</w:rPr>
      </w:pPr>
    </w:p>
    <w:p w:rsidR="009A72C5" w:rsidRDefault="009A72C5" w:rsidP="009A72C5">
      <w:pPr>
        <w:spacing w:after="0" w:line="240" w:lineRule="auto"/>
        <w:jc w:val="both"/>
      </w:pPr>
      <w:r>
        <w:t xml:space="preserve">Tabela: Procentowa zmiana ceny akcji spółki, której akcje zostały wymienione w piątym numerze </w:t>
      </w:r>
      <w:proofErr w:type="gramStart"/>
      <w:r>
        <w:t>,,</w:t>
      </w:r>
      <w:proofErr w:type="gramEnd"/>
      <w:r>
        <w:t xml:space="preserve">Raportu Tygodniowego” z 6 października 2014 roku w rubryce ,,Wykres do przemyślenia” w okresie od 3 października do 21 sierpnia 2015 roku oraz procentowa zmiana indeksu WIG 20 w tym okresie. </w:t>
      </w:r>
    </w:p>
    <w:p w:rsidR="009A72C5" w:rsidRDefault="009A72C5" w:rsidP="009A72C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355,00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+45,6 %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+45,6 %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-12,2 %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szóstym numerze </w:t>
      </w:r>
      <w:proofErr w:type="gramStart"/>
      <w:r>
        <w:t>,,</w:t>
      </w:r>
      <w:proofErr w:type="gramEnd"/>
      <w:r>
        <w:t xml:space="preserve">Raportu Tygodniowego” z 20 października 2014 roku w rubryce ,,Wykres do przemyślenia” w okresie od 17 września do 21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3,50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-32,8 %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-32,8 %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  -10,7 %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22 października na stronie internetowej </w:t>
      </w:r>
      <w:hyperlink r:id="rId14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października do 19 czerwca 2015 roku do 21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15,00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+ 72,4 %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5,90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-14,9 %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+ 28,8 %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-11,5 %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</w:rPr>
      </w:pPr>
    </w:p>
    <w:p w:rsidR="009A72C5" w:rsidRDefault="009A72C5" w:rsidP="009A72C5">
      <w:pPr>
        <w:spacing w:after="0" w:line="240" w:lineRule="auto"/>
        <w:jc w:val="both"/>
      </w:pPr>
    </w:p>
    <w:p w:rsidR="009A72C5" w:rsidRDefault="009A72C5" w:rsidP="009A72C5">
      <w:pPr>
        <w:spacing w:after="0" w:line="240" w:lineRule="auto"/>
        <w:jc w:val="both"/>
      </w:pPr>
      <w:r>
        <w:t xml:space="preserve">Tabela: Procentowa zmiana ceny akcji spółki, której akcje zostały wymienione w siódmym numerze </w:t>
      </w:r>
      <w:proofErr w:type="gramStart"/>
      <w:r>
        <w:t>,,</w:t>
      </w:r>
      <w:proofErr w:type="gramEnd"/>
      <w:r>
        <w:t xml:space="preserve">Raportu Tygodniowego” z 27 października 2014 roku w rubryce ,,Wykres do przemyślenia” w okresie od 24 października 2014 roku do 21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3,55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-17,8 %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-17,8 %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-11,6 %</w:t>
            </w:r>
          </w:p>
        </w:tc>
      </w:tr>
    </w:tbl>
    <w:p w:rsidR="009A72C5" w:rsidRDefault="009A72C5" w:rsidP="009A72C5">
      <w:pPr>
        <w:spacing w:after="0" w:line="240" w:lineRule="auto"/>
        <w:jc w:val="both"/>
      </w:pPr>
    </w:p>
    <w:p w:rsidR="009A72C5" w:rsidRDefault="009A72C5" w:rsidP="009A72C5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3 listopada 2014 roku w rubryce ,,Wykres do przemyślenia” w okresie od 31 października 2014 roku do 21 sierpnia 2015 roku oraz procentowa zmiana indeksu WIG 20 w tym okresie. </w:t>
      </w:r>
    </w:p>
    <w:p w:rsidR="009A72C5" w:rsidRDefault="009A72C5" w:rsidP="009A72C5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14,40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-10,0 %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-10,0 %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-12,9 %</w:t>
            </w:r>
          </w:p>
        </w:tc>
      </w:tr>
    </w:tbl>
    <w:p w:rsidR="009A72C5" w:rsidRDefault="009A72C5" w:rsidP="009A72C5">
      <w:pPr>
        <w:spacing w:after="0" w:line="240" w:lineRule="auto"/>
        <w:jc w:val="both"/>
      </w:pPr>
    </w:p>
    <w:p w:rsidR="009A72C5" w:rsidRDefault="009A72C5" w:rsidP="009A72C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 grudnia 2014 roku w rubryce ,,Wykres do przemyślenia” w okresie od 28 listopada 2014 roku do 21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1,95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Pr="003E4869" w:rsidRDefault="009A72C5" w:rsidP="00937464">
            <w:pPr>
              <w:jc w:val="center"/>
              <w:rPr>
                <w:rFonts w:eastAsiaTheme="minorEastAsia"/>
              </w:rPr>
            </w:pPr>
            <w:r w:rsidRPr="003E4869">
              <w:t>+</w:t>
            </w:r>
            <w:r>
              <w:t>84</w:t>
            </w:r>
            <w:r w:rsidRPr="003E4869">
              <w:t>,</w:t>
            </w:r>
            <w:r>
              <w:t>0</w:t>
            </w:r>
            <w:r w:rsidRPr="003E4869">
              <w:t xml:space="preserve">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Pr="003E4869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E4869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84</w:t>
            </w:r>
            <w:r w:rsidRPr="003E4869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</w:t>
            </w:r>
            <w:r w:rsidRPr="003E4869">
              <w:rPr>
                <w:b/>
                <w:color w:val="FF0000"/>
              </w:rPr>
              <w:t xml:space="preserve">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-11,2 %</w:t>
            </w:r>
          </w:p>
        </w:tc>
      </w:tr>
    </w:tbl>
    <w:p w:rsidR="009A72C5" w:rsidRDefault="009A72C5" w:rsidP="009A72C5">
      <w:pPr>
        <w:spacing w:after="0" w:line="240" w:lineRule="auto"/>
        <w:jc w:val="both"/>
      </w:pPr>
    </w:p>
    <w:p w:rsidR="009A72C5" w:rsidRDefault="009A72C5" w:rsidP="009A72C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 grudnia na stronie internetowej </w:t>
      </w:r>
      <w:hyperlink r:id="rId15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2014 roku do 19 czerwca 2015 roku oraz do 21 sierpnia 2015 roku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29,52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-21,6 %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-21,6 %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-11,3 %</w:t>
            </w:r>
          </w:p>
        </w:tc>
      </w:tr>
    </w:tbl>
    <w:p w:rsidR="009A72C5" w:rsidRDefault="009A72C5" w:rsidP="009A72C5">
      <w:pPr>
        <w:spacing w:after="0" w:line="240" w:lineRule="auto"/>
        <w:jc w:val="both"/>
      </w:pPr>
    </w:p>
    <w:p w:rsidR="009A72C5" w:rsidRDefault="009A72C5" w:rsidP="009A72C5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15 grudnia 2014 roku w rubryce ,,Wykres do przemyślenia” w okresie od 12 grudnia 2014 roku do 19 czerwca 2015 roku do 21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10,19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+25,2 %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+25,2 %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-  9,1 %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umieszczone 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6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do 19 czerwca 2015 roku do 21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117,00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+1,3 %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+1,3 %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-7,4 %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stycznia do 21 sierpnia 2015 roku oraz procentowa zmiana indeksu WIG 20 w tym okresie. </w:t>
      </w:r>
    </w:p>
    <w:p w:rsidR="009A72C5" w:rsidRDefault="009A72C5" w:rsidP="009A72C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3,45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3,3 %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3,3 %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-11,3 %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</w:rPr>
      </w:pPr>
    </w:p>
    <w:p w:rsidR="009A72C5" w:rsidRDefault="009A72C5" w:rsidP="009A72C5">
      <w:pPr>
        <w:spacing w:after="0" w:line="240" w:lineRule="auto"/>
        <w:jc w:val="both"/>
      </w:pPr>
      <w:r>
        <w:t xml:space="preserve">Tabela: Procentowa zmiana ceny akcji spółki, której akcje zostały umieszczone 30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8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29 stycznia do 21 sierpnia 2015 roku oraz procentowa zmiana indeksu WIG 20 w tym okresie. </w:t>
      </w:r>
    </w:p>
    <w:p w:rsidR="009A72C5" w:rsidRDefault="009A72C5" w:rsidP="009A72C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1,08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-2,7 %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-2,7 %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-11,3 %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  <w:b/>
          <w:u w:val="single"/>
        </w:rPr>
      </w:pPr>
    </w:p>
    <w:p w:rsidR="009A72C5" w:rsidRDefault="009A72C5" w:rsidP="009A72C5">
      <w:pPr>
        <w:spacing w:after="0" w:line="240" w:lineRule="auto"/>
        <w:jc w:val="both"/>
      </w:pPr>
      <w:r>
        <w:t xml:space="preserve">Tabela: Procentowa zmiana ceny akcji spółki, której akcje zostały umieszczone 10 lutego 2015 roku </w:t>
      </w:r>
      <w:proofErr w:type="gramStart"/>
      <w:r>
        <w:t>na  stronie</w:t>
      </w:r>
      <w:proofErr w:type="gramEnd"/>
      <w:r>
        <w:t xml:space="preserve"> internetowej </w:t>
      </w:r>
      <w:hyperlink r:id="rId19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lutego do 21 sierpnia 2015 roku oraz procentowa zmiana indeksu WIG 20 w tym okresie. </w:t>
      </w:r>
    </w:p>
    <w:p w:rsidR="009A72C5" w:rsidRDefault="009A72C5" w:rsidP="009A72C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5,28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+17,3 %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+17,3 %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-8,3 %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  <w:b/>
        </w:rPr>
      </w:pPr>
    </w:p>
    <w:p w:rsidR="009A72C5" w:rsidRDefault="009A72C5" w:rsidP="009A72C5">
      <w:pPr>
        <w:spacing w:after="0" w:line="240" w:lineRule="auto"/>
        <w:jc w:val="both"/>
      </w:pPr>
      <w:r>
        <w:t xml:space="preserve">Tabela: Procentowa zmiana ceny akcji spółki, której akcje zostały umieszczone 3 marca 2015 roku </w:t>
      </w:r>
      <w:proofErr w:type="gramStart"/>
      <w:r>
        <w:t>na  stronie</w:t>
      </w:r>
      <w:proofErr w:type="gramEnd"/>
      <w:r>
        <w:t xml:space="preserve"> internetowej </w:t>
      </w:r>
      <w:hyperlink r:id="rId20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marca do 21 sierpnia 2015 roku oraz procentowa zmiana indeksu WIG 20 w tym okresie. </w:t>
      </w:r>
    </w:p>
    <w:p w:rsidR="009A72C5" w:rsidRDefault="009A72C5" w:rsidP="009A72C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13,67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+80,6 %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+80,6 %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-9,0 %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  <w:b/>
        </w:rPr>
      </w:pPr>
    </w:p>
    <w:p w:rsidR="009A72C5" w:rsidRDefault="009A72C5" w:rsidP="009A72C5">
      <w:pPr>
        <w:spacing w:after="0" w:line="240" w:lineRule="auto"/>
        <w:jc w:val="both"/>
      </w:pPr>
      <w:r>
        <w:lastRenderedPageBreak/>
        <w:t xml:space="preserve">Tabela: Procentowa zmiana ceny akcji spółki, której akcje zostały umieszczone 9 kwietnia 2015 roku </w:t>
      </w:r>
      <w:proofErr w:type="gramStart"/>
      <w:r>
        <w:t>na  stronie</w:t>
      </w:r>
      <w:proofErr w:type="gramEnd"/>
      <w:r>
        <w:t xml:space="preserve"> internetowej </w:t>
      </w:r>
      <w:hyperlink r:id="rId21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8 do 21 sierpnia 2015 roku oraz procentowa zmiana indeksu WIG 20 w tym okresie. </w:t>
      </w:r>
    </w:p>
    <w:p w:rsidR="009A72C5" w:rsidRDefault="009A72C5" w:rsidP="009A72C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1,24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-0,8 %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-0,8 %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-11,5 %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rFonts w:eastAsiaTheme="minorEastAsia"/>
          <w:sz w:val="34"/>
          <w:szCs w:val="34"/>
        </w:rPr>
      </w:pPr>
    </w:p>
    <w:p w:rsidR="009A72C5" w:rsidRDefault="009A72C5" w:rsidP="009A72C5">
      <w:pPr>
        <w:spacing w:after="0" w:line="240" w:lineRule="auto"/>
        <w:jc w:val="both"/>
      </w:pPr>
      <w:r>
        <w:t xml:space="preserve">Tabela: Procentowa zmiana ceny akcji spółki, której akcje zostały umieszczone 5 maja 2015 roku </w:t>
      </w:r>
      <w:proofErr w:type="gramStart"/>
      <w:r>
        <w:t>na  stronie</w:t>
      </w:r>
      <w:proofErr w:type="gramEnd"/>
      <w:r>
        <w:t xml:space="preserve"> internetowej </w:t>
      </w:r>
      <w:hyperlink r:id="rId22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4 do 21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9,84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-11,4  %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-11,4  %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-15,0 %</w:t>
            </w:r>
          </w:p>
        </w:tc>
      </w:tr>
    </w:tbl>
    <w:p w:rsidR="009A72C5" w:rsidRDefault="009A72C5" w:rsidP="009A72C5">
      <w:pPr>
        <w:spacing w:after="0" w:line="240" w:lineRule="auto"/>
        <w:jc w:val="both"/>
      </w:pPr>
    </w:p>
    <w:p w:rsidR="009A72C5" w:rsidRDefault="009A72C5" w:rsidP="009A72C5">
      <w:pPr>
        <w:spacing w:after="0" w:line="240" w:lineRule="auto"/>
        <w:jc w:val="both"/>
      </w:pPr>
      <w:r>
        <w:t xml:space="preserve">Tabela: Procentowa zmiana cen akcji trzech spółek, których akcje zostały umieszczone w dniu 1 lipca na stronie internetowej </w:t>
      </w:r>
      <w:hyperlink r:id="rId23" w:history="1">
        <w:r>
          <w:rPr>
            <w:rStyle w:val="Hipercze"/>
          </w:rPr>
          <w:t>http://analizy-rynkowe.pl/</w:t>
        </w:r>
      </w:hyperlink>
      <w:r>
        <w:t xml:space="preserve"> w rubryce </w:t>
      </w:r>
      <w:proofErr w:type="gramStart"/>
      <w:r>
        <w:t>,,</w:t>
      </w:r>
      <w:proofErr w:type="gramEnd"/>
      <w:r>
        <w:t xml:space="preserve">Wykres do przemyślenia” w okresie od 30 czerwca 2015 roku do 21 sierpnia 2015 roku oraz procentowa zmiana indeksu WIG 20 w tym okresie. </w:t>
      </w:r>
    </w:p>
    <w:p w:rsidR="009A72C5" w:rsidRDefault="009A72C5" w:rsidP="009A72C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9,09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-4,2 %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Unima</w:t>
            </w:r>
            <w:proofErr w:type="spellEnd"/>
            <w:proofErr w:type="gramEnd"/>
            <w: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-7,0 %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Variant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1,54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-13,0 %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-8,1 %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  -7,5 %</w:t>
            </w:r>
          </w:p>
        </w:tc>
      </w:tr>
    </w:tbl>
    <w:p w:rsidR="009A72C5" w:rsidRDefault="009A72C5" w:rsidP="009A72C5">
      <w:pPr>
        <w:spacing w:after="0" w:line="240" w:lineRule="auto"/>
        <w:jc w:val="both"/>
      </w:pPr>
    </w:p>
    <w:p w:rsidR="009A72C5" w:rsidRDefault="009A72C5" w:rsidP="009A72C5">
      <w:pPr>
        <w:spacing w:after="0" w:line="240" w:lineRule="auto"/>
        <w:jc w:val="both"/>
      </w:pPr>
      <w:r>
        <w:t xml:space="preserve">Tabela: Procentowa zmiana ceny akcji spółki, której akcje zostały umieszczone 21 lipca 2015 roku </w:t>
      </w:r>
      <w:proofErr w:type="gramStart"/>
      <w:r>
        <w:t>na  stronie</w:t>
      </w:r>
      <w:proofErr w:type="gramEnd"/>
      <w:r>
        <w:t xml:space="preserve"> internetowej </w:t>
      </w:r>
      <w:hyperlink r:id="rId24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22 do 21 sierpnia 2015 roku oraz procentowa zmiana indeksu WIG 20 w tym okresie. </w:t>
      </w:r>
    </w:p>
    <w:p w:rsidR="009A72C5" w:rsidRDefault="009A72C5" w:rsidP="009A72C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22,27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7,1 %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7,1 %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-4,4 %</w:t>
            </w:r>
          </w:p>
        </w:tc>
      </w:tr>
    </w:tbl>
    <w:p w:rsidR="009A72C5" w:rsidRDefault="009A72C5" w:rsidP="009A72C5">
      <w:pPr>
        <w:spacing w:after="0" w:line="240" w:lineRule="auto"/>
        <w:jc w:val="both"/>
      </w:pPr>
    </w:p>
    <w:p w:rsidR="009A72C5" w:rsidRDefault="009A72C5" w:rsidP="009A72C5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5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23 do 21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Poziom – 28.08.2015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42,10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2,0 %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2,0 %</w:t>
            </w:r>
          </w:p>
        </w:tc>
      </w:tr>
      <w:tr w:rsidR="009A72C5" w:rsidTr="009374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2 145,12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C5" w:rsidRDefault="009A72C5" w:rsidP="00937464">
            <w:pPr>
              <w:jc w:val="center"/>
              <w:rPr>
                <w:rFonts w:eastAsiaTheme="minorEastAsia"/>
              </w:rPr>
            </w:pPr>
            <w:r>
              <w:t>-1,9 %</w:t>
            </w:r>
          </w:p>
        </w:tc>
      </w:tr>
    </w:tbl>
    <w:p w:rsidR="009A72C5" w:rsidRDefault="009A72C5" w:rsidP="009A72C5">
      <w:pPr>
        <w:spacing w:after="0" w:line="240" w:lineRule="auto"/>
        <w:jc w:val="both"/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lastRenderedPageBreak/>
        <w:t xml:space="preserve">Wniosek </w:t>
      </w:r>
    </w:p>
    <w:p w:rsidR="009A72C5" w:rsidRDefault="009A72C5" w:rsidP="009A72C5">
      <w:pPr>
        <w:spacing w:after="0" w:line="240" w:lineRule="auto"/>
        <w:jc w:val="both"/>
        <w:rPr>
          <w:sz w:val="60"/>
          <w:szCs w:val="60"/>
        </w:rPr>
      </w:pPr>
    </w:p>
    <w:p w:rsidR="009A72C5" w:rsidRDefault="009A72C5" w:rsidP="009A72C5">
      <w:pPr>
        <w:spacing w:after="0" w:line="240" w:lineRule="auto"/>
        <w:jc w:val="both"/>
        <w:rPr>
          <w:sz w:val="60"/>
          <w:szCs w:val="60"/>
        </w:rPr>
      </w:pPr>
      <w:r>
        <w:rPr>
          <w:sz w:val="60"/>
          <w:szCs w:val="60"/>
        </w:rPr>
        <w:t xml:space="preserve">Warto zauważyć, że </w:t>
      </w:r>
    </w:p>
    <w:p w:rsidR="009A72C5" w:rsidRDefault="009A72C5" w:rsidP="009A72C5">
      <w:pPr>
        <w:spacing w:after="0" w:line="240" w:lineRule="auto"/>
        <w:jc w:val="both"/>
        <w:rPr>
          <w:sz w:val="60"/>
          <w:szCs w:val="60"/>
        </w:rPr>
      </w:pPr>
    </w:p>
    <w:p w:rsidR="009A72C5" w:rsidRDefault="009A72C5" w:rsidP="009A72C5">
      <w:pPr>
        <w:spacing w:after="0" w:line="240" w:lineRule="auto"/>
        <w:jc w:val="both"/>
        <w:rPr>
          <w:sz w:val="60"/>
          <w:szCs w:val="60"/>
        </w:rPr>
      </w:pPr>
      <w:r>
        <w:rPr>
          <w:b/>
          <w:color w:val="FF0000"/>
          <w:sz w:val="60"/>
          <w:szCs w:val="60"/>
        </w:rPr>
        <w:t>spośród</w:t>
      </w:r>
      <w:r>
        <w:rPr>
          <w:b/>
          <w:sz w:val="60"/>
          <w:szCs w:val="60"/>
        </w:rPr>
        <w:t xml:space="preserve"> </w:t>
      </w:r>
      <w:r>
        <w:rPr>
          <w:b/>
          <w:color w:val="FF0000"/>
          <w:sz w:val="60"/>
          <w:szCs w:val="60"/>
        </w:rPr>
        <w:t>32 spółek</w:t>
      </w:r>
      <w:r>
        <w:rPr>
          <w:b/>
          <w:sz w:val="60"/>
          <w:szCs w:val="60"/>
        </w:rPr>
        <w:t xml:space="preserve">, których akcje zakwalifikowane zostały do rubryki </w:t>
      </w:r>
      <w:proofErr w:type="gramStart"/>
      <w:r>
        <w:rPr>
          <w:b/>
          <w:sz w:val="60"/>
          <w:szCs w:val="60"/>
        </w:rPr>
        <w:t>,,</w:t>
      </w:r>
      <w:proofErr w:type="gramEnd"/>
      <w:r>
        <w:rPr>
          <w:b/>
          <w:sz w:val="60"/>
          <w:szCs w:val="60"/>
        </w:rPr>
        <w:t>Wykres do przemyślenia”</w:t>
      </w:r>
      <w:r>
        <w:rPr>
          <w:sz w:val="60"/>
          <w:szCs w:val="60"/>
        </w:rPr>
        <w:t xml:space="preserve"> </w:t>
      </w:r>
    </w:p>
    <w:p w:rsidR="009A72C5" w:rsidRDefault="009A72C5" w:rsidP="009A72C5">
      <w:pPr>
        <w:spacing w:after="0" w:line="240" w:lineRule="auto"/>
        <w:jc w:val="both"/>
        <w:rPr>
          <w:sz w:val="60"/>
          <w:szCs w:val="60"/>
        </w:rPr>
      </w:pPr>
    </w:p>
    <w:p w:rsidR="009A72C5" w:rsidRDefault="009A72C5" w:rsidP="009A72C5">
      <w:pPr>
        <w:spacing w:after="0" w:line="240" w:lineRule="auto"/>
        <w:jc w:val="both"/>
        <w:rPr>
          <w:sz w:val="60"/>
          <w:szCs w:val="60"/>
        </w:rPr>
      </w:pPr>
      <w:r>
        <w:rPr>
          <w:sz w:val="60"/>
          <w:szCs w:val="60"/>
        </w:rPr>
        <w:t xml:space="preserve">(gdyż wybiły się już z formacji podwójnego dna) </w:t>
      </w:r>
    </w:p>
    <w:p w:rsidR="009A72C5" w:rsidRDefault="009A72C5" w:rsidP="009A72C5">
      <w:pPr>
        <w:spacing w:after="0" w:line="240" w:lineRule="auto"/>
        <w:jc w:val="both"/>
        <w:rPr>
          <w:sz w:val="60"/>
          <w:szCs w:val="60"/>
        </w:rPr>
      </w:pPr>
    </w:p>
    <w:p w:rsidR="009A72C5" w:rsidRDefault="009A72C5" w:rsidP="009A72C5">
      <w:pPr>
        <w:spacing w:after="0" w:line="240" w:lineRule="auto"/>
        <w:jc w:val="both"/>
        <w:rPr>
          <w:b/>
          <w:sz w:val="60"/>
          <w:szCs w:val="60"/>
        </w:rPr>
      </w:pPr>
      <w:proofErr w:type="gramStart"/>
      <w:r>
        <w:rPr>
          <w:b/>
          <w:sz w:val="60"/>
          <w:szCs w:val="60"/>
        </w:rPr>
        <w:t>kursy</w:t>
      </w:r>
      <w:proofErr w:type="gramEnd"/>
      <w:r>
        <w:rPr>
          <w:b/>
          <w:sz w:val="60"/>
          <w:szCs w:val="60"/>
        </w:rPr>
        <w:t xml:space="preserve"> akcji </w:t>
      </w:r>
      <w:r>
        <w:rPr>
          <w:b/>
          <w:color w:val="FF0000"/>
          <w:sz w:val="60"/>
          <w:szCs w:val="60"/>
        </w:rPr>
        <w:t>25 spółek</w:t>
      </w:r>
      <w:r>
        <w:rPr>
          <w:sz w:val="60"/>
          <w:szCs w:val="60"/>
        </w:rPr>
        <w:t xml:space="preserve"> od momentu owego zakwalifikowania do tej rubryki do dnia 21 sierpnia 2015 roku zachowywały się </w:t>
      </w:r>
      <w:r>
        <w:rPr>
          <w:b/>
          <w:color w:val="FF0000"/>
          <w:sz w:val="60"/>
          <w:szCs w:val="60"/>
          <w:u w:val="single"/>
        </w:rPr>
        <w:t>lepiej</w:t>
      </w:r>
      <w:r>
        <w:rPr>
          <w:b/>
          <w:color w:val="FF0000"/>
          <w:sz w:val="60"/>
          <w:szCs w:val="60"/>
        </w:rPr>
        <w:t xml:space="preserve"> od indeksu WIG20</w:t>
      </w:r>
      <w:r>
        <w:rPr>
          <w:b/>
          <w:sz w:val="60"/>
          <w:szCs w:val="60"/>
        </w:rPr>
        <w:t xml:space="preserve"> </w:t>
      </w:r>
    </w:p>
    <w:p w:rsidR="009A72C5" w:rsidRDefault="009A72C5" w:rsidP="009A72C5">
      <w:pPr>
        <w:spacing w:after="0" w:line="240" w:lineRule="auto"/>
        <w:jc w:val="both"/>
        <w:rPr>
          <w:b/>
          <w:sz w:val="60"/>
          <w:szCs w:val="60"/>
        </w:rPr>
      </w:pPr>
    </w:p>
    <w:p w:rsidR="009A72C5" w:rsidRDefault="009A72C5" w:rsidP="009A72C5">
      <w:pPr>
        <w:spacing w:after="0" w:line="240" w:lineRule="auto"/>
        <w:jc w:val="both"/>
        <w:rPr>
          <w:b/>
          <w:sz w:val="60"/>
          <w:szCs w:val="60"/>
          <w:u w:val="single"/>
        </w:rPr>
      </w:pPr>
      <w:proofErr w:type="gramStart"/>
      <w:r>
        <w:rPr>
          <w:b/>
          <w:sz w:val="60"/>
          <w:szCs w:val="60"/>
        </w:rPr>
        <w:t>a</w:t>
      </w:r>
      <w:proofErr w:type="gramEnd"/>
      <w:r>
        <w:rPr>
          <w:b/>
          <w:sz w:val="60"/>
          <w:szCs w:val="60"/>
        </w:rPr>
        <w:t xml:space="preserve"> 7 </w:t>
      </w:r>
      <w:r>
        <w:rPr>
          <w:b/>
          <w:sz w:val="60"/>
          <w:szCs w:val="60"/>
          <w:u w:val="single"/>
        </w:rPr>
        <w:t xml:space="preserve">gorzej </w:t>
      </w:r>
      <w:r>
        <w:rPr>
          <w:b/>
          <w:sz w:val="60"/>
          <w:szCs w:val="60"/>
        </w:rPr>
        <w:t>od indeksu WIG20.</w:t>
      </w:r>
      <w:r>
        <w:rPr>
          <w:b/>
          <w:sz w:val="60"/>
          <w:szCs w:val="60"/>
          <w:u w:val="single"/>
        </w:rPr>
        <w:t xml:space="preserve"> </w:t>
      </w:r>
    </w:p>
    <w:p w:rsidR="009A72C5" w:rsidRDefault="009A72C5" w:rsidP="009A72C5">
      <w:pPr>
        <w:spacing w:after="0" w:line="240" w:lineRule="auto"/>
        <w:jc w:val="both"/>
        <w:rPr>
          <w:b/>
          <w:sz w:val="60"/>
          <w:szCs w:val="60"/>
          <w:u w:val="single"/>
        </w:rPr>
      </w:pPr>
    </w:p>
    <w:p w:rsidR="00CD3372" w:rsidRDefault="00CD3372" w:rsidP="00CD3372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Wnioski końcowe</w:t>
      </w:r>
    </w:p>
    <w:p w:rsidR="00CD3372" w:rsidRDefault="00CD3372" w:rsidP="00CD3372">
      <w:pPr>
        <w:spacing w:after="0" w:line="240" w:lineRule="auto"/>
        <w:jc w:val="both"/>
      </w:pPr>
    </w:p>
    <w:p w:rsidR="00CD3372" w:rsidRDefault="00CD3372" w:rsidP="00CD3372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C4F12">
        <w:rPr>
          <w:b/>
          <w:color w:val="000000" w:themeColor="text1"/>
        </w:rPr>
        <w:t>Kurs dolara amerykańskiego (w złotych)</w:t>
      </w:r>
      <w:r w:rsidRPr="00CC4F12">
        <w:rPr>
          <w:color w:val="000000" w:themeColor="text1"/>
        </w:rPr>
        <w:t xml:space="preserve"> spadł poniżej bardzo ważnego oporu na poziomie 3,9130 zł. </w:t>
      </w:r>
      <w:proofErr w:type="gramStart"/>
      <w:r w:rsidRPr="00CC4F12">
        <w:rPr>
          <w:color w:val="000000" w:themeColor="text1"/>
        </w:rPr>
        <w:t>z</w:t>
      </w:r>
      <w:proofErr w:type="gramEnd"/>
      <w:r w:rsidRPr="00CC4F12">
        <w:rPr>
          <w:color w:val="000000" w:themeColor="text1"/>
        </w:rPr>
        <w:t xml:space="preserve"> lutego 2009 roku. W tej sytuacji można oczekiwać rozpoczęcia się fali spadków w kierunku linii trendu wzrostowego poprowadzonej przez dołki z lipca 2008 roku oraz czerwca 2014 roku, która aktualnie przebiega na poziomie </w:t>
      </w:r>
      <w:r w:rsidRPr="00CC4F12">
        <w:rPr>
          <w:b/>
          <w:color w:val="FF0000"/>
        </w:rPr>
        <w:t>3,10</w:t>
      </w:r>
      <w:r w:rsidRPr="00CC4F12">
        <w:rPr>
          <w:color w:val="000000" w:themeColor="text1"/>
        </w:rPr>
        <w:t xml:space="preserve">. Osłabienie kursu dolara amerykańskiego (w złotych) może być związane z napływem kapitału zagranicznego na polski rynek akcji, czemu towarzyszyć może także osłabienie kursów innych walut zagranicznych (w tym jena japońskiego złotych). </w:t>
      </w:r>
    </w:p>
    <w:p w:rsidR="00CD3372" w:rsidRPr="00CC4F12" w:rsidRDefault="00CD3372" w:rsidP="00CD3372">
      <w:pPr>
        <w:spacing w:after="0" w:line="240" w:lineRule="auto"/>
        <w:ind w:left="720"/>
        <w:jc w:val="both"/>
        <w:rPr>
          <w:color w:val="000000" w:themeColor="text1"/>
        </w:rPr>
      </w:pPr>
    </w:p>
    <w:p w:rsidR="00CD3372" w:rsidRPr="00AE745F" w:rsidRDefault="00CD3372" w:rsidP="00CD3372">
      <w:pPr>
        <w:numPr>
          <w:ilvl w:val="0"/>
          <w:numId w:val="1"/>
        </w:numPr>
        <w:spacing w:after="0" w:line="240" w:lineRule="auto"/>
        <w:jc w:val="both"/>
        <w:rPr>
          <w:noProof/>
          <w:lang w:eastAsia="pl-PL"/>
        </w:rPr>
      </w:pPr>
      <w:r>
        <w:rPr>
          <w:color w:val="000000" w:themeColor="text1"/>
        </w:rPr>
        <w:t xml:space="preserve">W przypadku </w:t>
      </w:r>
      <w:r>
        <w:rPr>
          <w:b/>
          <w:color w:val="000000" w:themeColor="text1"/>
        </w:rPr>
        <w:t>kursu euro (w złotych)</w:t>
      </w:r>
      <w:r>
        <w:rPr>
          <w:color w:val="000000" w:themeColor="text1"/>
        </w:rPr>
        <w:t xml:space="preserve"> aktywność strony podażowej doprowadziła w pewnym momencie do przebicia od góry spadkowej linii trendu poprowadzonej przez szczyty z lutego 2009 roku oraz grudnia 2011 roku. Później jednak doszło do spadków. </w:t>
      </w:r>
      <w:r w:rsidRPr="00AE745F">
        <w:rPr>
          <w:color w:val="000000" w:themeColor="text1"/>
        </w:rPr>
        <w:t xml:space="preserve">Potem popyt znów zaatakował, ale nie doszło do przebicia szczytu z lipca 2015 roku. Obecnie ważnym </w:t>
      </w:r>
      <w:bookmarkStart w:id="0" w:name="_GoBack"/>
      <w:bookmarkEnd w:id="0"/>
      <w:r w:rsidRPr="00AE745F">
        <w:rPr>
          <w:color w:val="000000" w:themeColor="text1"/>
        </w:rPr>
        <w:t>wsparciem jest poziom 3,89</w:t>
      </w:r>
      <w:r>
        <w:rPr>
          <w:color w:val="000000" w:themeColor="text1"/>
        </w:rPr>
        <w:t>32 zł (dołek z maja 2011 roku).</w:t>
      </w:r>
    </w:p>
    <w:p w:rsidR="00CD3372" w:rsidRDefault="00CD3372" w:rsidP="00CD3372">
      <w:pPr>
        <w:spacing w:after="0" w:line="240" w:lineRule="auto"/>
        <w:ind w:left="720"/>
        <w:jc w:val="both"/>
        <w:rPr>
          <w:noProof/>
          <w:lang w:eastAsia="pl-PL"/>
        </w:rPr>
      </w:pPr>
    </w:p>
    <w:p w:rsidR="00CD3372" w:rsidRPr="00590246" w:rsidRDefault="00CD3372" w:rsidP="00CD337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W przypadku cen kontraktów terminowych na miedź można oczekiwać jeszcze spadków o 12,2 % z uwago na możliwość realizacji formacji nietypowego podwójnego dna. Z tego powodu wyobrażam sobie, że mogą istnieć inwestorzy, którzy gotowi byliby tak skonstruować własny portfel, aby był on w stosunkowo wysokim stopniu </w:t>
      </w:r>
      <w:r w:rsidRPr="009F68FF">
        <w:rPr>
          <w:b/>
          <w:color w:val="000000" w:themeColor="text1"/>
          <w:u w:val="single"/>
        </w:rPr>
        <w:t>odporny na ryzyko ewentualnych spadków cen kontraktów terminowych na miedź</w:t>
      </w:r>
      <w:r>
        <w:rPr>
          <w:color w:val="000000" w:themeColor="text1"/>
        </w:rPr>
        <w:t xml:space="preserve">. W niniejszym opracowaniu przedstawiłem taki </w:t>
      </w:r>
      <w:r w:rsidRPr="009F68FF">
        <w:rPr>
          <w:color w:val="000000" w:themeColor="text1"/>
        </w:rPr>
        <w:t xml:space="preserve">przykładowy </w:t>
      </w:r>
      <w:proofErr w:type="gramStart"/>
      <w:r w:rsidR="009F68FF">
        <w:rPr>
          <w:color w:val="000000" w:themeColor="text1"/>
        </w:rPr>
        <w:t>,,</w:t>
      </w:r>
      <w:proofErr w:type="gramEnd"/>
      <w:r w:rsidRPr="009F68FF">
        <w:rPr>
          <w:color w:val="000000" w:themeColor="text1"/>
        </w:rPr>
        <w:t xml:space="preserve">portfel </w:t>
      </w:r>
      <w:r w:rsidR="009F68FF">
        <w:rPr>
          <w:color w:val="000000" w:themeColor="text1"/>
        </w:rPr>
        <w:t xml:space="preserve">anty-miedziowy” skonstruowany przez hipotetycznego inwestora Romana. </w:t>
      </w:r>
    </w:p>
    <w:p w:rsidR="00CD3372" w:rsidRPr="00590246" w:rsidRDefault="00CD3372" w:rsidP="00CD3372">
      <w:pPr>
        <w:pStyle w:val="Akapitzlist"/>
        <w:rPr>
          <w:color w:val="000000" w:themeColor="text1"/>
        </w:rPr>
      </w:pPr>
    </w:p>
    <w:p w:rsidR="00CD3372" w:rsidRPr="00590246" w:rsidRDefault="00CD3372" w:rsidP="00CD337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90246">
        <w:rPr>
          <w:color w:val="000000" w:themeColor="text1"/>
        </w:rPr>
        <w:t>Wychodzę z założenie, że jeżeli WIG20 miałby zacząć rosnąć to w tej zwyżce powinny przede wszystkim uczestniczyć akcje przynajmniej niektórych banków</w:t>
      </w:r>
      <w:r w:rsidRPr="00590246">
        <w:rPr>
          <w:b/>
          <w:color w:val="000000" w:themeColor="text1"/>
          <w:u w:val="single"/>
        </w:rPr>
        <w:t>. Ciekawie prezentuje się na przykład wykres akcji BZ WBK</w:t>
      </w:r>
      <w:r w:rsidRPr="00590246">
        <w:rPr>
          <w:color w:val="000000" w:themeColor="text1"/>
        </w:rPr>
        <w:t>, który ma szasnę wybić się z formacji podwójnego dna. Do wybicia z tej formacji doszłoby wówczas, gdyby kurs (na zamknięciu sesji) osiągnął 304 złote i 80 groszy lub więcej.</w:t>
      </w:r>
    </w:p>
    <w:p w:rsidR="00CD3372" w:rsidRDefault="00CD3372" w:rsidP="00CD3372">
      <w:pPr>
        <w:pStyle w:val="Akapitzlist"/>
      </w:pPr>
    </w:p>
    <w:p w:rsidR="00CD3372" w:rsidRDefault="00CD3372" w:rsidP="00CD3372">
      <w:pPr>
        <w:spacing w:after="0" w:line="240" w:lineRule="auto"/>
        <w:jc w:val="both"/>
      </w:pPr>
      <w:r>
        <w:t>Opracował: Sławomir Kłusek, 31 sierpnia 2015 roku</w:t>
      </w:r>
    </w:p>
    <w:p w:rsidR="00CD3372" w:rsidRDefault="00CD3372" w:rsidP="00CD3372">
      <w:pPr>
        <w:spacing w:after="0" w:line="240" w:lineRule="auto"/>
        <w:ind w:left="720"/>
        <w:jc w:val="both"/>
      </w:pPr>
    </w:p>
    <w:p w:rsidR="00CD3372" w:rsidRDefault="00CD3372" w:rsidP="00CD3372">
      <w:pPr>
        <w:spacing w:after="0" w:line="240" w:lineRule="auto"/>
        <w:jc w:val="both"/>
      </w:pPr>
      <w:r>
        <w:t xml:space="preserve">Powyższy raport stanowi wyłącznie wyraz osobistych opinii autora. </w:t>
      </w:r>
    </w:p>
    <w:p w:rsidR="00CD3372" w:rsidRDefault="00CD3372" w:rsidP="00CD3372">
      <w:pPr>
        <w:spacing w:after="0" w:line="240" w:lineRule="auto"/>
        <w:jc w:val="both"/>
      </w:pPr>
    </w:p>
    <w:p w:rsidR="00CD3372" w:rsidRDefault="00CD3372" w:rsidP="00CD3372">
      <w:pPr>
        <w:spacing w:after="0" w:line="240" w:lineRule="auto"/>
        <w:jc w:val="both"/>
      </w:pPr>
      <w:r>
        <w:t xml:space="preserve">Treści zawarte na stronie internetowej </w:t>
      </w:r>
      <w:hyperlink r:id="rId26" w:history="1">
        <w:r>
          <w:rPr>
            <w:rStyle w:val="Hipercze"/>
          </w:rPr>
          <w:t>www.analizy-rynkowe.pl</w:t>
        </w:r>
      </w:hyperlink>
      <w: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2005 r. Nr 206, poz. 1715).</w:t>
      </w:r>
    </w:p>
    <w:p w:rsidR="00CD3372" w:rsidRDefault="00CD3372" w:rsidP="00CD3372">
      <w:pPr>
        <w:spacing w:after="0" w:line="240" w:lineRule="auto"/>
        <w:jc w:val="both"/>
      </w:pPr>
    </w:p>
    <w:p w:rsidR="00CD3372" w:rsidRDefault="00CD3372" w:rsidP="00CD3372">
      <w:pPr>
        <w:spacing w:after="0" w:line="240" w:lineRule="auto"/>
        <w:jc w:val="both"/>
      </w:pPr>
      <w:r>
        <w:t xml:space="preserve">Autor nie ponosi odpowiedzialności za jakiekolwiek decyzje inwestycyjne podjęte na podstawie treści zawartych na stronie internetowej </w:t>
      </w:r>
      <w:hyperlink r:id="rId27" w:history="1">
        <w:r>
          <w:rPr>
            <w:rStyle w:val="Hipercze"/>
          </w:rPr>
          <w:t>www.analizy-rynkowe.pl</w:t>
        </w:r>
      </w:hyperlink>
    </w:p>
    <w:p w:rsidR="00CD3372" w:rsidRDefault="00CD3372" w:rsidP="00CD3372">
      <w:pPr>
        <w:spacing w:after="0" w:line="240" w:lineRule="auto"/>
        <w:jc w:val="both"/>
      </w:pPr>
    </w:p>
    <w:p w:rsidR="0060251E" w:rsidRDefault="0060251E"/>
    <w:sectPr w:rsidR="0060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72"/>
    <w:rsid w:val="00573A3D"/>
    <w:rsid w:val="0060251E"/>
    <w:rsid w:val="009A72C5"/>
    <w:rsid w:val="009F68FF"/>
    <w:rsid w:val="00CC1311"/>
    <w:rsid w:val="00C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3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33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D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3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33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D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analizy-rynkowe.pl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analizy-rynkowe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nalizy-rynkowe.pl/kursy-ktorych-akcji-moga-wykazywac-szczegolnie-wysoka-odpornosc-na-ewentualne-dalsze-spadki-cen-kontraktow-terminowych-na-miedz-jak-mozna-sprobowac-odpowiedziec-na-to-pytanie/" TargetMode="External"/><Relationship Id="rId19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lizy-rynkowe.pl/" TargetMode="External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3042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4</cp:revision>
  <cp:lastPrinted>2015-08-30T05:57:00Z</cp:lastPrinted>
  <dcterms:created xsi:type="dcterms:W3CDTF">2015-08-30T05:57:00Z</dcterms:created>
  <dcterms:modified xsi:type="dcterms:W3CDTF">2015-08-30T05:59:00Z</dcterms:modified>
</cp:coreProperties>
</file>