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9" w:rsidRPr="00B11C89" w:rsidRDefault="00B11C89" w:rsidP="00F76D50">
      <w:pPr>
        <w:pStyle w:val="Bezodstpw"/>
        <w:jc w:val="both"/>
        <w:rPr>
          <w:b/>
          <w:sz w:val="26"/>
          <w:szCs w:val="26"/>
        </w:rPr>
      </w:pPr>
      <w:bookmarkStart w:id="0" w:name="_GoBack"/>
      <w:bookmarkEnd w:id="0"/>
      <w:r w:rsidRPr="00B11C89">
        <w:rPr>
          <w:b/>
          <w:sz w:val="26"/>
          <w:szCs w:val="26"/>
        </w:rPr>
        <w:t xml:space="preserve">Wprowadzenie </w:t>
      </w:r>
    </w:p>
    <w:p w:rsidR="00B11C89" w:rsidRDefault="00B11C89" w:rsidP="00F76D50">
      <w:pPr>
        <w:pStyle w:val="Bezodstpw"/>
        <w:jc w:val="both"/>
        <w:rPr>
          <w:sz w:val="26"/>
          <w:szCs w:val="26"/>
        </w:rPr>
      </w:pPr>
    </w:p>
    <w:p w:rsidR="00126AF0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Strona internetowa </w:t>
      </w:r>
      <w:hyperlink r:id="rId6" w:history="1">
        <w:r w:rsidRPr="00B11C89">
          <w:rPr>
            <w:rStyle w:val="Hipercze"/>
            <w:sz w:val="26"/>
            <w:szCs w:val="26"/>
          </w:rPr>
          <w:t>http://analizy-rynkowe.pl/</w:t>
        </w:r>
      </w:hyperlink>
      <w:r w:rsidRPr="00B11C89">
        <w:rPr>
          <w:sz w:val="26"/>
          <w:szCs w:val="26"/>
        </w:rPr>
        <w:t xml:space="preserve"> prowadzona jest od września 201</w:t>
      </w:r>
      <w:r w:rsidR="0080632A">
        <w:rPr>
          <w:sz w:val="26"/>
          <w:szCs w:val="26"/>
        </w:rPr>
        <w:t>4</w:t>
      </w:r>
      <w:r w:rsidRPr="00B11C89">
        <w:rPr>
          <w:sz w:val="26"/>
          <w:szCs w:val="26"/>
        </w:rPr>
        <w:t xml:space="preserve"> roku.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Co tydzień publikowany jest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>Raport Tygodniowy”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Od czasu do czasu umieszczam wybrane spółki w rubryce </w:t>
      </w:r>
      <w:proofErr w:type="gramStart"/>
      <w:r w:rsidRPr="00F76D50">
        <w:rPr>
          <w:b/>
          <w:sz w:val="26"/>
          <w:szCs w:val="26"/>
        </w:rPr>
        <w:t>,,</w:t>
      </w:r>
      <w:proofErr w:type="gramEnd"/>
      <w:r w:rsidRPr="00F76D50">
        <w:rPr>
          <w:b/>
          <w:sz w:val="26"/>
          <w:szCs w:val="26"/>
        </w:rPr>
        <w:t xml:space="preserve">Wykres do przemyślenia”.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Umieszczane są tam te </w:t>
      </w:r>
      <w:r w:rsidR="00F76D50">
        <w:rPr>
          <w:sz w:val="26"/>
          <w:szCs w:val="26"/>
        </w:rPr>
        <w:t xml:space="preserve">przykładowe </w:t>
      </w:r>
      <w:r w:rsidRPr="00B11C89">
        <w:rPr>
          <w:sz w:val="26"/>
          <w:szCs w:val="26"/>
        </w:rPr>
        <w:t xml:space="preserve">spółki, których kurs </w:t>
      </w:r>
      <w:r w:rsidRPr="00F76D50">
        <w:rPr>
          <w:b/>
          <w:sz w:val="26"/>
          <w:szCs w:val="26"/>
        </w:rPr>
        <w:t xml:space="preserve">wybił się z formacji podwójnego dna.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Formacja podwójnego dna ma </w:t>
      </w:r>
      <w:r w:rsidRPr="00F76D50">
        <w:rPr>
          <w:b/>
          <w:sz w:val="26"/>
          <w:szCs w:val="26"/>
        </w:rPr>
        <w:t xml:space="preserve">2 </w:t>
      </w:r>
      <w:proofErr w:type="gramStart"/>
      <w:r w:rsidRPr="00F76D50">
        <w:rPr>
          <w:b/>
          <w:sz w:val="26"/>
          <w:szCs w:val="26"/>
        </w:rPr>
        <w:t>,,</w:t>
      </w:r>
      <w:proofErr w:type="gramEnd"/>
      <w:r w:rsidRPr="00F76D50">
        <w:rPr>
          <w:b/>
          <w:sz w:val="26"/>
          <w:szCs w:val="26"/>
        </w:rPr>
        <w:t xml:space="preserve">zadania”.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Podstawowym, minimalnym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 xml:space="preserve">zadaniem” tej formacji jest jej wypełnienie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Drugim ,,zadaniem” tej formacji jest doprowadzenie do zmiany trendu ze spadkowego na wzrostowy.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Osobiście wyróżniam </w:t>
      </w:r>
      <w:r w:rsidRPr="00F76D50">
        <w:rPr>
          <w:b/>
          <w:sz w:val="26"/>
          <w:szCs w:val="26"/>
        </w:rPr>
        <w:t>typowe oraz nietypowe podwójne dno.</w:t>
      </w:r>
      <w:r w:rsidRPr="00B11C89">
        <w:rPr>
          <w:sz w:val="26"/>
          <w:szCs w:val="26"/>
        </w:rPr>
        <w:t xml:space="preserve">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Natomiast w przypadku nietypowej formacji podwójnego dna kształtują się one na poziomie zupełnie odmiennym.</w:t>
      </w:r>
    </w:p>
    <w:p w:rsidR="001F430C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Od pierwszego numeru ,,Raportu Tygodniowego” postanowiłem, że będę </w:t>
      </w:r>
      <w:r w:rsidRPr="00F76D50">
        <w:rPr>
          <w:b/>
          <w:sz w:val="26"/>
          <w:szCs w:val="26"/>
        </w:rPr>
        <w:t>porównywał</w:t>
      </w:r>
      <w:r w:rsidRPr="00B11C89">
        <w:rPr>
          <w:sz w:val="26"/>
          <w:szCs w:val="26"/>
        </w:rPr>
        <w:t xml:space="preserve"> zachowanie kursu akcji spółki po wprowadzeniu jej do rubryki ,,Wykres do przemyślenia” </w:t>
      </w:r>
      <w:r w:rsidRPr="00F76D50">
        <w:rPr>
          <w:b/>
          <w:sz w:val="26"/>
          <w:szCs w:val="26"/>
        </w:rPr>
        <w:t xml:space="preserve">z zachowaniem indeksu WIG20.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Mam świadomość, że podejście to może budzić kontrowersje, sprzeciw. Dobrze. Tak być musi.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420F6F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Ostatnio postanowiłem odpowiedzieć na pytanie: ,,</w:t>
      </w:r>
      <w:r w:rsidR="001F430C" w:rsidRPr="00B11C89">
        <w:rPr>
          <w:sz w:val="26"/>
          <w:szCs w:val="26"/>
        </w:rPr>
        <w:t>Ile wynosiła średnia procentowa zmiana kursu akcji spółki po wprowadzeniu jej do rubryki ,,Wykres do przemyślenia” w okresie 8 pierwszych miesięcy po jej wprowadzeniu do tej rubryki ?</w:t>
      </w:r>
      <w:r w:rsidRPr="00B11C89">
        <w:rPr>
          <w:sz w:val="26"/>
          <w:szCs w:val="26"/>
        </w:rPr>
        <w:t>”</w:t>
      </w:r>
    </w:p>
    <w:p w:rsidR="00420F6F" w:rsidRPr="00B11C89" w:rsidRDefault="00420F6F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420F6F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W związku z powyższym postanowiłem odpowiedzieć także na pytanie: ,,Ile wynosiła średnia procentowa zmiana indeksu WIG 20 w tym okresie ?”</w:t>
      </w:r>
    </w:p>
    <w:p w:rsidR="00420F6F" w:rsidRPr="00B11C89" w:rsidRDefault="00420F6F" w:rsidP="00F76D50">
      <w:pPr>
        <w:pStyle w:val="Bezodstpw"/>
        <w:jc w:val="both"/>
        <w:rPr>
          <w:sz w:val="26"/>
          <w:szCs w:val="26"/>
        </w:rPr>
      </w:pPr>
    </w:p>
    <w:p w:rsidR="00420F6F" w:rsidRPr="00B11C89" w:rsidRDefault="00420F6F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Odpowiedź na te pytania przedstawiłem w tabeli na stronie drugiej. </w:t>
      </w:r>
    </w:p>
    <w:p w:rsidR="00420F6F" w:rsidRPr="00B11C89" w:rsidRDefault="00420F6F" w:rsidP="00F76D50">
      <w:pPr>
        <w:pStyle w:val="Bezodstpw"/>
        <w:jc w:val="both"/>
        <w:rPr>
          <w:sz w:val="28"/>
          <w:szCs w:val="28"/>
        </w:rPr>
      </w:pPr>
    </w:p>
    <w:p w:rsidR="00B11C89" w:rsidRPr="00764205" w:rsidRDefault="00B11C89" w:rsidP="00B11C89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205">
        <w:rPr>
          <w:rFonts w:ascii="Calibri" w:eastAsia="Times New Roman" w:hAnsi="Calibri" w:cs="Times New Roman"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(w %) w okresie 8 pierwszych miesięcy po wprowadzeniu spółki do rubryki </w:t>
      </w:r>
      <w:proofErr w:type="gramStart"/>
      <w:r w:rsidRPr="00764205">
        <w:rPr>
          <w:rFonts w:ascii="Calibri" w:eastAsia="Times New Roman" w:hAnsi="Calibri" w:cs="Times New Roman"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764205">
        <w:rPr>
          <w:rFonts w:ascii="Calibri" w:eastAsia="Times New Roman" w:hAnsi="Calibri" w:cs="Times New Roman"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</w:t>
      </w:r>
      <w:r w:rsidRPr="00764205">
        <w:rPr>
          <w:rFonts w:ascii="Calibri" w:eastAsia="Times New Roman" w:hAnsi="Calibri" w:cs="Times New Roman"/>
          <w:i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 oraz zmiana indeksu WIG</w:t>
      </w:r>
      <w:r w:rsidR="005F5C7B" w:rsidRPr="00764205">
        <w:rPr>
          <w:rFonts w:ascii="Calibri" w:eastAsia="Times New Roman" w:hAnsi="Calibri" w:cs="Times New Roman"/>
          <w:i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(w %) </w:t>
      </w:r>
      <w:r w:rsidRPr="00764205">
        <w:rPr>
          <w:rFonts w:ascii="Calibri" w:eastAsia="Times New Roman" w:hAnsi="Calibri" w:cs="Times New Roman"/>
          <w:i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tym okresie</w:t>
      </w:r>
    </w:p>
    <w:p w:rsidR="001F430C" w:rsidRDefault="001F430C" w:rsidP="001F430C">
      <w:pPr>
        <w:pStyle w:val="Bezodstpw"/>
        <w:jc w:val="both"/>
        <w:rPr>
          <w:smallCap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Nazwa</w:t>
            </w:r>
          </w:p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spółki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Procentowa zmiana kursu akcji spółki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pStyle w:val="Bezodstpw"/>
              <w:jc w:val="center"/>
              <w:rPr>
                <w:b/>
                <w:smallCaps/>
                <w:sz w:val="24"/>
                <w:szCs w:val="24"/>
              </w:rPr>
            </w:pPr>
            <w:r w:rsidRPr="005F5C7B">
              <w:rPr>
                <w:rFonts w:ascii="Calibri" w:hAnsi="Calibri"/>
                <w:b/>
                <w:sz w:val="24"/>
                <w:szCs w:val="24"/>
                <w:lang w:eastAsia="pl-PL"/>
              </w:rPr>
              <w:t>Procentowa zmiana indeksu WIG20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IMMOBILE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1C89" w:rsidRPr="005F5C7B">
              <w:rPr>
                <w:sz w:val="24"/>
                <w:szCs w:val="24"/>
              </w:rPr>
              <w:t>5,4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3071" w:type="dxa"/>
          </w:tcPr>
          <w:p w:rsidR="00B11C89" w:rsidRPr="005F5C7B" w:rsidRDefault="00285C17" w:rsidP="0028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21,3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NETMEDIA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81,8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RAFAKO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74,1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BORYSZEW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C89" w:rsidRPr="005F5C7B">
              <w:rPr>
                <w:sz w:val="24"/>
                <w:szCs w:val="24"/>
              </w:rPr>
              <w:t>-2,0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1,8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ERBUD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27,7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1,0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IF CAPITAL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-18,9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1,0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CAPITAL PARTNERS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46,5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1,1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ASSECO POLAND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27,5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CD PROJEKT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41,7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SYGNITY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-33,4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STALPRODUKT</w:t>
            </w:r>
          </w:p>
        </w:tc>
        <w:tc>
          <w:tcPr>
            <w:tcW w:w="3071" w:type="dxa"/>
          </w:tcPr>
          <w:p w:rsidR="00B11C89" w:rsidRPr="005F5C7B" w:rsidRDefault="00285C17" w:rsidP="0028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98,3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-2,3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TAURON POLSKA ENERGIA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-15,0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ELEKTROTIM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41,3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-5,1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RELPOL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C89" w:rsidRPr="005F5C7B">
              <w:rPr>
                <w:sz w:val="24"/>
                <w:szCs w:val="24"/>
              </w:rPr>
              <w:t>-2,3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-5,1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TESGAS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-22,2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-3,2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ENEA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C89" w:rsidRPr="005F5C7B">
              <w:rPr>
                <w:sz w:val="24"/>
                <w:szCs w:val="24"/>
              </w:rPr>
              <w:t>-0,3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-5,9</w:t>
            </w:r>
          </w:p>
        </w:tc>
      </w:tr>
      <w:tr w:rsidR="009C001B" w:rsidTr="00B11C89">
        <w:tc>
          <w:tcPr>
            <w:tcW w:w="3070" w:type="dxa"/>
          </w:tcPr>
          <w:p w:rsidR="009C001B" w:rsidRPr="005F5C7B" w:rsidRDefault="009C001B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PROCAD</w:t>
            </w:r>
          </w:p>
        </w:tc>
        <w:tc>
          <w:tcPr>
            <w:tcW w:w="3071" w:type="dxa"/>
          </w:tcPr>
          <w:p w:rsidR="009C001B" w:rsidRDefault="009C001B" w:rsidP="009C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94,3</w:t>
            </w:r>
          </w:p>
        </w:tc>
        <w:tc>
          <w:tcPr>
            <w:tcW w:w="3071" w:type="dxa"/>
          </w:tcPr>
          <w:p w:rsidR="009C001B" w:rsidRPr="005F5C7B" w:rsidRDefault="009C001B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-9,2</w:t>
            </w:r>
          </w:p>
        </w:tc>
      </w:tr>
      <w:tr w:rsidR="00B11C89" w:rsidTr="00B11C89">
        <w:tc>
          <w:tcPr>
            <w:tcW w:w="3070" w:type="dxa"/>
          </w:tcPr>
          <w:p w:rsidR="00B11C89" w:rsidRPr="00764205" w:rsidRDefault="00764205" w:rsidP="00B11C89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pl-PL"/>
              </w:rPr>
            </w:pPr>
            <w:r w:rsidRPr="00764205">
              <w:rPr>
                <w:rFonts w:ascii="Calibri" w:hAnsi="Calibri"/>
                <w:color w:val="000000" w:themeColor="text1"/>
                <w:sz w:val="24"/>
                <w:szCs w:val="24"/>
                <w:lang w:eastAsia="pl-PL"/>
              </w:rPr>
              <w:t>PKO BP</w:t>
            </w:r>
          </w:p>
        </w:tc>
        <w:tc>
          <w:tcPr>
            <w:tcW w:w="3071" w:type="dxa"/>
          </w:tcPr>
          <w:p w:rsidR="00B11C89" w:rsidRPr="00764205" w:rsidRDefault="00764205" w:rsidP="005A7A7A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lang w:eastAsia="pl-PL"/>
              </w:rPr>
              <w:t xml:space="preserve">-22,4 </w:t>
            </w:r>
          </w:p>
        </w:tc>
        <w:tc>
          <w:tcPr>
            <w:tcW w:w="3071" w:type="dxa"/>
          </w:tcPr>
          <w:p w:rsidR="00B11C89" w:rsidRPr="00764205" w:rsidRDefault="00764205" w:rsidP="00B11C89">
            <w:pPr>
              <w:pStyle w:val="Bezodstpw"/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-7,8</w:t>
            </w:r>
          </w:p>
        </w:tc>
      </w:tr>
      <w:tr w:rsidR="00764205" w:rsidRPr="005F5C7B" w:rsidTr="00764205">
        <w:tc>
          <w:tcPr>
            <w:tcW w:w="3070" w:type="dxa"/>
          </w:tcPr>
          <w:p w:rsidR="00764205" w:rsidRPr="005F5C7B" w:rsidRDefault="00764205" w:rsidP="000E302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ŚREDNIO</w:t>
            </w:r>
          </w:p>
        </w:tc>
        <w:tc>
          <w:tcPr>
            <w:tcW w:w="3071" w:type="dxa"/>
          </w:tcPr>
          <w:p w:rsidR="00764205" w:rsidRPr="005F5C7B" w:rsidRDefault="00764205" w:rsidP="0076420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2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3</w:t>
            </w: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,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71" w:type="dxa"/>
          </w:tcPr>
          <w:p w:rsidR="00764205" w:rsidRPr="005F5C7B" w:rsidRDefault="00764205" w:rsidP="00764205">
            <w:pPr>
              <w:pStyle w:val="Bezodstpw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-2,</w:t>
            </w:r>
            <w:r>
              <w:rPr>
                <w:b/>
                <w:smallCaps/>
                <w:sz w:val="24"/>
                <w:szCs w:val="24"/>
              </w:rPr>
              <w:t>5</w:t>
            </w:r>
          </w:p>
        </w:tc>
      </w:tr>
    </w:tbl>
    <w:p w:rsid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5F5C7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Wniosek końcowy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8 pierwszych miesięcy po jej wprowadzeniu do tej rubryki wynosiła 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64205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764205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WIG20 w tym okresie wynosiła minus </w:t>
      </w:r>
      <w:r w:rsidR="005A7A7A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764205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5C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Opracował: Sławomir Kłusek, </w:t>
      </w:r>
      <w:r w:rsidR="00764205">
        <w:rPr>
          <w:rFonts w:ascii="Calibri" w:eastAsia="Times New Roman" w:hAnsi="Calibri" w:cs="Times New Roman"/>
          <w:sz w:val="24"/>
          <w:szCs w:val="24"/>
          <w:lang w:eastAsia="pl-PL"/>
        </w:rPr>
        <w:t>8 sierpnia</w:t>
      </w:r>
      <w:r w:rsidRPr="005F5C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2015 r.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Powyższe zestawienia sporządzone zostało wyłącznie w celach informacyjnych. 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 opinie prezentowane na stronie </w:t>
      </w:r>
      <w:hyperlink r:id="rId7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stanowią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wyłącznie wyraz osobistych opinii autora.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Treści zawarte na stronie internetowej </w:t>
      </w:r>
      <w:hyperlink r:id="rId8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stanowią "rekomendacji"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>Dz.U</w:t>
      </w:r>
      <w:proofErr w:type="spellEnd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proofErr w:type="gramStart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2005 r. Nr 206, poz. 1715).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Autor nie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ponosi odpowiedzialności za jakiekolwiek decyzje inwestycyjne podjęte na podstawie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treści zawartych na stronie internetowej </w:t>
      </w:r>
      <w:hyperlink r:id="rId9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</w:p>
    <w:sectPr w:rsidR="005F5C7B" w:rsidRPr="005F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0C"/>
    <w:rsid w:val="00126AF0"/>
    <w:rsid w:val="001F430C"/>
    <w:rsid w:val="00285C17"/>
    <w:rsid w:val="00420F6F"/>
    <w:rsid w:val="005A7A7A"/>
    <w:rsid w:val="005F5C7B"/>
    <w:rsid w:val="00764205"/>
    <w:rsid w:val="0080632A"/>
    <w:rsid w:val="009C001B"/>
    <w:rsid w:val="00B11C89"/>
    <w:rsid w:val="00BB7FE4"/>
    <w:rsid w:val="00C67331"/>
    <w:rsid w:val="00F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3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F430C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B11C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3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F430C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B11C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alizy-rynkowe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BFD6-491E-43B2-9B7D-46D657B5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10</cp:revision>
  <dcterms:created xsi:type="dcterms:W3CDTF">2015-07-19T06:35:00Z</dcterms:created>
  <dcterms:modified xsi:type="dcterms:W3CDTF">2015-08-08T11:36:00Z</dcterms:modified>
</cp:coreProperties>
</file>