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2" w:rsidRDefault="00976C52" w:rsidP="00976C52">
      <w:bookmarkStart w:id="0" w:name="_GoBack"/>
      <w:bookmarkEnd w:id="0"/>
    </w:p>
    <w:p w:rsidR="00976C52" w:rsidRDefault="00976C52" w:rsidP="00976C52">
      <w:pPr>
        <w:spacing w:after="0" w:line="240" w:lineRule="auto"/>
        <w:jc w:val="both"/>
      </w:pP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A279CF">
        <w:rPr>
          <w:rFonts w:ascii="Calibri" w:eastAsia="Times New Roman" w:hAnsi="Calibri" w:cs="Times New Roman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pl-PL"/>
        </w:rPr>
      </w:pP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pl-PL"/>
        </w:rPr>
      </w:pP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6C52" w:rsidRPr="00A279CF" w:rsidRDefault="00976C52" w:rsidP="00976C52">
      <w:pPr>
        <w:spacing w:after="0" w:line="240" w:lineRule="auto"/>
        <w:jc w:val="center"/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9CF">
        <w:rPr>
          <w:rFonts w:ascii="Calibri" w:eastAsia="Times New Roman" w:hAnsi="Calibri" w:cs="Times New Roman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976C52" w:rsidRPr="00A279CF" w:rsidRDefault="00976C52" w:rsidP="00976C5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13 lipca 2015 roku</w:t>
      </w:r>
    </w:p>
    <w:p w:rsidR="00976C52" w:rsidRDefault="00976C52" w:rsidP="00976C5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6C52" w:rsidRDefault="00976C52" w:rsidP="0097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10 lipca 2015 roku = 3,7458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E2F065A" wp14:editId="0D1374E1">
            <wp:extent cx="4829175" cy="29051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3,10.</w:t>
      </w:r>
      <w:r>
        <w:t xml:space="preserve"> </w:t>
      </w:r>
    </w:p>
    <w:p w:rsidR="00976C52" w:rsidRDefault="00976C52" w:rsidP="0097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10 lipca 2015 roku = 4,1750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E778879" wp14:editId="0ABB4E4C">
            <wp:extent cx="4829175" cy="29051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52" w:rsidRDefault="00976C52" w:rsidP="00976C52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976C52" w:rsidRDefault="00976C52" w:rsidP="00976C5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Dużo </w:t>
      </w:r>
      <w:proofErr w:type="gramStart"/>
      <w:r>
        <w:t>,,</w:t>
      </w:r>
      <w:proofErr w:type="gramEnd"/>
      <w:r>
        <w:t>niedźwiedzi” to szansa na wzrosty polskich indeksów giełdowych</w:t>
      </w:r>
    </w:p>
    <w:p w:rsidR="00976C52" w:rsidRDefault="00976C52" w:rsidP="00976C52">
      <w:pPr>
        <w:pStyle w:val="Bezodstpw"/>
        <w:jc w:val="center"/>
      </w:pPr>
    </w:p>
    <w:p w:rsidR="00976C52" w:rsidRDefault="00976C52" w:rsidP="00976C52">
      <w:pPr>
        <w:pStyle w:val="Bezodstpw"/>
        <w:jc w:val="both"/>
      </w:pPr>
      <w:r>
        <w:t xml:space="preserve">Stowarzyszenie Inwestorów Indywidualnych </w:t>
      </w:r>
      <w:proofErr w:type="gramStart"/>
      <w:r>
        <w:t>publikuje co</w:t>
      </w:r>
      <w:proofErr w:type="gramEnd"/>
      <w:r>
        <w:t xml:space="preserve"> tydzień </w:t>
      </w:r>
      <w:r w:rsidRPr="00976C52">
        <w:rPr>
          <w:b/>
        </w:rPr>
        <w:t>wyniki ankiety</w:t>
      </w:r>
      <w:r>
        <w:t xml:space="preserve">, w której prezentowane są odsetki ankietowanych inwestorów indywidualnych przewidujących, że w okresie najbliższych 6 miesięcy dojdzie do: wzrostów cen akcji, spadków cen akcji lub ceny owych akcji nie ulegną zmianie. </w:t>
      </w:r>
    </w:p>
    <w:p w:rsidR="00976C52" w:rsidRDefault="00976C52" w:rsidP="00976C52">
      <w:pPr>
        <w:pStyle w:val="Bezodstpw"/>
        <w:jc w:val="both"/>
      </w:pPr>
    </w:p>
    <w:p w:rsidR="00976C52" w:rsidRDefault="00976C52" w:rsidP="00976C52">
      <w:pPr>
        <w:pStyle w:val="Bezodstpw"/>
        <w:jc w:val="both"/>
      </w:pPr>
      <w:r>
        <w:t xml:space="preserve">W najnowszej ankiecie </w:t>
      </w:r>
      <w:r w:rsidRPr="00976C52">
        <w:rPr>
          <w:b/>
        </w:rPr>
        <w:t>liczba osób spodziewających się spadków</w:t>
      </w:r>
      <w:r>
        <w:t xml:space="preserve"> (czyli odsetek </w:t>
      </w:r>
      <w:proofErr w:type="gramStart"/>
      <w:r>
        <w:t>,,</w:t>
      </w:r>
      <w:proofErr w:type="gramEnd"/>
      <w:r>
        <w:t xml:space="preserve">niedźwiedzi”) okazała się być </w:t>
      </w:r>
      <w:r w:rsidRPr="00976C52">
        <w:rPr>
          <w:b/>
        </w:rPr>
        <w:t>najwyższa w tym roku</w:t>
      </w:r>
      <w:r>
        <w:t xml:space="preserve">. Tak wysoki odsetek </w:t>
      </w:r>
      <w:proofErr w:type="gramStart"/>
      <w:r>
        <w:t>,,</w:t>
      </w:r>
      <w:proofErr w:type="gramEnd"/>
      <w:r>
        <w:t xml:space="preserve">niedźwiedzi” może (choć nie musi) stanowić zapowiedź wzrostów polskich indeksów giełdowych. Przy tym zastrzeżeniu (w końcu przy przewidywaniu przyszłości zawsze należy zachować ostrożność) zgodnie z zasadą </w:t>
      </w:r>
      <w:proofErr w:type="gramStart"/>
      <w:r w:rsidRPr="00976C52">
        <w:rPr>
          <w:b/>
        </w:rPr>
        <w:t>,,</w:t>
      </w:r>
      <w:proofErr w:type="gramEnd"/>
      <w:r w:rsidRPr="00976C52">
        <w:rPr>
          <w:b/>
        </w:rPr>
        <w:t>kupuj pesymizm, sprzedawaj optymizm”</w:t>
      </w:r>
      <w:r>
        <w:t xml:space="preserve"> w najbliższych tygodniach oczekiwałbym raczej wzrostów cen polskich akcji. W poprzednim tygodniu WIG jeszcze spadł, choć niewiele. Popatrzmy na poniższy wykres tego indeksu. Można dostrzec, że na wykresie stworzonym w oparciu o dane tygodniowe doszło do wygenerowania sygnału kupna. </w:t>
      </w:r>
    </w:p>
    <w:p w:rsidR="00976C52" w:rsidRDefault="00976C52" w:rsidP="00976C52">
      <w:pPr>
        <w:pStyle w:val="Bezodstpw"/>
        <w:jc w:val="both"/>
      </w:pPr>
    </w:p>
    <w:p w:rsidR="00976C52" w:rsidRPr="009774F9" w:rsidRDefault="00976C52" w:rsidP="00976C52">
      <w:pPr>
        <w:pStyle w:val="Bezodstpw"/>
        <w:jc w:val="both"/>
        <w:rPr>
          <w:b/>
        </w:rPr>
      </w:pPr>
      <w:r w:rsidRPr="009774F9">
        <w:rPr>
          <w:b/>
        </w:rPr>
        <w:t>WIG</w:t>
      </w:r>
    </w:p>
    <w:p w:rsidR="00976C52" w:rsidRDefault="00976C52" w:rsidP="00976C52">
      <w:pPr>
        <w:pStyle w:val="Bezodstpw"/>
        <w:jc w:val="both"/>
      </w:pPr>
    </w:p>
    <w:p w:rsidR="00976C52" w:rsidRDefault="00976C52" w:rsidP="00976C5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088B9EB7" wp14:editId="6F548D99">
            <wp:extent cx="4838700" cy="2895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52" w:rsidRDefault="00976C52" w:rsidP="00976C52">
      <w:pPr>
        <w:pStyle w:val="Bezodstpw"/>
        <w:jc w:val="both"/>
      </w:pPr>
    </w:p>
    <w:p w:rsidR="00976C52" w:rsidRDefault="00976C52" w:rsidP="00976C52">
      <w:pPr>
        <w:pStyle w:val="Bezodstpw"/>
        <w:jc w:val="both"/>
      </w:pPr>
      <w:r>
        <w:t xml:space="preserve">Warto zauważyć, że lepsze wieści mogą zacząć napływać z giełd strefy euro. Przykładowo na wykresie niemieckiego indeksu </w:t>
      </w:r>
      <w:r w:rsidRPr="009B2B27">
        <w:rPr>
          <w:b/>
        </w:rPr>
        <w:t xml:space="preserve">DAX </w:t>
      </w:r>
      <w:r>
        <w:t xml:space="preserve">utworzyła się tak zwana </w:t>
      </w:r>
      <w:r w:rsidRPr="009B2B27">
        <w:rPr>
          <w:b/>
        </w:rPr>
        <w:t>formacja przenikania hossy</w:t>
      </w:r>
      <w:r>
        <w:t xml:space="preserve">, co stanowi zapowiedź wzrostów tego indeksu. </w:t>
      </w:r>
    </w:p>
    <w:p w:rsidR="00976C52" w:rsidRDefault="00976C52" w:rsidP="00976C5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19C90C7D" wp14:editId="50F0CC16">
            <wp:extent cx="3629025" cy="2181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52" w:rsidRDefault="00976C52" w:rsidP="00976C52">
      <w:pPr>
        <w:pStyle w:val="Bezodstpw"/>
        <w:jc w:val="both"/>
      </w:pPr>
      <w:r>
        <w:lastRenderedPageBreak/>
        <w:t xml:space="preserve">Możliwe też jest to, że polski rynek akcji zyska na </w:t>
      </w:r>
      <w:r w:rsidRPr="008119BE">
        <w:rPr>
          <w:b/>
        </w:rPr>
        <w:t>przepływie kapitału z Rosji do Polski</w:t>
      </w:r>
      <w:r>
        <w:t xml:space="preserve">, co jest realne z uwagi na perspektywę wzrostu siły względnej WIG/RTS z uwagi na </w:t>
      </w:r>
      <w:r w:rsidRPr="00976C52">
        <w:rPr>
          <w:b/>
        </w:rPr>
        <w:t>wybicie z bardzo dużej formacji podwójnego dna</w:t>
      </w:r>
      <w:r>
        <w:t xml:space="preserve">, która się jeszcze nie wypełniła. Przedstawia to poniższy wykres siły względnej stworzony w oparciu o dane miesięczne. Oscylator stochastyczny w strefie wyprzedania…to też zapowiedź zwyżek. </w:t>
      </w:r>
    </w:p>
    <w:p w:rsidR="00976C52" w:rsidRDefault="00976C52" w:rsidP="00976C52">
      <w:pPr>
        <w:pStyle w:val="Bezodstpw"/>
        <w:jc w:val="both"/>
      </w:pPr>
    </w:p>
    <w:p w:rsidR="00976C52" w:rsidRPr="00717295" w:rsidRDefault="00976C52" w:rsidP="00976C52">
      <w:pPr>
        <w:pStyle w:val="Bezodstpw"/>
        <w:jc w:val="both"/>
        <w:rPr>
          <w:b/>
        </w:rPr>
      </w:pPr>
      <w:r w:rsidRPr="00717295">
        <w:rPr>
          <w:b/>
        </w:rPr>
        <w:t>WIG/RTS</w:t>
      </w:r>
    </w:p>
    <w:p w:rsidR="00976C52" w:rsidRDefault="00976C52" w:rsidP="00976C52">
      <w:pPr>
        <w:pStyle w:val="Bezodstpw"/>
        <w:jc w:val="both"/>
      </w:pPr>
    </w:p>
    <w:p w:rsidR="00976C52" w:rsidRDefault="00976C52" w:rsidP="00976C5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40D23611" wp14:editId="5B710E5B">
            <wp:extent cx="4838700" cy="2895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52" w:rsidRDefault="00976C52" w:rsidP="00976C52">
      <w:pPr>
        <w:pStyle w:val="Bezodstpw"/>
        <w:jc w:val="both"/>
      </w:pPr>
    </w:p>
    <w:p w:rsidR="00976C52" w:rsidRPr="00060D93" w:rsidRDefault="00976C52" w:rsidP="00976C52">
      <w:pPr>
        <w:pStyle w:val="Bezodstpw"/>
        <w:jc w:val="both"/>
        <w:rPr>
          <w:b/>
          <w:color w:val="FF0000"/>
        </w:rPr>
      </w:pPr>
      <w:r>
        <w:t xml:space="preserve">Spośród tworzonym przez polski portal finansowy </w:t>
      </w:r>
      <w:hyperlink r:id="rId11" w:history="1">
        <w:r w:rsidRPr="004B0051">
          <w:rPr>
            <w:rStyle w:val="Hipercze"/>
          </w:rPr>
          <w:t>http://stooq.pl/</w:t>
        </w:r>
      </w:hyperlink>
      <w:r>
        <w:t xml:space="preserve"> indeksów branżowych moją uwagę zwraca wciąż </w:t>
      </w:r>
      <w:r w:rsidRPr="00060D93">
        <w:rPr>
          <w:b/>
          <w:color w:val="FF0000"/>
        </w:rPr>
        <w:t>indeks branży budowlanej</w:t>
      </w:r>
      <w:r>
        <w:t xml:space="preserve">, który po wybiciu z formacji podwójnego dna doszło do korekty spadkowej, która doprowadziła ów indeks do wnętrza formacji. Gdyby miały powrócić wzrosty a indeks budowlany miałby wypełnić formację podwójnego dna powinno dojść do wzrostu tego indeksu o jeszcze o </w:t>
      </w:r>
      <w:r w:rsidRPr="00060D93">
        <w:rPr>
          <w:b/>
          <w:color w:val="FF0000"/>
        </w:rPr>
        <w:t xml:space="preserve">33,7 %. </w:t>
      </w:r>
    </w:p>
    <w:p w:rsidR="00976C52" w:rsidRDefault="00976C52" w:rsidP="00976C52">
      <w:pPr>
        <w:pStyle w:val="Bezodstpw"/>
        <w:jc w:val="both"/>
      </w:pPr>
    </w:p>
    <w:p w:rsidR="00976C52" w:rsidRDefault="00976C52" w:rsidP="00976C52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1B408D48" wp14:editId="1678BCEE">
            <wp:extent cx="4829175" cy="2905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52" w:rsidRDefault="00976C52" w:rsidP="00976C52">
      <w:pPr>
        <w:pStyle w:val="Bezodstpw"/>
        <w:jc w:val="both"/>
      </w:pPr>
    </w:p>
    <w:p w:rsidR="00976C52" w:rsidRDefault="00976C52" w:rsidP="00976C52">
      <w:pPr>
        <w:pStyle w:val="Bezodstpw"/>
        <w:jc w:val="both"/>
      </w:pPr>
      <w:r>
        <w:t xml:space="preserve">Warto przypomnieć, że dotychczas do rubryki </w:t>
      </w:r>
      <w:proofErr w:type="gramStart"/>
      <w:r>
        <w:t>,,</w:t>
      </w:r>
      <w:proofErr w:type="gramEnd"/>
      <w:r>
        <w:t xml:space="preserve">Wykres do przemyślenia” zostało zakwalifikowanych kilka spółek z indeksu branży budowlanej. Są to: </w:t>
      </w:r>
      <w:proofErr w:type="spellStart"/>
      <w:r w:rsidRPr="002828FA">
        <w:rPr>
          <w:b/>
        </w:rPr>
        <w:t>Elektrotim</w:t>
      </w:r>
      <w:proofErr w:type="spellEnd"/>
      <w:r w:rsidRPr="002828FA">
        <w:rPr>
          <w:b/>
        </w:rPr>
        <w:t xml:space="preserve">, </w:t>
      </w:r>
      <w:proofErr w:type="spellStart"/>
      <w:r w:rsidRPr="002828FA">
        <w:rPr>
          <w:b/>
        </w:rPr>
        <w:t>Erbud</w:t>
      </w:r>
      <w:proofErr w:type="spellEnd"/>
      <w:r w:rsidRPr="002828FA">
        <w:rPr>
          <w:b/>
        </w:rPr>
        <w:t xml:space="preserve">, Mostostal Warszawa i </w:t>
      </w:r>
      <w:proofErr w:type="spellStart"/>
      <w:r w:rsidRPr="002828FA">
        <w:rPr>
          <w:b/>
        </w:rPr>
        <w:t>Tesgas</w:t>
      </w:r>
      <w:proofErr w:type="spellEnd"/>
      <w:r w:rsidRPr="002828FA">
        <w:rPr>
          <w:b/>
        </w:rPr>
        <w:t>.</w:t>
      </w:r>
      <w:r>
        <w:t xml:space="preserve"> </w:t>
      </w:r>
    </w:p>
    <w:p w:rsidR="00976C52" w:rsidRDefault="00976C52" w:rsidP="00976C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lastRenderedPageBreak/>
        <w:t xml:space="preserve">Wykres do przemyślenia – refleksje 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W pierwszym numerze </w:t>
      </w:r>
      <w:proofErr w:type="gramStart"/>
      <w:r>
        <w:t>,,</w:t>
      </w:r>
      <w:proofErr w:type="gramEnd"/>
      <w:r>
        <w:t xml:space="preserve">Raportu Tygodniowego” z 8 września 2014 roku pojawiły się wykresy akcji czterech spółek. Były to wykresy akcji następujących spółek: 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Immobile</w:t>
      </w:r>
      <w:proofErr w:type="spellEnd"/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</w:pPr>
      <w:r>
        <w:t>Lena</w:t>
      </w:r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Netmedia</w:t>
      </w:r>
      <w:proofErr w:type="spellEnd"/>
      <w:r>
        <w:t xml:space="preserve"> </w:t>
      </w:r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</w:pPr>
      <w:r>
        <w:t>Rafako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>
        <w:rPr>
          <w:b/>
        </w:rPr>
        <w:t>wybicie z formacji podwójnego dna</w:t>
      </w:r>
      <w:r>
        <w:t xml:space="preserve">. </w:t>
      </w:r>
      <w:r>
        <w:rPr>
          <w:b/>
          <w:color w:val="FF66FF"/>
        </w:rPr>
        <w:t xml:space="preserve">Na str. 6-10 przedstawiam listę 30 spółek wpisanych do rubryki </w:t>
      </w:r>
      <w:proofErr w:type="gramStart"/>
      <w:r>
        <w:rPr>
          <w:b/>
          <w:color w:val="FF66FF"/>
        </w:rPr>
        <w:t>,,</w:t>
      </w:r>
      <w:proofErr w:type="gramEnd"/>
      <w:r>
        <w:rPr>
          <w:b/>
          <w:color w:val="FF66FF"/>
        </w:rPr>
        <w:t>Wykres do przemyślenia”.</w:t>
      </w:r>
      <w:r>
        <w:t xml:space="preserve"> </w:t>
      </w:r>
      <w:r>
        <w:rPr>
          <w:b/>
          <w:color w:val="FF66FF"/>
        </w:rPr>
        <w:t>Osoby znającą tą listę mogą listę tą pominąć i od razu przejść na stronę 9.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+14,7 %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4,18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 +4,8 %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5,95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+63,9 %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6,35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+49,4 %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+33,2 %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  -10,6 %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5,63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-13,4 %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-13,4 %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 -9,1 %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16 września na stronie internetowej </w:t>
      </w:r>
      <w:hyperlink r:id="rId13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15 września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30,80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16,2 %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16,2 %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-8,8 %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1,04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-21,2 %</w:t>
            </w:r>
          </w:p>
        </w:tc>
      </w:tr>
      <w:tr w:rsidR="00976C52" w:rsidTr="00D255B8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-21,2 %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-9,1 %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24 września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+28,6 %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+28,6 %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-8,8 %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59,97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+31,4 %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 CD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25,50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+53,7 %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9,13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- 48,1 %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+12,3 %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- 8,6 %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447,50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+83,3 %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+83,3 %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-7,1 %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4,16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-20,2 %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  -5,4 %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19 czerwca 2015 roku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12,59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+ 44,7 %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6,29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-9,2 %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+ 17,7 %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-6,3 %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wymienione w siódmym numerze ,,Raportu Tygodniowego” z 27 października 2014 roku w rubryce ,,Wykres do przemyślenia” w okresie od 24 października 2014 roku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3,65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-15,5 %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-15,5 %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-6,4 %</w:t>
            </w:r>
          </w:p>
        </w:tc>
      </w:tr>
    </w:tbl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15,21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-4,9 %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-4,9 %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-7,8 %</w:t>
            </w:r>
          </w:p>
        </w:tc>
      </w:tr>
    </w:tbl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+112,3 %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+112,3 %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-6,0 %</w:t>
            </w:r>
          </w:p>
        </w:tc>
      </w:tr>
    </w:tbl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19 czerwca 2015 roku oraz do 10 lipca 2015 roku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31,02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-17,6 %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-17,6 %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-6,1 %</w:t>
            </w:r>
          </w:p>
        </w:tc>
      </w:tr>
    </w:tbl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19 czerwca 2015 roku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10,43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+28,1 %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+28,1 %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-  3,8 %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 stycznia 2015 roku na  stronie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1 grudnia do 19 czerwca 2015 roku do 10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131,65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+14,0 %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+14,0 %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-1,9 %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na  stronie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9 stycznia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3,70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+10,8 %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+10,8 %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-6,1 %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</w:rPr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umieszczone 30 stycznia 2015 roku na  stronie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29 stycznia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1,12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0,9 %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-6,1 %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umieszczone 10 lutego 2015 roku na  stronie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9 lutego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5,82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+29,3 %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-2,9 %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  <w:b/>
        </w:rPr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umieszczone 3 marca 2015 roku na  stronie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 marca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10,25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+35,4 %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+35,4 %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-3,7 %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  <w:b/>
        </w:rPr>
      </w:pPr>
    </w:p>
    <w:p w:rsidR="00976C52" w:rsidRDefault="00976C52" w:rsidP="00976C52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9 kwietnia 2015 roku na  stronie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8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+ 5,6 %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+ 5,6 %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-6,4%</w:t>
            </w:r>
          </w:p>
        </w:tc>
      </w:tr>
    </w:tbl>
    <w:p w:rsidR="00976C52" w:rsidRDefault="00976C52" w:rsidP="00976C52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ceny akcji spółki, której akcje zostały umieszczone 5 maja 2015 roku na  stronie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4 do 10 lipca 2015 roku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9,33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-15,9 %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-15,9 %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-10,0 %</w:t>
            </w:r>
          </w:p>
        </w:tc>
      </w:tr>
    </w:tbl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4" w:history="1">
        <w:r>
          <w:rPr>
            <w:rStyle w:val="Hipercze"/>
          </w:rPr>
          <w:t>http://analizy-rynkowe.pl/</w:t>
        </w:r>
      </w:hyperlink>
      <w:r>
        <w:t xml:space="preserve"> w rubryce ,,Wykres do przemyślenia” w okresie od 30 czerwca 2015 roku do 10 lipca oraz procentowa zmiana indeksu WIG 20 w tym okresie. </w:t>
      </w:r>
    </w:p>
    <w:p w:rsidR="00976C52" w:rsidRDefault="00976C52" w:rsidP="00976C52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Poziom – 10.07.2015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9,38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-1,2 %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 </w:t>
            </w:r>
            <w:proofErr w:type="spellStart"/>
            <w:r>
              <w:t>Unima</w:t>
            </w:r>
            <w:proofErr w:type="spell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2,3 %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1,71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-3,4 %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-0,7 %</w:t>
            </w:r>
          </w:p>
        </w:tc>
      </w:tr>
      <w:tr w:rsidR="00976C52" w:rsidTr="00D25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>2 270,84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2" w:rsidRDefault="00976C52" w:rsidP="00D255B8">
            <w:pPr>
              <w:jc w:val="center"/>
              <w:rPr>
                <w:rFonts w:eastAsiaTheme="minorEastAsia"/>
              </w:rPr>
            </w:pPr>
            <w:r>
              <w:t xml:space="preserve">  -1,7 %</w:t>
            </w:r>
          </w:p>
        </w:tc>
      </w:tr>
    </w:tbl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Wniosek </w:t>
      </w:r>
    </w:p>
    <w:p w:rsidR="00976C52" w:rsidRDefault="00976C52" w:rsidP="00976C52">
      <w:pPr>
        <w:spacing w:after="0" w:line="240" w:lineRule="auto"/>
        <w:jc w:val="both"/>
        <w:rPr>
          <w:sz w:val="56"/>
          <w:szCs w:val="56"/>
        </w:rPr>
      </w:pPr>
    </w:p>
    <w:p w:rsidR="00976C52" w:rsidRDefault="00976C52" w:rsidP="00976C52">
      <w:pPr>
        <w:spacing w:after="0" w:line="240" w:lineRule="auto"/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Warto zauważyć, że </w:t>
      </w:r>
      <w:r>
        <w:rPr>
          <w:b/>
          <w:color w:val="FF0000"/>
          <w:sz w:val="36"/>
          <w:szCs w:val="36"/>
        </w:rPr>
        <w:t>spośród</w:t>
      </w:r>
      <w:r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30 spółek</w:t>
      </w:r>
      <w:r>
        <w:rPr>
          <w:b/>
          <w:sz w:val="36"/>
          <w:szCs w:val="36"/>
        </w:rPr>
        <w:t>, których akcje zakwalifikowane zostały do rubryki ,,Wykres do przemyślenia”</w:t>
      </w:r>
      <w:r>
        <w:rPr>
          <w:sz w:val="36"/>
          <w:szCs w:val="36"/>
        </w:rPr>
        <w:t xml:space="preserve"> (gdyż wybiły się już z formacji podwójnego dna) </w:t>
      </w:r>
      <w:r>
        <w:rPr>
          <w:b/>
          <w:sz w:val="36"/>
          <w:szCs w:val="36"/>
        </w:rPr>
        <w:t xml:space="preserve">kursy akcji </w:t>
      </w:r>
      <w:r>
        <w:rPr>
          <w:b/>
          <w:color w:val="FF0000"/>
          <w:sz w:val="36"/>
          <w:szCs w:val="36"/>
        </w:rPr>
        <w:t>21 spółek</w:t>
      </w:r>
      <w:r>
        <w:rPr>
          <w:sz w:val="36"/>
          <w:szCs w:val="36"/>
        </w:rPr>
        <w:t xml:space="preserve"> od momentu owego zakwalifikowania do tej rubryki do dnia 10 lipca 2015 roku zachowywały się </w:t>
      </w:r>
      <w:r>
        <w:rPr>
          <w:b/>
          <w:color w:val="FF0000"/>
          <w:sz w:val="36"/>
          <w:szCs w:val="36"/>
          <w:u w:val="single"/>
        </w:rPr>
        <w:t>lepiej</w:t>
      </w:r>
      <w:r>
        <w:rPr>
          <w:b/>
          <w:color w:val="FF0000"/>
          <w:sz w:val="36"/>
          <w:szCs w:val="36"/>
        </w:rPr>
        <w:t xml:space="preserve"> od indeksu WIG20</w:t>
      </w:r>
      <w:r>
        <w:rPr>
          <w:b/>
          <w:sz w:val="36"/>
          <w:szCs w:val="36"/>
        </w:rPr>
        <w:t xml:space="preserve"> a 9 </w:t>
      </w:r>
      <w:r>
        <w:rPr>
          <w:b/>
          <w:sz w:val="36"/>
          <w:szCs w:val="36"/>
          <w:u w:val="single"/>
        </w:rPr>
        <w:t xml:space="preserve">gorzej </w:t>
      </w:r>
      <w:r>
        <w:rPr>
          <w:b/>
          <w:sz w:val="36"/>
          <w:szCs w:val="36"/>
        </w:rPr>
        <w:t>od indeksu WIG20.</w:t>
      </w:r>
      <w:r>
        <w:rPr>
          <w:b/>
          <w:sz w:val="36"/>
          <w:szCs w:val="36"/>
          <w:u w:val="single"/>
        </w:rPr>
        <w:t xml:space="preserve"> </w:t>
      </w:r>
    </w:p>
    <w:p w:rsidR="00976C52" w:rsidRDefault="00976C52" w:rsidP="00976C52">
      <w:pPr>
        <w:spacing w:after="0" w:line="240" w:lineRule="auto"/>
        <w:jc w:val="both"/>
      </w:pPr>
    </w:p>
    <w:p w:rsidR="00C47216" w:rsidRDefault="00976C52">
      <w:r>
        <w:t xml:space="preserve">         </w:t>
      </w:r>
    </w:p>
    <w:p w:rsidR="00976C52" w:rsidRDefault="00976C52" w:rsidP="00976C5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Kurs dolara amerykańskiego (w złotych)</w:t>
      </w:r>
      <w:r>
        <w:rPr>
          <w:color w:val="000000" w:themeColor="text1"/>
        </w:rPr>
        <w:t xml:space="preserve"> spadł poniżej bardzo ważnego oporu na poziomie 3,9130 zł. </w:t>
      </w:r>
      <w:proofErr w:type="gramStart"/>
      <w:r>
        <w:rPr>
          <w:color w:val="000000" w:themeColor="text1"/>
        </w:rPr>
        <w:t>z</w:t>
      </w:r>
      <w:proofErr w:type="gramEnd"/>
      <w:r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</w:t>
      </w:r>
      <w:r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>
        <w:rPr>
          <w:color w:val="000000" w:themeColor="text1"/>
        </w:rPr>
        <w:t>Mobius</w:t>
      </w:r>
      <w:proofErr w:type="spellEnd"/>
      <w:r>
        <w:rPr>
          <w:color w:val="000000" w:themeColor="text1"/>
        </w:rPr>
        <w:t xml:space="preserve">, szef </w:t>
      </w:r>
      <w:proofErr w:type="spellStart"/>
      <w:r>
        <w:rPr>
          <w:color w:val="000000" w:themeColor="text1"/>
        </w:rPr>
        <w:t>Templeton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Emerging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Group</w:t>
      </w:r>
      <w:proofErr w:type="spellEnd"/>
      <w:r>
        <w:rPr>
          <w:color w:val="000000" w:themeColor="text1"/>
        </w:rPr>
        <w:t xml:space="preserve"> powiedział niedawno: </w:t>
      </w:r>
      <w:proofErr w:type="gramStart"/>
      <w:r>
        <w:rPr>
          <w:color w:val="000000" w:themeColor="text1"/>
        </w:rPr>
        <w:t>,,</w:t>
      </w:r>
      <w:proofErr w:type="gramEnd"/>
      <w:r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>
        <w:rPr>
          <w:color w:val="000000" w:themeColor="text1"/>
        </w:rPr>
        <w:t>”</w:t>
      </w:r>
    </w:p>
    <w:p w:rsidR="00976C52" w:rsidRDefault="00976C52" w:rsidP="00976C52">
      <w:pPr>
        <w:spacing w:after="0" w:line="240" w:lineRule="auto"/>
        <w:jc w:val="both"/>
        <w:rPr>
          <w:color w:val="000000" w:themeColor="text1"/>
        </w:rPr>
      </w:pPr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Obecnie ważnym wsparciem jest poziom </w:t>
      </w:r>
      <w:r>
        <w:rPr>
          <w:b/>
          <w:color w:val="FF0000"/>
        </w:rPr>
        <w:t>3,8932 zł</w:t>
      </w:r>
      <w:r>
        <w:rPr>
          <w:color w:val="FF0000"/>
        </w:rPr>
        <w:t xml:space="preserve"> </w:t>
      </w:r>
      <w:r>
        <w:rPr>
          <w:color w:val="000000" w:themeColor="text1"/>
        </w:rPr>
        <w:t>(dołek z maja 2011 roku). Ruch w kierunku tego wsparcia może się zacząć, gdyż szykuje się nad poprawa sytuacji na polskim rynku akcji, czemu może powinien towarzyszyć napływ kapitału zagranicznego.</w:t>
      </w:r>
    </w:p>
    <w:p w:rsidR="00976C52" w:rsidRDefault="00976C52" w:rsidP="00976C52">
      <w:pPr>
        <w:spacing w:after="0"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76C52" w:rsidRDefault="00976C52" w:rsidP="00976C5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 fundamentalnego punktu widzenia przewidywane w 2015 roku wzrosty indeksów giełdowych opisujących sytuację na polskim rynku akcji mogą być przejawem </w:t>
      </w:r>
      <w:r>
        <w:rPr>
          <w:b/>
          <w:color w:val="000000" w:themeColor="text1"/>
        </w:rPr>
        <w:t>dyskontowania przez uczestników polskiego rynku akcji ożywienia gospodarczego w Polsce, które</w:t>
      </w:r>
      <w:r>
        <w:rPr>
          <w:color w:val="000000" w:themeColor="text1"/>
        </w:rPr>
        <w:t xml:space="preserve"> (zgodnie z np. prognozami analityków NBP, Instytutu Badań nad Gospodarką Rynkową, czy też np. banku inwestycyjnego Morgan Stanley) </w:t>
      </w:r>
      <w:r>
        <w:rPr>
          <w:b/>
          <w:color w:val="000000" w:themeColor="text1"/>
        </w:rPr>
        <w:t xml:space="preserve">powinno nastąpić w 2016 </w:t>
      </w:r>
      <w:proofErr w:type="gramStart"/>
      <w:r>
        <w:rPr>
          <w:b/>
          <w:color w:val="000000" w:themeColor="text1"/>
        </w:rPr>
        <w:t>roku</w:t>
      </w:r>
      <w:r>
        <w:rPr>
          <w:color w:val="000000" w:themeColor="text1"/>
        </w:rPr>
        <w:t xml:space="preserve"> (kiedy</w:t>
      </w:r>
      <w:proofErr w:type="gramEnd"/>
      <w:r>
        <w:rPr>
          <w:color w:val="000000" w:themeColor="text1"/>
        </w:rPr>
        <w:t xml:space="preserve"> to zdaniem, wyżej wymienionych analityków można oczekiwać, wedle wyżej wymienionych prognoz przyspieszenia realnego wzrostu PKB. </w:t>
      </w:r>
    </w:p>
    <w:p w:rsidR="00976C52" w:rsidRDefault="00976C52" w:rsidP="00976C52">
      <w:pPr>
        <w:spacing w:after="0" w:line="240" w:lineRule="auto"/>
        <w:jc w:val="both"/>
        <w:rPr>
          <w:color w:val="000000" w:themeColor="text1"/>
        </w:rPr>
      </w:pPr>
    </w:p>
    <w:p w:rsidR="00976C52" w:rsidRDefault="00F8761A" w:rsidP="00976C52">
      <w:pPr>
        <w:numPr>
          <w:ilvl w:val="0"/>
          <w:numId w:val="1"/>
        </w:numPr>
        <w:spacing w:after="0" w:line="240" w:lineRule="auto"/>
        <w:jc w:val="both"/>
      </w:pPr>
      <w:r>
        <w:rPr>
          <w:color w:val="000000" w:themeColor="text1"/>
        </w:rPr>
        <w:t xml:space="preserve">Lekko wzrostowa linia </w:t>
      </w:r>
      <w:r w:rsidR="00976C52">
        <w:rPr>
          <w:color w:val="000000" w:themeColor="text1"/>
        </w:rPr>
        <w:t xml:space="preserve">trendu poprowadzona przez dołki z czerwca 2012 roku oraz stycznia 2015 roku przebiega na poziomie </w:t>
      </w:r>
      <w:r w:rsidR="00976C52">
        <w:rPr>
          <w:b/>
          <w:color w:val="FF0000"/>
        </w:rPr>
        <w:t>2 280 punktów</w:t>
      </w:r>
      <w:r w:rsidR="00976C52">
        <w:rPr>
          <w:b/>
        </w:rPr>
        <w:t>.</w:t>
      </w:r>
      <w:r w:rsidR="00976C52">
        <w:t xml:space="preserve"> WIG 20 </w:t>
      </w:r>
      <w:r w:rsidR="00976C52" w:rsidRPr="00976C52">
        <w:rPr>
          <w:b/>
        </w:rPr>
        <w:t>spadł poniżej</w:t>
      </w:r>
      <w:r w:rsidR="00976C52">
        <w:t xml:space="preserve"> tego poziomu, </w:t>
      </w:r>
      <w:r w:rsidR="00976C52" w:rsidRPr="00976C52">
        <w:rPr>
          <w:b/>
        </w:rPr>
        <w:t xml:space="preserve">ale </w:t>
      </w:r>
      <w:r w:rsidR="00976C52">
        <w:t xml:space="preserve">stoi przed szansą na powrót powyżej tego poziomu. Warto bowiem pamiętać, że po pierwsze znajdujemy </w:t>
      </w:r>
      <w:r w:rsidR="00976C52">
        <w:rPr>
          <w:b/>
        </w:rPr>
        <w:t xml:space="preserve">się w bardzo korzystnym zazwyczaj roku przedwyborczym z punktu widzenia 4-letniego amerykańskiego cyklu prezydenckiego </w:t>
      </w:r>
      <w:r w:rsidR="00976C52" w:rsidRPr="00806E55">
        <w:t>a po drugie</w:t>
      </w:r>
      <w:r w:rsidR="00976C52">
        <w:t xml:space="preserve">: </w:t>
      </w:r>
      <w:r w:rsidR="00976C52">
        <w:rPr>
          <w:b/>
        </w:rPr>
        <w:t>stosunkowo wysoki odsetek pesymistów</w:t>
      </w:r>
      <w:r w:rsidR="00976C52">
        <w:t xml:space="preserve"> uwidoczniony w badaniu Stowarzyszenia Inwestorów Indywidualnych wskazuje na zbliżanie się dogodnej okazji do kupna, zważywszy na regułę </w:t>
      </w:r>
      <w:proofErr w:type="gramStart"/>
      <w:r w:rsidR="00976C52">
        <w:rPr>
          <w:b/>
        </w:rPr>
        <w:t>,,</w:t>
      </w:r>
      <w:proofErr w:type="gramEnd"/>
      <w:r w:rsidR="00976C52">
        <w:rPr>
          <w:b/>
        </w:rPr>
        <w:t>kupuj pesymizm, sprzedawaj optymizm”.</w:t>
      </w:r>
    </w:p>
    <w:p w:rsidR="00976C52" w:rsidRDefault="00976C52" w:rsidP="00976C52">
      <w:pPr>
        <w:spacing w:after="0" w:line="240" w:lineRule="auto"/>
        <w:ind w:left="720"/>
        <w:jc w:val="both"/>
      </w:pPr>
    </w:p>
    <w:p w:rsidR="00976C52" w:rsidRDefault="00976C52" w:rsidP="00976C52">
      <w:pPr>
        <w:spacing w:after="0" w:line="240" w:lineRule="auto"/>
        <w:jc w:val="both"/>
      </w:pPr>
      <w:r>
        <w:t>Opracował: Sławomir Kłusek, 13 lipca 2015 r.</w:t>
      </w:r>
    </w:p>
    <w:p w:rsidR="00976C52" w:rsidRDefault="00976C52" w:rsidP="00976C52">
      <w:pPr>
        <w:spacing w:after="0" w:line="240" w:lineRule="auto"/>
        <w:ind w:left="720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Treści zawarte na stronie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976C52" w:rsidRDefault="00976C52" w:rsidP="00976C52">
      <w:pPr>
        <w:spacing w:after="0" w:line="240" w:lineRule="auto"/>
        <w:jc w:val="both"/>
      </w:pPr>
    </w:p>
    <w:p w:rsidR="00976C52" w:rsidRDefault="00976C52" w:rsidP="00976C52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6" w:history="1">
        <w:r>
          <w:rPr>
            <w:rStyle w:val="Hipercze"/>
          </w:rPr>
          <w:t>www.analizy-rynkowe.pl</w:t>
        </w:r>
      </w:hyperlink>
    </w:p>
    <w:p w:rsidR="00976C52" w:rsidRDefault="00976C52" w:rsidP="00976C52">
      <w:pPr>
        <w:pStyle w:val="Bezodstpw"/>
        <w:jc w:val="both"/>
      </w:pPr>
    </w:p>
    <w:p w:rsidR="00976C52" w:rsidRDefault="00976C52"/>
    <w:sectPr w:rsidR="0097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2"/>
    <w:rsid w:val="00976C52"/>
    <w:rsid w:val="00C47216"/>
    <w:rsid w:val="00F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C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6C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6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C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6C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6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tooq.pl/" TargetMode="External"/><Relationship Id="rId24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2015-07-12T11:04:00Z</cp:lastPrinted>
  <dcterms:created xsi:type="dcterms:W3CDTF">2015-07-12T10:54:00Z</dcterms:created>
  <dcterms:modified xsi:type="dcterms:W3CDTF">2015-07-12T11:05:00Z</dcterms:modified>
</cp:coreProperties>
</file>