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04" w:rsidRDefault="00F70C04" w:rsidP="00F70C04">
      <w:pPr>
        <w:pStyle w:val="Bezodstpw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F70C04" w:rsidRDefault="00F70C04" w:rsidP="00F70C04">
      <w:pPr>
        <w:pStyle w:val="Bezodstpw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F70C04" w:rsidRDefault="00F70C04" w:rsidP="00F70C04">
      <w:pPr>
        <w:pStyle w:val="Bezodstpw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F70C04" w:rsidRDefault="00F70C04" w:rsidP="00F70C04">
      <w:pPr>
        <w:pStyle w:val="Bezodstpw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F70C04" w:rsidRDefault="00F70C04" w:rsidP="00F70C04">
      <w:pPr>
        <w:pStyle w:val="Bezodstpw"/>
        <w:jc w:val="center"/>
        <w:rPr>
          <w:sz w:val="48"/>
          <w:szCs w:val="48"/>
        </w:rPr>
      </w:pPr>
    </w:p>
    <w:p w:rsidR="00F70C04" w:rsidRDefault="00F70C04" w:rsidP="00F70C04">
      <w:pPr>
        <w:pStyle w:val="Bezodstpw"/>
        <w:jc w:val="center"/>
        <w:rPr>
          <w:sz w:val="48"/>
          <w:szCs w:val="48"/>
        </w:rPr>
      </w:pPr>
    </w:p>
    <w:p w:rsidR="00F70C04" w:rsidRDefault="00F70C04" w:rsidP="00F70C04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F70C04" w:rsidRDefault="00F70C04" w:rsidP="00F70C04">
      <w:pPr>
        <w:pStyle w:val="Bezodstpw"/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0C04" w:rsidRDefault="00F70C04" w:rsidP="00F70C04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F70C04" w:rsidRDefault="00F70C04" w:rsidP="00F70C04">
      <w:pPr>
        <w:pStyle w:val="Bezodstpw"/>
        <w:jc w:val="both"/>
      </w:pPr>
    </w:p>
    <w:p w:rsidR="00F70C04" w:rsidRDefault="00F70C04" w:rsidP="00F70C04">
      <w:pPr>
        <w:pStyle w:val="Bezodstpw"/>
        <w:jc w:val="both"/>
      </w:pPr>
    </w:p>
    <w:p w:rsidR="00F70C04" w:rsidRDefault="00F70C04" w:rsidP="00F70C04">
      <w:pPr>
        <w:pStyle w:val="Bezodstpw"/>
        <w:jc w:val="both"/>
      </w:pPr>
    </w:p>
    <w:p w:rsidR="00F70C04" w:rsidRDefault="00F70C04" w:rsidP="00F70C04">
      <w:pPr>
        <w:pStyle w:val="Bezodstpw"/>
        <w:jc w:val="both"/>
      </w:pPr>
    </w:p>
    <w:p w:rsidR="00F70C04" w:rsidRPr="00F70C04" w:rsidRDefault="00F70C04" w:rsidP="00F70C04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C0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Poniedziałek, 6 lipca 2015 roku</w:t>
      </w:r>
    </w:p>
    <w:p w:rsidR="00F70C04" w:rsidRPr="00F70C04" w:rsidRDefault="00F70C04" w:rsidP="00F70C04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0C04" w:rsidRPr="00F70C04" w:rsidRDefault="00F70C04" w:rsidP="00F7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F70C04">
        <w:t xml:space="preserve">Kurs USD/PLN – perspektywa długoterminowa, kurs z </w:t>
      </w:r>
      <w:r w:rsidR="00EA3970">
        <w:t xml:space="preserve">3 lipca </w:t>
      </w:r>
      <w:r w:rsidRPr="00F70C04">
        <w:t>2015 roku = 3,7743</w:t>
      </w:r>
    </w:p>
    <w:p w:rsidR="00F70C04" w:rsidRPr="00F70C04" w:rsidRDefault="00F70C04" w:rsidP="00F70C04">
      <w:pPr>
        <w:spacing w:after="0" w:line="240" w:lineRule="auto"/>
        <w:jc w:val="both"/>
      </w:pPr>
    </w:p>
    <w:p w:rsidR="00F70C04" w:rsidRPr="00F70C04" w:rsidRDefault="00F70C04" w:rsidP="00F70C04">
      <w:pPr>
        <w:spacing w:after="0" w:line="240" w:lineRule="auto"/>
        <w:jc w:val="both"/>
      </w:pPr>
      <w:r w:rsidRPr="00F70C04">
        <w:rPr>
          <w:noProof/>
          <w:lang w:eastAsia="pl-PL"/>
        </w:rPr>
        <w:drawing>
          <wp:inline distT="0" distB="0" distL="0" distR="0" wp14:anchorId="371E3544" wp14:editId="1CEE4B65">
            <wp:extent cx="4829175" cy="2905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C04" w:rsidRPr="00F70C04" w:rsidRDefault="00F70C04" w:rsidP="00F70C04">
      <w:pPr>
        <w:spacing w:after="0" w:line="240" w:lineRule="auto"/>
        <w:jc w:val="both"/>
      </w:pPr>
    </w:p>
    <w:p w:rsidR="00F70C04" w:rsidRPr="00F70C04" w:rsidRDefault="00F70C04" w:rsidP="00F70C04">
      <w:pPr>
        <w:spacing w:after="0" w:line="240" w:lineRule="auto"/>
        <w:jc w:val="both"/>
      </w:pPr>
      <w:r w:rsidRPr="00F70C04">
        <w:t xml:space="preserve">Kurs spadł </w:t>
      </w:r>
      <w:r w:rsidRPr="00F70C04">
        <w:rPr>
          <w:b/>
          <w:color w:val="FF0000"/>
        </w:rPr>
        <w:t>poniżej bardzo ważnego oporu</w:t>
      </w:r>
      <w:r w:rsidRPr="00F70C04">
        <w:t xml:space="preserve"> na poziomie 3,9130 zł. </w:t>
      </w:r>
      <w:proofErr w:type="gramStart"/>
      <w:r w:rsidRPr="00F70C04">
        <w:t>z</w:t>
      </w:r>
      <w:proofErr w:type="gramEnd"/>
      <w:r w:rsidRPr="00F70C04">
        <w:t xml:space="preserve"> lutego 2009 roku. </w:t>
      </w:r>
      <w:r w:rsidRPr="00F70C04">
        <w:rPr>
          <w:u w:val="single"/>
        </w:rPr>
        <w:t xml:space="preserve">W tej sytuacji </w:t>
      </w:r>
      <w:r w:rsidRPr="00F70C04">
        <w:t>można</w:t>
      </w:r>
      <w:r w:rsidRPr="00F70C04">
        <w:rPr>
          <w:u w:val="single"/>
        </w:rPr>
        <w:t xml:space="preserve"> </w:t>
      </w:r>
      <w:r w:rsidRPr="00F70C04">
        <w:rPr>
          <w:b/>
          <w:u w:val="single"/>
        </w:rPr>
        <w:t>oczekiwać rozpoczęcia się fali spadków</w:t>
      </w:r>
      <w:r w:rsidRPr="00F70C04">
        <w:t xml:space="preserve"> w kierunku linii trendu wzrostowego poprowadzonej przez dołki z lipca 2008 roku oraz czerwca 2014 roku, która aktualnie przebiega na poziomie </w:t>
      </w:r>
      <w:r w:rsidRPr="00F70C04">
        <w:rPr>
          <w:b/>
          <w:color w:val="FF0000"/>
        </w:rPr>
        <w:t>3,10.</w:t>
      </w:r>
      <w:r w:rsidRPr="00F70C04">
        <w:t xml:space="preserve"> </w:t>
      </w:r>
    </w:p>
    <w:p w:rsidR="00F70C04" w:rsidRPr="00F70C04" w:rsidRDefault="00F70C04" w:rsidP="00F7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F70C04">
        <w:t xml:space="preserve">Kurs EUR/PLN – perspektywa długoterminowa, kurs z </w:t>
      </w:r>
      <w:r w:rsidR="00EA3970">
        <w:t>3 lipca</w:t>
      </w:r>
      <w:r w:rsidRPr="00F70C04">
        <w:t xml:space="preserve"> 2015 roku = 4,1920</w:t>
      </w:r>
    </w:p>
    <w:p w:rsidR="00F70C04" w:rsidRPr="00F70C04" w:rsidRDefault="00F70C04" w:rsidP="00F70C04">
      <w:pPr>
        <w:spacing w:after="0" w:line="240" w:lineRule="auto"/>
        <w:jc w:val="both"/>
      </w:pPr>
    </w:p>
    <w:p w:rsidR="00F70C04" w:rsidRPr="00F70C04" w:rsidRDefault="00F70C04" w:rsidP="00F70C04">
      <w:pPr>
        <w:spacing w:after="0" w:line="240" w:lineRule="auto"/>
        <w:jc w:val="both"/>
      </w:pPr>
      <w:r w:rsidRPr="00F70C04">
        <w:rPr>
          <w:noProof/>
          <w:lang w:eastAsia="pl-PL"/>
        </w:rPr>
        <w:drawing>
          <wp:inline distT="0" distB="0" distL="0" distR="0" wp14:anchorId="7CCF256C" wp14:editId="31DBA83B">
            <wp:extent cx="4829175" cy="29051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C04" w:rsidRPr="00F70C04" w:rsidRDefault="00F70C04" w:rsidP="00F70C04">
      <w:pPr>
        <w:spacing w:after="0" w:line="240" w:lineRule="auto"/>
        <w:jc w:val="both"/>
        <w:rPr>
          <w:color w:val="000000" w:themeColor="text1"/>
        </w:rPr>
      </w:pPr>
      <w:r w:rsidRPr="00F70C04">
        <w:t xml:space="preserve">Aktywność strony podażowej doprowadziła w pewnym momencie do przebicia od góry spadkowej linii trendu poprowadzonej przez szczyty z lutego 2009 roku oraz grudnia 2011 roku. Później jednak doszło do spadków. Obecnie ważnym </w:t>
      </w:r>
      <w:r w:rsidRPr="00F70C04">
        <w:rPr>
          <w:color w:val="000000" w:themeColor="text1"/>
        </w:rPr>
        <w:t xml:space="preserve">wsparciem jest poziom </w:t>
      </w:r>
      <w:r w:rsidRPr="00F70C04">
        <w:rPr>
          <w:b/>
          <w:color w:val="FF0000"/>
        </w:rPr>
        <w:t>3,8932 zł</w:t>
      </w:r>
      <w:r w:rsidRPr="00F70C04">
        <w:rPr>
          <w:color w:val="000000" w:themeColor="text1"/>
        </w:rPr>
        <w:t xml:space="preserve"> (dołek z maja 2011 roku). Ruch w kierunku tego wsparcia może się zacząć, </w:t>
      </w:r>
      <w:proofErr w:type="gramStart"/>
      <w:r w:rsidRPr="00F70C04">
        <w:rPr>
          <w:color w:val="000000" w:themeColor="text1"/>
        </w:rPr>
        <w:t>gdyż (o czym</w:t>
      </w:r>
      <w:proofErr w:type="gramEnd"/>
      <w:r w:rsidRPr="00F70C04">
        <w:rPr>
          <w:color w:val="000000" w:themeColor="text1"/>
        </w:rPr>
        <w:t xml:space="preserve"> będzie mowa potem) szykuje się nad poprawa sytuacji na polskim rynku akcji, czemu może powinien towarzyszyć napływ kapitału zagranicznego.</w:t>
      </w:r>
    </w:p>
    <w:p w:rsidR="00F70C04" w:rsidRPr="00F70C04" w:rsidRDefault="00EA3970" w:rsidP="00F7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lastRenderedPageBreak/>
        <w:t>Polskie i</w:t>
      </w:r>
      <w:r w:rsidR="00F70C04" w:rsidRPr="00F70C04">
        <w:t>ndeksy przed szansą na wzrost</w:t>
      </w:r>
    </w:p>
    <w:p w:rsidR="00F70C04" w:rsidRPr="00F70C04" w:rsidRDefault="00F70C04" w:rsidP="00F70C04">
      <w:pPr>
        <w:spacing w:after="0" w:line="240" w:lineRule="auto"/>
      </w:pPr>
    </w:p>
    <w:p w:rsidR="00F70C04" w:rsidRPr="00F70C04" w:rsidRDefault="00F70C04" w:rsidP="00F70C04">
      <w:pPr>
        <w:spacing w:after="0" w:line="240" w:lineRule="auto"/>
        <w:jc w:val="both"/>
      </w:pPr>
      <w:r w:rsidRPr="00EA3970">
        <w:rPr>
          <w:b/>
          <w:u w:val="single"/>
        </w:rPr>
        <w:t>Często dzieje się tak, że</w:t>
      </w:r>
      <w:r w:rsidRPr="00F70C04">
        <w:t xml:space="preserve"> hossa na rynku akcji (uwidoczniona we wzrostach indeksów giełdowych) poprzedzona jest brakiem wiary w nadejście owych wzrostów. Osoby, które spodziewają się wzrostów cen akcji nazywane są </w:t>
      </w:r>
      <w:proofErr w:type="gramStart"/>
      <w:r w:rsidRPr="00F70C04">
        <w:t>,,</w:t>
      </w:r>
      <w:proofErr w:type="gramEnd"/>
      <w:r w:rsidRPr="00F70C04">
        <w:t xml:space="preserve">bykami”, osoby spodziewające się spadków nazywane są ,,niedźwiedziami”. </w:t>
      </w:r>
    </w:p>
    <w:p w:rsidR="00F70C04" w:rsidRPr="00F70C04" w:rsidRDefault="00F70C04" w:rsidP="00F70C04">
      <w:pPr>
        <w:spacing w:after="0" w:line="240" w:lineRule="auto"/>
        <w:jc w:val="both"/>
      </w:pPr>
    </w:p>
    <w:p w:rsidR="00F70C04" w:rsidRPr="00EA3970" w:rsidRDefault="00F70C04" w:rsidP="00F70C04">
      <w:pPr>
        <w:spacing w:after="0" w:line="240" w:lineRule="auto"/>
        <w:jc w:val="both"/>
        <w:rPr>
          <w:b/>
        </w:rPr>
      </w:pPr>
      <w:r w:rsidRPr="00F70C04">
        <w:t xml:space="preserve">Wspomniany wyżej </w:t>
      </w:r>
      <w:proofErr w:type="gramStart"/>
      <w:r w:rsidRPr="00EA3970">
        <w:rPr>
          <w:b/>
        </w:rPr>
        <w:t>,,</w:t>
      </w:r>
      <w:proofErr w:type="gramEnd"/>
      <w:r w:rsidRPr="00EA3970">
        <w:rPr>
          <w:b/>
        </w:rPr>
        <w:t>brak wiary we wzrosty cen akcji”</w:t>
      </w:r>
      <w:r w:rsidRPr="00F70C04">
        <w:t xml:space="preserve"> może być uwidoczniony przez </w:t>
      </w:r>
      <w:r w:rsidRPr="00EA3970">
        <w:rPr>
          <w:b/>
        </w:rPr>
        <w:t>przewagę odsetka ,,byków’ nad odsetkiem ,,niedźwiedzi”</w:t>
      </w:r>
      <w:r w:rsidRPr="00F70C04">
        <w:t xml:space="preserve">, ale także przez po prostu </w:t>
      </w:r>
      <w:r w:rsidRPr="00EA3970">
        <w:rPr>
          <w:b/>
        </w:rPr>
        <w:t>stosunkowo wysoki odsetek ,,niedźwiedzi”</w:t>
      </w:r>
      <w:r w:rsidRPr="00F70C04">
        <w:t xml:space="preserve"> (stosunkowo wysoki na tle danych historycznych). W każdy czwartek Stowarzyszenie Inwestorów Indywidualnych publikuje wyniki sondażu, w których podawany jest odsetek </w:t>
      </w:r>
      <w:proofErr w:type="gramStart"/>
      <w:r w:rsidRPr="00F70C04">
        <w:t>,,</w:t>
      </w:r>
      <w:proofErr w:type="gramEnd"/>
      <w:r w:rsidRPr="00F70C04">
        <w:t xml:space="preserve">byków” (osób spodziewających się wzrostów cen akcji w perspektywie najbliższych 6 miesięcy) oraz odsetek ,,niedźwiedzi” (osób spodziewających się spadków cen akcji </w:t>
      </w:r>
      <w:r w:rsidRPr="00EA3970">
        <w:rPr>
          <w:b/>
        </w:rPr>
        <w:t xml:space="preserve">w perspektywie najbliższych 6 miesięcy. </w:t>
      </w:r>
    </w:p>
    <w:p w:rsidR="00F70C04" w:rsidRPr="00EA3970" w:rsidRDefault="00F70C04" w:rsidP="00F70C04">
      <w:pPr>
        <w:spacing w:after="0" w:line="240" w:lineRule="auto"/>
        <w:jc w:val="both"/>
        <w:rPr>
          <w:b/>
          <w:color w:val="FF0000"/>
        </w:rPr>
      </w:pPr>
      <w:r w:rsidRPr="00F70C04">
        <w:t xml:space="preserve">W poniższej tabeli zaprezentowałem odsetki </w:t>
      </w:r>
      <w:proofErr w:type="gramStart"/>
      <w:r w:rsidRPr="00F70C04">
        <w:t>,,</w:t>
      </w:r>
      <w:proofErr w:type="gramEnd"/>
      <w:r w:rsidRPr="00F70C04">
        <w:t xml:space="preserve">byków” oraz ,,niedźwiedzi” uwidocznione w ostatnich badaniach </w:t>
      </w:r>
      <w:r w:rsidR="00EA3970" w:rsidRPr="00EA3970">
        <w:rPr>
          <w:b/>
          <w:color w:val="FF0000"/>
        </w:rPr>
        <w:t xml:space="preserve">polskiego </w:t>
      </w:r>
      <w:r w:rsidRPr="00EA3970">
        <w:rPr>
          <w:b/>
          <w:color w:val="FF0000"/>
        </w:rPr>
        <w:t xml:space="preserve">Stowarzyszenia Inwestorów Indywidualnych. </w:t>
      </w:r>
    </w:p>
    <w:p w:rsidR="00F70C04" w:rsidRPr="00F70C04" w:rsidRDefault="00F70C04" w:rsidP="00F70C04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Data ankiety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Odsetek </w:t>
            </w:r>
            <w:proofErr w:type="gramStart"/>
            <w:r w:rsidRPr="00F70C04">
              <w:t>,,</w:t>
            </w:r>
            <w:proofErr w:type="gramEnd"/>
            <w:r w:rsidRPr="00F70C04">
              <w:t>byków”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Odsetek </w:t>
            </w:r>
            <w:proofErr w:type="gramStart"/>
            <w:r w:rsidRPr="00F70C04">
              <w:t>,,</w:t>
            </w:r>
            <w:proofErr w:type="gramEnd"/>
            <w:r w:rsidRPr="00F70C04">
              <w:t>niedźwiedzi”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Różnica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1 stycznia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45,1%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30,4%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14,7%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8 stycznia 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50,3%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28,0%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22,4%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15 stycznia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51,2%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26,2%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25,0%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22 stycznia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40,9%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34,6%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6,3%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29 stycznia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51,1%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22,2%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28,9%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5 lutego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55,0%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23,5%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31,5%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12 lutego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50,4%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22,0%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28,4%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19 lutego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51,2%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23,6%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27,6%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26 lutego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50,4%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22,8%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27,6%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5 marca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58,1%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18,6%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39,4%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12 marca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57,0%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24,1%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32,9%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19 marca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53,7%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26,1%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27,6%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26 marca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57,3%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21,6%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35,7%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2 kwietnia 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55,9%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23,9%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31,9%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9 kwietnia 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56,8%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21,1%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35,7%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16 kwietnia 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60,2%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20,8%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39,4%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23 kwietnia 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53,3%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23,8%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29,5%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30 kwietnia 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64,1%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18,7%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45,4%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7 maja 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57,7%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20,4%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37,2%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14 maja 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59,3%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24,3%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34,9%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21 maja 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60,3%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21,0%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39,3%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28 maja 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52,1%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26,9%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25,2%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4 czerwca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44,0%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25,2%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18,8%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11 czerwca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43,1%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29,0%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14,1%</w:t>
            </w:r>
          </w:p>
        </w:tc>
      </w:tr>
      <w:tr w:rsidR="00F70C04" w:rsidRPr="00F70C04" w:rsidTr="00EA3970">
        <w:tc>
          <w:tcPr>
            <w:tcW w:w="2303" w:type="dxa"/>
            <w:vAlign w:val="center"/>
          </w:tcPr>
          <w:p w:rsidR="00F70C04" w:rsidRPr="00F70C04" w:rsidRDefault="00F70C04" w:rsidP="00F70C04">
            <w:pPr>
              <w:jc w:val="center"/>
            </w:pPr>
            <w:r w:rsidRPr="00F70C04">
              <w:t>18 czerwca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42,4%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31,9%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10,5%</w:t>
            </w:r>
          </w:p>
        </w:tc>
      </w:tr>
      <w:tr w:rsidR="00F70C04" w:rsidRPr="00F70C04" w:rsidTr="00EA3970">
        <w:tc>
          <w:tcPr>
            <w:tcW w:w="2303" w:type="dxa"/>
            <w:vAlign w:val="center"/>
          </w:tcPr>
          <w:p w:rsidR="00F70C04" w:rsidRPr="00F70C04" w:rsidRDefault="00F70C04" w:rsidP="00F70C04">
            <w:pPr>
              <w:jc w:val="center"/>
            </w:pPr>
            <w:r w:rsidRPr="00F70C04">
              <w:t>25 czerwca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40,3%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31,4%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8,8%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2 lipca 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43,5 %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31,9%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04">
              <w:rPr>
                <w:rFonts w:ascii="Calibri" w:hAnsi="Calibri" w:cs="Calibri"/>
                <w:color w:val="000000"/>
              </w:rPr>
              <w:t>11,6 %</w:t>
            </w:r>
          </w:p>
        </w:tc>
      </w:tr>
    </w:tbl>
    <w:p w:rsidR="00F70C04" w:rsidRPr="00F70C04" w:rsidRDefault="00F70C04" w:rsidP="00F70C04">
      <w:pPr>
        <w:spacing w:after="0" w:line="240" w:lineRule="auto"/>
        <w:jc w:val="both"/>
      </w:pPr>
    </w:p>
    <w:p w:rsidR="00F70C04" w:rsidRPr="00F70C04" w:rsidRDefault="00F70C04" w:rsidP="00F70C04">
      <w:pPr>
        <w:spacing w:after="0" w:line="240" w:lineRule="auto"/>
        <w:jc w:val="both"/>
      </w:pPr>
      <w:r w:rsidRPr="00F70C04">
        <w:t xml:space="preserve">Warto zauważyć, że obecnie przeważają wciąż </w:t>
      </w:r>
      <w:proofErr w:type="gramStart"/>
      <w:r w:rsidRPr="00F70C04">
        <w:t>,,</w:t>
      </w:r>
      <w:proofErr w:type="gramEnd"/>
      <w:r w:rsidRPr="00F70C04">
        <w:t xml:space="preserve">byki”, ale ich przewaga nad ,,niedźwiedziami” jest niska. Co więcej odsetek </w:t>
      </w:r>
      <w:proofErr w:type="gramStart"/>
      <w:r w:rsidRPr="00F70C04">
        <w:t>,,</w:t>
      </w:r>
      <w:proofErr w:type="gramEnd"/>
      <w:r w:rsidRPr="00F70C04">
        <w:t xml:space="preserve">niedźwiedzi” jest tak samo wysoki jak na początku roku, kiedy to zaczynały się wzrosty indeksu WIG20. Równie interesujące wnioski (o bardziej jeszcze wyrazistym charakterze) </w:t>
      </w:r>
      <w:r w:rsidRPr="00F70C04">
        <w:lastRenderedPageBreak/>
        <w:t xml:space="preserve">możemy wysnuć na podstawie analizy danych przedstawiających nastroje inwestorów amerykańskich. </w:t>
      </w:r>
    </w:p>
    <w:p w:rsidR="00F70C04" w:rsidRPr="00F70C04" w:rsidRDefault="00F70C04" w:rsidP="00F70C04">
      <w:pPr>
        <w:spacing w:after="0" w:line="240" w:lineRule="auto"/>
        <w:jc w:val="both"/>
      </w:pPr>
      <w:r w:rsidRPr="00F70C04">
        <w:t xml:space="preserve">Nastroje te badane są </w:t>
      </w:r>
      <w:proofErr w:type="gramStart"/>
      <w:r w:rsidRPr="00F70C04">
        <w:t>także co</w:t>
      </w:r>
      <w:proofErr w:type="gramEnd"/>
      <w:r w:rsidRPr="00F70C04">
        <w:t xml:space="preserve"> tydzień. Również w przypadku </w:t>
      </w:r>
      <w:r w:rsidRPr="00EA3970">
        <w:rPr>
          <w:b/>
          <w:color w:val="FF0000"/>
        </w:rPr>
        <w:t>inwestorów amerykańskich</w:t>
      </w:r>
      <w:r w:rsidRPr="00EA3970">
        <w:rPr>
          <w:color w:val="FF0000"/>
        </w:rPr>
        <w:t xml:space="preserve"> </w:t>
      </w:r>
      <w:proofErr w:type="gramStart"/>
      <w:r w:rsidRPr="00F70C04">
        <w:t>,,</w:t>
      </w:r>
      <w:proofErr w:type="gramEnd"/>
      <w:r w:rsidRPr="00F70C04">
        <w:t xml:space="preserve">bykami” są osoby spodziewające się wzrostów cen akcji (w tym przypadku cen akcji na giełdzie nowojorskiej) a ,,niedźwiedziami” osoby spodziewające się spadków cen akcji (w tym przypadku także cen akcji na giełdzie nowojorskiej)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Data ankiety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Odsetek </w:t>
            </w:r>
            <w:proofErr w:type="gramStart"/>
            <w:r w:rsidRPr="00F70C04">
              <w:t>,,</w:t>
            </w:r>
            <w:proofErr w:type="gramEnd"/>
            <w:r w:rsidRPr="00F70C04">
              <w:t>byków”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Odsetek </w:t>
            </w:r>
            <w:proofErr w:type="gramStart"/>
            <w:r w:rsidRPr="00F70C04">
              <w:t>,,</w:t>
            </w:r>
            <w:proofErr w:type="gramEnd"/>
            <w:r w:rsidRPr="00F70C04">
              <w:t>niedźwiedzi”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Różnica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15 stycznia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51,74%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19,31%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32,4%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22 stycznia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41,01%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27,70%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13,3%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29 stycznia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46,11%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21,50%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24,6%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5 lutego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37,14%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30,79%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  6,3%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12 lutego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44,17%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22,39%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21,8%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19 lutego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35,49%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32,42%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  3,1%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26 lutego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40,00%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20,33%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19,7%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5 marca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47,02%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17,88%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29,1%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12 marca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45,37%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20,30%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25,1%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19 marca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39,80%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23,36%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16,4%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26 marca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31,60%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25,41%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   6,2%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2 kwietnia 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27,16%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31,48%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  -4,3%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9 kwietnia 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38,43%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24,38%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 14,0%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16 kwietnia 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35,40%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31,96%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   3,4%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23 kwietnia 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28,70%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24,15%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   4,6%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30 kwietnia 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32,07%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22,78%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   9,3%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7 maja 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31,47%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23,19%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   8,3%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14 maja 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30,84%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21,95%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   8,9%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21 maja 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27,06%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26,84%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   0,2%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28 maja 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26,74%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26,36%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   0,4%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4 czerwca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25,21%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25,00%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   0,2%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11 czerwca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27,00%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25,14%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   1,9%</w:t>
            </w:r>
          </w:p>
        </w:tc>
      </w:tr>
      <w:tr w:rsidR="00F70C04" w:rsidRPr="00F70C04" w:rsidTr="00EA3970">
        <w:tc>
          <w:tcPr>
            <w:tcW w:w="2303" w:type="dxa"/>
            <w:vAlign w:val="center"/>
          </w:tcPr>
          <w:p w:rsidR="00F70C04" w:rsidRPr="00F70C04" w:rsidRDefault="00F70C04" w:rsidP="00F70C04">
            <w:pPr>
              <w:jc w:val="center"/>
            </w:pPr>
            <w:r w:rsidRPr="00F70C04">
              <w:t>18 czerwca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27,34%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24,63%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   2,7%</w:t>
            </w:r>
          </w:p>
        </w:tc>
      </w:tr>
      <w:tr w:rsidR="00F70C04" w:rsidRPr="00F70C04" w:rsidTr="00EA3970">
        <w:tc>
          <w:tcPr>
            <w:tcW w:w="2303" w:type="dxa"/>
            <w:vAlign w:val="center"/>
          </w:tcPr>
          <w:p w:rsidR="00F70C04" w:rsidRPr="00F70C04" w:rsidRDefault="00F70C04" w:rsidP="00F70C04">
            <w:pPr>
              <w:jc w:val="center"/>
            </w:pPr>
            <w:r w:rsidRPr="00F70C04">
              <w:t>25 czerwca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20,04%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32,58%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-12,5%</w:t>
            </w:r>
          </w:p>
        </w:tc>
      </w:tr>
      <w:tr w:rsidR="00F70C04" w:rsidRPr="00F70C04" w:rsidTr="00EA3970"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2 lipca 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>25,41%</w:t>
            </w:r>
          </w:p>
        </w:tc>
        <w:tc>
          <w:tcPr>
            <w:tcW w:w="2303" w:type="dxa"/>
            <w:vAlign w:val="bottom"/>
          </w:tcPr>
          <w:p w:rsidR="00F70C04" w:rsidRPr="00F70C04" w:rsidRDefault="00F70C04" w:rsidP="00F70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C04">
              <w:rPr>
                <w:rFonts w:ascii="Arial" w:hAnsi="Arial" w:cs="Arial"/>
                <w:b/>
                <w:bCs/>
                <w:sz w:val="18"/>
                <w:szCs w:val="18"/>
              </w:rPr>
              <w:t>34,30%</w:t>
            </w:r>
          </w:p>
        </w:tc>
        <w:tc>
          <w:tcPr>
            <w:tcW w:w="2303" w:type="dxa"/>
          </w:tcPr>
          <w:p w:rsidR="00F70C04" w:rsidRPr="00F70C04" w:rsidRDefault="00F70C04" w:rsidP="00F70C04">
            <w:pPr>
              <w:jc w:val="center"/>
            </w:pPr>
            <w:r w:rsidRPr="00F70C04">
              <w:t xml:space="preserve">  -8,9%</w:t>
            </w:r>
          </w:p>
        </w:tc>
      </w:tr>
    </w:tbl>
    <w:p w:rsidR="00F70C04" w:rsidRPr="00F70C04" w:rsidRDefault="00F70C04" w:rsidP="00F70C04">
      <w:pPr>
        <w:spacing w:after="0" w:line="240" w:lineRule="auto"/>
        <w:jc w:val="both"/>
      </w:pPr>
      <w:r w:rsidRPr="00F70C04">
        <w:t xml:space="preserve">Warto zauważyć, że odsetek </w:t>
      </w:r>
      <w:proofErr w:type="gramStart"/>
      <w:r w:rsidRPr="00F70C04">
        <w:t>,,</w:t>
      </w:r>
      <w:proofErr w:type="gramEnd"/>
      <w:r w:rsidRPr="00F70C04">
        <w:t xml:space="preserve">byków” jest niższy od odsetka ,,niedźwiedzi”. Na poniższym wykresie linią pionową zaznaczyłem dni, w których uwidoczniła się przewaga </w:t>
      </w:r>
      <w:proofErr w:type="gramStart"/>
      <w:r w:rsidRPr="00F70C04">
        <w:t>,,</w:t>
      </w:r>
      <w:proofErr w:type="gramEnd"/>
      <w:r w:rsidRPr="00F70C04">
        <w:t xml:space="preserve">byków” nad ,,niedźwiedziami”. Ten pesymizm może być źródłem wzrostów cen akcji na giełdzie nowojorskiej. Jeżeli faktycznie wzrosty te w USA pojawią się (a na podstawie zasady </w:t>
      </w:r>
      <w:proofErr w:type="gramStart"/>
      <w:r w:rsidRPr="00F70C04">
        <w:t>,,</w:t>
      </w:r>
      <w:proofErr w:type="gramEnd"/>
      <w:r w:rsidRPr="00F70C04">
        <w:t xml:space="preserve">kupuj pesymizm, sprzedawaj optymizm” zakładam, że tak będzie) będzie można oczekiwać także wzrostów także na giełdzie warszawskiej. </w:t>
      </w:r>
    </w:p>
    <w:p w:rsidR="00F70C04" w:rsidRPr="00EA3970" w:rsidRDefault="00EA3970" w:rsidP="00F70C04">
      <w:pPr>
        <w:spacing w:after="0" w:line="240" w:lineRule="auto"/>
        <w:jc w:val="both"/>
        <w:rPr>
          <w:b/>
          <w:u w:val="single"/>
        </w:rPr>
      </w:pPr>
      <w:r w:rsidRPr="00EA3970">
        <w:rPr>
          <w:b/>
          <w:u w:val="single"/>
        </w:rPr>
        <w:t>S&amp;P 500</w:t>
      </w:r>
    </w:p>
    <w:p w:rsidR="00F70C04" w:rsidRPr="00F70C04" w:rsidRDefault="00F70C04" w:rsidP="00F70C04">
      <w:pPr>
        <w:spacing w:after="0" w:line="240" w:lineRule="auto"/>
        <w:jc w:val="both"/>
      </w:pPr>
      <w:r w:rsidRPr="00F70C04">
        <w:rPr>
          <w:noProof/>
          <w:lang w:eastAsia="pl-PL"/>
        </w:rPr>
        <w:drawing>
          <wp:inline distT="0" distB="0" distL="0" distR="0" wp14:anchorId="6DAC2283" wp14:editId="7FB4F87E">
            <wp:extent cx="3619500" cy="2181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C04" w:rsidRPr="00F70C04" w:rsidRDefault="00F70C04" w:rsidP="00F70C04">
      <w:pPr>
        <w:spacing w:after="0" w:line="240" w:lineRule="auto"/>
        <w:jc w:val="both"/>
      </w:pPr>
      <w:r w:rsidRPr="00F70C04">
        <w:lastRenderedPageBreak/>
        <w:t xml:space="preserve">Z wykresu opublikowanego na poprzedniej stronie wynika, że przewaga </w:t>
      </w:r>
      <w:proofErr w:type="gramStart"/>
      <w:r w:rsidRPr="00F70C04">
        <w:t>,,</w:t>
      </w:r>
      <w:proofErr w:type="gramEnd"/>
      <w:r w:rsidRPr="00F70C04">
        <w:t>byków”</w:t>
      </w:r>
      <w:r w:rsidRPr="00F70C04">
        <w:br/>
        <w:t xml:space="preserve"> nad ,,niedźwiedziami” uwidoczniła się 2 kwietnia. Skutkiem tego był wzrost indeksu S&amp;P 500 o 3,1 % w okresie pomiędzy 2 kwietnia a 21 maja. Po raz kolejny przewaga </w:t>
      </w:r>
      <w:proofErr w:type="gramStart"/>
      <w:r w:rsidRPr="00F70C04">
        <w:t>,,</w:t>
      </w:r>
      <w:proofErr w:type="gramEnd"/>
      <w:r w:rsidRPr="00F70C04">
        <w:t xml:space="preserve">byków” uwidoczniła się 25 czerwca a potem 2 lipca. </w:t>
      </w:r>
    </w:p>
    <w:p w:rsidR="00F70C04" w:rsidRPr="00F70C04" w:rsidRDefault="00F70C04" w:rsidP="00F70C04">
      <w:pPr>
        <w:spacing w:after="0" w:line="240" w:lineRule="auto"/>
        <w:jc w:val="both"/>
      </w:pPr>
    </w:p>
    <w:p w:rsidR="00F70C04" w:rsidRPr="00F70C04" w:rsidRDefault="00F70C04" w:rsidP="00F70C04">
      <w:pPr>
        <w:spacing w:after="0" w:line="240" w:lineRule="auto"/>
        <w:jc w:val="both"/>
      </w:pPr>
      <w:r w:rsidRPr="00F70C04">
        <w:t xml:space="preserve">Gdyby od 25 czerwca miało dojść do wzrostu indeksu S&amp;P 500 o owe 3,1 % indeks ten powinien zwyżkować do 2 167,5 pkt. Gdyby z kolei indeks S&amp;P 500 miał zwyżkować o 3,1 % od 2 lipca powinno dojść do wzrostu indeksu S&amp;P 500 do 2 141,2 pkt. Wynika z tego, że niezależnie od tego, który wariant przyjmiemy (wariant </w:t>
      </w:r>
      <w:proofErr w:type="gramStart"/>
      <w:r w:rsidRPr="00F70C04">
        <w:t>wzrostu do co</w:t>
      </w:r>
      <w:proofErr w:type="gramEnd"/>
      <w:r w:rsidRPr="00F70C04">
        <w:t xml:space="preserve"> najmniej 2 167,5 pkt., czy też wariant wzrostu do co najmniej 2 141,2 pkt.) stoimy przed szansą przebicia przez amerykański indeks giełdowy poziomu historycznego maksimum, co powinno przyczynić się także do wzrostów indeksu WIG20. </w:t>
      </w:r>
    </w:p>
    <w:p w:rsidR="00F70C04" w:rsidRPr="00F70C04" w:rsidRDefault="00F70C04" w:rsidP="00F70C04">
      <w:pPr>
        <w:spacing w:after="0" w:line="240" w:lineRule="auto"/>
        <w:jc w:val="both"/>
      </w:pPr>
    </w:p>
    <w:p w:rsidR="00F70C04" w:rsidRPr="00F70C04" w:rsidRDefault="00F70C04" w:rsidP="00F70C04">
      <w:pPr>
        <w:spacing w:after="0" w:line="240" w:lineRule="auto"/>
        <w:jc w:val="both"/>
      </w:pPr>
      <w:r w:rsidRPr="00F70C04">
        <w:t xml:space="preserve">Teraz popatrzmy na właśnie indeks WIG20. </w:t>
      </w:r>
    </w:p>
    <w:p w:rsidR="00F70C04" w:rsidRPr="00EA3970" w:rsidRDefault="00EA3970" w:rsidP="00F70C04">
      <w:pPr>
        <w:spacing w:after="0" w:line="240" w:lineRule="auto"/>
        <w:jc w:val="both"/>
        <w:rPr>
          <w:b/>
          <w:u w:val="single"/>
        </w:rPr>
      </w:pPr>
      <w:r w:rsidRPr="00EA3970">
        <w:rPr>
          <w:b/>
          <w:u w:val="single"/>
        </w:rPr>
        <w:t>WIG20</w:t>
      </w:r>
    </w:p>
    <w:p w:rsidR="00F70C04" w:rsidRPr="00F70C04" w:rsidRDefault="00F70C04" w:rsidP="00F70C04">
      <w:pPr>
        <w:spacing w:after="0" w:line="240" w:lineRule="auto"/>
        <w:jc w:val="both"/>
      </w:pPr>
      <w:r w:rsidRPr="00F70C04">
        <w:rPr>
          <w:noProof/>
          <w:lang w:eastAsia="pl-PL"/>
        </w:rPr>
        <w:drawing>
          <wp:inline distT="0" distB="0" distL="0" distR="0" wp14:anchorId="5CADF22F" wp14:editId="1830CB05">
            <wp:extent cx="4829175" cy="2905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C04" w:rsidRPr="00F70C04" w:rsidRDefault="00F70C04" w:rsidP="00F70C04">
      <w:pPr>
        <w:spacing w:after="0" w:line="240" w:lineRule="auto"/>
        <w:jc w:val="both"/>
      </w:pPr>
    </w:p>
    <w:p w:rsidR="00F70C04" w:rsidRPr="00F70C04" w:rsidRDefault="00F70C04" w:rsidP="00F70C04">
      <w:pPr>
        <w:spacing w:after="0" w:line="240" w:lineRule="auto"/>
        <w:jc w:val="both"/>
      </w:pPr>
      <w:r w:rsidRPr="00F70C04">
        <w:t>Indeks WIG 20 doszedł do lekko wzrostowej linii trendu poprowadzonej przez dołki z czerwca 2012 roku oraz stycznia 2015 roku. Uwaga – zbliżamy się także do wzrostowej linii trendu poprowadzonej przez dołki z sierpnia oraz grudnia 2014 roku a także stycznia 2015 roku na wykresie indeksu sWIG80, co pokazuje wykres dolny na tej stronie.</w:t>
      </w:r>
    </w:p>
    <w:p w:rsidR="00F70C04" w:rsidRPr="00EA3970" w:rsidRDefault="00EA3970" w:rsidP="00F70C04">
      <w:pPr>
        <w:spacing w:after="0" w:line="240" w:lineRule="auto"/>
        <w:jc w:val="both"/>
        <w:rPr>
          <w:b/>
          <w:u w:val="single"/>
        </w:rPr>
      </w:pPr>
      <w:proofErr w:type="gramStart"/>
      <w:r w:rsidRPr="00EA3970">
        <w:rPr>
          <w:b/>
          <w:u w:val="single"/>
        </w:rPr>
        <w:t>sWIG</w:t>
      </w:r>
      <w:proofErr w:type="gramEnd"/>
      <w:r w:rsidRPr="00EA3970">
        <w:rPr>
          <w:b/>
          <w:u w:val="single"/>
        </w:rPr>
        <w:t>80</w:t>
      </w:r>
    </w:p>
    <w:p w:rsidR="00F70C04" w:rsidRPr="00F70C04" w:rsidRDefault="00F70C04" w:rsidP="00F70C04">
      <w:pPr>
        <w:spacing w:after="0" w:line="240" w:lineRule="auto"/>
        <w:jc w:val="both"/>
      </w:pPr>
      <w:r w:rsidRPr="00F70C04">
        <w:rPr>
          <w:noProof/>
          <w:lang w:eastAsia="pl-PL"/>
        </w:rPr>
        <w:drawing>
          <wp:inline distT="0" distB="0" distL="0" distR="0" wp14:anchorId="22E93F68" wp14:editId="69324249">
            <wp:extent cx="3028950" cy="18192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C04" w:rsidRPr="00F70C04" w:rsidRDefault="00F70C04" w:rsidP="00F70C04">
      <w:pPr>
        <w:spacing w:after="0" w:line="240" w:lineRule="auto"/>
        <w:jc w:val="both"/>
      </w:pPr>
    </w:p>
    <w:p w:rsidR="00F70C04" w:rsidRDefault="00F70C04" w:rsidP="00F70C04">
      <w:pPr>
        <w:spacing w:after="0" w:line="240" w:lineRule="auto"/>
        <w:jc w:val="both"/>
      </w:pPr>
      <w:proofErr w:type="gramStart"/>
      <w:r w:rsidRPr="00F70C04">
        <w:t>Bardzo więc</w:t>
      </w:r>
      <w:proofErr w:type="gramEnd"/>
      <w:r w:rsidRPr="00F70C04">
        <w:t xml:space="preserve"> możliwe, że </w:t>
      </w:r>
      <w:r w:rsidRPr="00EA3970">
        <w:rPr>
          <w:b/>
        </w:rPr>
        <w:t>także w przypadku akcji mniejszych spółek</w:t>
      </w:r>
      <w:r w:rsidRPr="00F70C04">
        <w:t xml:space="preserve"> notowanych na GPW w Warszawie nadchodzą lepsze czasy dla posiadaczy akcji. </w:t>
      </w:r>
    </w:p>
    <w:p w:rsidR="00EA3970" w:rsidRPr="00F70C04" w:rsidRDefault="00EA3970" w:rsidP="00F70C04">
      <w:pPr>
        <w:spacing w:after="0" w:line="240" w:lineRule="auto"/>
        <w:jc w:val="both"/>
      </w:pPr>
    </w:p>
    <w:p w:rsidR="00F70C04" w:rsidRPr="00F70C04" w:rsidRDefault="00F70C04" w:rsidP="00F70C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F70C04">
        <w:lastRenderedPageBreak/>
        <w:t xml:space="preserve">Wykres do przemyślenia – refleksje </w:t>
      </w:r>
    </w:p>
    <w:p w:rsidR="00F70C04" w:rsidRPr="00F70C04" w:rsidRDefault="00F70C04" w:rsidP="00F70C04">
      <w:pPr>
        <w:spacing w:after="0" w:line="240" w:lineRule="auto"/>
        <w:jc w:val="both"/>
      </w:pPr>
    </w:p>
    <w:p w:rsidR="00F70C04" w:rsidRPr="00F70C04" w:rsidRDefault="00F70C04" w:rsidP="00F70C04">
      <w:pPr>
        <w:spacing w:after="0" w:line="240" w:lineRule="auto"/>
        <w:jc w:val="both"/>
      </w:pPr>
      <w:r w:rsidRPr="00F70C04">
        <w:t xml:space="preserve">W pierwszym numerze </w:t>
      </w:r>
      <w:proofErr w:type="gramStart"/>
      <w:r w:rsidRPr="00F70C04">
        <w:t>,,</w:t>
      </w:r>
      <w:proofErr w:type="gramEnd"/>
      <w:r w:rsidRPr="00F70C04">
        <w:t xml:space="preserve">Raportu Tygodniowego” z 8 września 2014 roku pojawiły się wykresy akcji czterech spółek. Były to wykresy akcji następujących spółek: </w:t>
      </w:r>
    </w:p>
    <w:p w:rsidR="00F70C04" w:rsidRPr="00F70C04" w:rsidRDefault="00F70C04" w:rsidP="00F70C04">
      <w:pPr>
        <w:spacing w:after="0" w:line="240" w:lineRule="auto"/>
        <w:jc w:val="both"/>
      </w:pPr>
    </w:p>
    <w:p w:rsidR="00F70C04" w:rsidRPr="00F70C04" w:rsidRDefault="00F70C04" w:rsidP="00F70C04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F70C04">
        <w:t>Immobile</w:t>
      </w:r>
      <w:proofErr w:type="spellEnd"/>
    </w:p>
    <w:p w:rsidR="00F70C04" w:rsidRPr="00F70C04" w:rsidRDefault="00F70C04" w:rsidP="00F70C04">
      <w:pPr>
        <w:numPr>
          <w:ilvl w:val="0"/>
          <w:numId w:val="1"/>
        </w:numPr>
        <w:spacing w:after="0" w:line="240" w:lineRule="auto"/>
        <w:jc w:val="both"/>
      </w:pPr>
      <w:r w:rsidRPr="00F70C04">
        <w:t>Lena</w:t>
      </w:r>
    </w:p>
    <w:p w:rsidR="00F70C04" w:rsidRPr="00F70C04" w:rsidRDefault="00F70C04" w:rsidP="00F70C04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F70C04">
        <w:t>Netmedia</w:t>
      </w:r>
      <w:proofErr w:type="spellEnd"/>
      <w:r w:rsidRPr="00F70C04">
        <w:t xml:space="preserve"> </w:t>
      </w:r>
    </w:p>
    <w:p w:rsidR="00F70C04" w:rsidRPr="00F70C04" w:rsidRDefault="00F70C04" w:rsidP="00F70C04">
      <w:pPr>
        <w:numPr>
          <w:ilvl w:val="0"/>
          <w:numId w:val="1"/>
        </w:numPr>
        <w:spacing w:after="0" w:line="240" w:lineRule="auto"/>
        <w:jc w:val="both"/>
      </w:pPr>
      <w:r w:rsidRPr="00F70C04">
        <w:t>Rafako</w:t>
      </w:r>
    </w:p>
    <w:p w:rsidR="00F70C04" w:rsidRPr="00F70C04" w:rsidRDefault="00F70C04" w:rsidP="00F70C04">
      <w:pPr>
        <w:spacing w:after="0" w:line="240" w:lineRule="auto"/>
        <w:jc w:val="both"/>
      </w:pPr>
    </w:p>
    <w:p w:rsidR="00F70C04" w:rsidRPr="00F70C04" w:rsidRDefault="00F70C04" w:rsidP="00F70C04">
      <w:pPr>
        <w:spacing w:after="0" w:line="240" w:lineRule="auto"/>
        <w:jc w:val="both"/>
        <w:rPr>
          <w:b/>
          <w:color w:val="FF0000"/>
        </w:rPr>
      </w:pPr>
      <w:r w:rsidRPr="00F70C04">
        <w:t xml:space="preserve">Kryterium pojawienia się wykresu akcji danej spółki w tej rubryce jest </w:t>
      </w:r>
      <w:r w:rsidRPr="00F70C04">
        <w:rPr>
          <w:b/>
        </w:rPr>
        <w:t>wybicie z formacji podwójnego dna</w:t>
      </w:r>
      <w:r w:rsidRPr="00F70C04">
        <w:t xml:space="preserve">. </w:t>
      </w:r>
      <w:r w:rsidRPr="00F70C04">
        <w:rPr>
          <w:b/>
          <w:color w:val="FF66FF"/>
        </w:rPr>
        <w:t xml:space="preserve">Na str. 6-10 przedstawiam listę 26 spółek wpisanych do rubryki </w:t>
      </w:r>
      <w:proofErr w:type="gramStart"/>
      <w:r w:rsidRPr="00F70C04">
        <w:rPr>
          <w:b/>
          <w:color w:val="FF66FF"/>
        </w:rPr>
        <w:t>,,</w:t>
      </w:r>
      <w:proofErr w:type="gramEnd"/>
      <w:r w:rsidRPr="00F70C04">
        <w:rPr>
          <w:b/>
          <w:color w:val="FF66FF"/>
        </w:rPr>
        <w:t>Wykres do przemyślenia”.</w:t>
      </w:r>
      <w:r w:rsidRPr="00F70C04">
        <w:t xml:space="preserve"> </w:t>
      </w:r>
      <w:r w:rsidRPr="00F70C04">
        <w:rPr>
          <w:b/>
          <w:color w:val="FF66FF"/>
        </w:rPr>
        <w:t>Osoby znającą tą listę mogą listę tą pominąć i od razu przejść na stronę 9.</w:t>
      </w:r>
    </w:p>
    <w:p w:rsidR="00F70C04" w:rsidRPr="00F70C04" w:rsidRDefault="00F70C04" w:rsidP="00F70C04">
      <w:pPr>
        <w:spacing w:after="0" w:line="240" w:lineRule="auto"/>
        <w:jc w:val="both"/>
      </w:pPr>
    </w:p>
    <w:p w:rsidR="00F70C04" w:rsidRPr="00F70C04" w:rsidRDefault="00F70C04" w:rsidP="00F70C04">
      <w:pPr>
        <w:spacing w:after="0" w:line="240" w:lineRule="auto"/>
        <w:jc w:val="both"/>
      </w:pPr>
      <w:r w:rsidRPr="00F70C04">
        <w:t xml:space="preserve">Tabela: Procentowa zmiana cen akcji czterech spółek, których akcje zostały wymienione w pierwszym numerze </w:t>
      </w:r>
      <w:proofErr w:type="gramStart"/>
      <w:r w:rsidRPr="00F70C04">
        <w:t>,,</w:t>
      </w:r>
      <w:proofErr w:type="gramEnd"/>
      <w:r w:rsidRPr="00F70C04">
        <w:t xml:space="preserve">Raportu Tygodniowego” z 8 września 2014 roku w rubryce ,,Wykres do przemyślenia” w okresie od 5 września do </w:t>
      </w:r>
      <w:r w:rsidR="00EA3970">
        <w:t xml:space="preserve">3 lipca </w:t>
      </w:r>
      <w:r w:rsidRPr="00F70C04">
        <w:t xml:space="preserve">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Zmiana (w %)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Akcja spółki </w:t>
            </w:r>
            <w:proofErr w:type="spellStart"/>
            <w:r w:rsidRPr="00F70C04"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2,35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  +15,2 %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4,59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   +15,0 %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Akcja </w:t>
            </w:r>
            <w:proofErr w:type="gramStart"/>
            <w:r w:rsidRPr="00F70C04">
              <w:t xml:space="preserve">spółki  </w:t>
            </w:r>
            <w:proofErr w:type="spellStart"/>
            <w:r w:rsidRPr="00F70C04"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6,30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  +73,6 %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6,58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  +54,8 %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 xml:space="preserve">    +39,7 %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2 278,17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    -10,4 %</w:t>
            </w:r>
          </w:p>
        </w:tc>
      </w:tr>
    </w:tbl>
    <w:p w:rsidR="00F70C04" w:rsidRPr="00F70C04" w:rsidRDefault="00F70C04" w:rsidP="00F70C04">
      <w:pPr>
        <w:spacing w:after="0" w:line="240" w:lineRule="auto"/>
        <w:jc w:val="both"/>
        <w:rPr>
          <w:rFonts w:eastAsiaTheme="minorEastAsia"/>
        </w:rPr>
      </w:pPr>
      <w:r w:rsidRPr="00F70C04">
        <w:t xml:space="preserve">Tabela: Procentowa zmiana ceny akcji spółki, której akcje zostały wymienione w drugim numerze </w:t>
      </w:r>
      <w:proofErr w:type="gramStart"/>
      <w:r w:rsidRPr="00F70C04">
        <w:t>,,</w:t>
      </w:r>
      <w:proofErr w:type="gramEnd"/>
      <w:r w:rsidRPr="00F70C04">
        <w:t xml:space="preserve">Raportu Tygodniowego” z 15 września 2014 roku w rubryce ,,Wykres do przemyślenia” w okresie od 12 września </w:t>
      </w:r>
      <w:r w:rsidR="00EA3970" w:rsidRPr="00F70C04">
        <w:t xml:space="preserve">do </w:t>
      </w:r>
      <w:r w:rsidR="00EA3970">
        <w:t xml:space="preserve">3 lipca </w:t>
      </w:r>
      <w:r w:rsidR="00EA3970" w:rsidRPr="00F70C04">
        <w:t xml:space="preserve">2015 roku </w:t>
      </w:r>
      <w:r w:rsidRPr="00F70C04">
        <w:t xml:space="preserve">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Zmiana (w %)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5,67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 -12,8 %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 xml:space="preserve">  -12,8 %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2 278,17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   -6,5 %</w:t>
            </w:r>
          </w:p>
        </w:tc>
      </w:tr>
    </w:tbl>
    <w:p w:rsidR="00F70C04" w:rsidRPr="00F70C04" w:rsidRDefault="00F70C04" w:rsidP="00F70C04">
      <w:pPr>
        <w:spacing w:after="0" w:line="240" w:lineRule="auto"/>
        <w:jc w:val="both"/>
        <w:rPr>
          <w:rFonts w:eastAsiaTheme="minorEastAsia"/>
        </w:rPr>
      </w:pPr>
      <w:r w:rsidRPr="00F70C04">
        <w:t xml:space="preserve">Tabela: Procentowa zmiana ceny akcji spółki, której akcje zostały umieszczone 16 września na stronie internetowej </w:t>
      </w:r>
      <w:hyperlink r:id="rId11" w:history="1">
        <w:r w:rsidRPr="00F70C04">
          <w:rPr>
            <w:color w:val="0000FF" w:themeColor="hyperlink"/>
            <w:u w:val="single"/>
          </w:rPr>
          <w:t>www.analizy-rynkowe.pl</w:t>
        </w:r>
      </w:hyperlink>
      <w:r w:rsidRPr="00F70C04">
        <w:t xml:space="preserve"> w </w:t>
      </w:r>
      <w:proofErr w:type="gramStart"/>
      <w:r w:rsidRPr="00F70C04">
        <w:t>rubryce  ,,Wykres</w:t>
      </w:r>
      <w:proofErr w:type="gramEnd"/>
      <w:r w:rsidRPr="00F70C04">
        <w:t xml:space="preserve"> do przemyślenia” w okresie od 15 września </w:t>
      </w:r>
      <w:r w:rsidR="00EA3970" w:rsidRPr="00F70C04">
        <w:t xml:space="preserve">do </w:t>
      </w:r>
      <w:r w:rsidR="00EA3970">
        <w:t xml:space="preserve">3 lipca </w:t>
      </w:r>
      <w:r w:rsidR="00EA3970" w:rsidRPr="00F70C04">
        <w:t xml:space="preserve">2015 roku </w:t>
      </w:r>
      <w:r w:rsidRPr="00F70C04">
        <w:t xml:space="preserve">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Zmiana (w %)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Akcja spółki </w:t>
            </w:r>
            <w:proofErr w:type="spellStart"/>
            <w:r w:rsidRPr="00F70C04"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31,50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 18,9 %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 xml:space="preserve">  18,9 %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2 278,17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-6,3 %</w:t>
            </w:r>
          </w:p>
        </w:tc>
      </w:tr>
    </w:tbl>
    <w:p w:rsidR="00F70C04" w:rsidRPr="00F70C04" w:rsidRDefault="00F70C04" w:rsidP="00F70C04">
      <w:pPr>
        <w:spacing w:after="0" w:line="240" w:lineRule="auto"/>
        <w:jc w:val="both"/>
        <w:rPr>
          <w:rFonts w:eastAsiaTheme="minorEastAsia"/>
        </w:rPr>
      </w:pPr>
      <w:r w:rsidRPr="00F70C04">
        <w:t xml:space="preserve">Tabela: Procentowa zmiana ceny akcji spółki, której akcje zostały wymienione w trzecim numerze </w:t>
      </w:r>
      <w:proofErr w:type="gramStart"/>
      <w:r w:rsidRPr="00F70C04">
        <w:t>,,</w:t>
      </w:r>
      <w:proofErr w:type="gramEnd"/>
      <w:r w:rsidRPr="00F70C04">
        <w:t xml:space="preserve">Raportu Tygodniowego” z 22 września 2014 roku w rubryce ,,Wykres do przemyślenia” w okresie od 19 września </w:t>
      </w:r>
      <w:r w:rsidR="00EA3970" w:rsidRPr="00F70C04">
        <w:t xml:space="preserve">do </w:t>
      </w:r>
      <w:r w:rsidR="00EA3970">
        <w:t xml:space="preserve">3 lipca </w:t>
      </w:r>
      <w:r w:rsidR="00EA3970" w:rsidRPr="00F70C04">
        <w:t xml:space="preserve">2015 roku </w:t>
      </w:r>
      <w:r w:rsidRPr="00F70C04">
        <w:t xml:space="preserve">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Zmiana (w %)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1,03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-22,0 %</w:t>
            </w:r>
          </w:p>
        </w:tc>
      </w:tr>
      <w:tr w:rsidR="00F70C04" w:rsidRPr="00F70C04" w:rsidTr="00EA3970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-22,0 %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2 278,17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-6,5 %</w:t>
            </w:r>
          </w:p>
        </w:tc>
      </w:tr>
    </w:tbl>
    <w:p w:rsidR="00F70C04" w:rsidRPr="00F70C04" w:rsidRDefault="00F70C04" w:rsidP="00F70C04">
      <w:pPr>
        <w:spacing w:after="0" w:line="240" w:lineRule="auto"/>
        <w:jc w:val="both"/>
        <w:rPr>
          <w:rFonts w:eastAsiaTheme="minorEastAsia"/>
        </w:rPr>
      </w:pPr>
      <w:r w:rsidRPr="00F70C04">
        <w:lastRenderedPageBreak/>
        <w:t xml:space="preserve">Tabela: Procentowa zmiana ceny akcji spółki, której akcje zostały umieszczone 25 września na stronie internetowej </w:t>
      </w:r>
      <w:hyperlink r:id="rId12" w:history="1">
        <w:r w:rsidRPr="00F70C04">
          <w:rPr>
            <w:color w:val="0000FF" w:themeColor="hyperlink"/>
            <w:u w:val="single"/>
          </w:rPr>
          <w:t>www.analizy-rynkowe.pl</w:t>
        </w:r>
      </w:hyperlink>
      <w:r w:rsidRPr="00F70C04">
        <w:t xml:space="preserve"> w </w:t>
      </w:r>
      <w:proofErr w:type="gramStart"/>
      <w:r w:rsidRPr="00F70C04">
        <w:t>rubryce  ,,Wykres</w:t>
      </w:r>
      <w:proofErr w:type="gramEnd"/>
      <w:r w:rsidRPr="00F70C04">
        <w:t xml:space="preserve"> do przemyślenia” w okresie od 24 września </w:t>
      </w:r>
      <w:r w:rsidR="00EA3970" w:rsidRPr="00F70C04">
        <w:t xml:space="preserve">do </w:t>
      </w:r>
      <w:r w:rsidR="00EA3970">
        <w:t xml:space="preserve">3 lipca </w:t>
      </w:r>
      <w:r w:rsidR="00EA3970" w:rsidRPr="00F70C04">
        <w:t xml:space="preserve">2015 roku </w:t>
      </w:r>
      <w:r w:rsidRPr="00F70C04">
        <w:t xml:space="preserve">oraz procentowa zmiana indeksu WIG 20 w tym okresie. </w:t>
      </w:r>
    </w:p>
    <w:p w:rsidR="00F70C04" w:rsidRPr="00F70C04" w:rsidRDefault="00F70C04" w:rsidP="00F70C04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Zmiana (w %)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2,39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+29,2 %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+29,2 %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2 278,17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 -6,3 %</w:t>
            </w:r>
          </w:p>
        </w:tc>
      </w:tr>
    </w:tbl>
    <w:p w:rsidR="00F70C04" w:rsidRPr="00F70C04" w:rsidRDefault="00F70C04" w:rsidP="00F70C04">
      <w:pPr>
        <w:spacing w:after="0" w:line="240" w:lineRule="auto"/>
        <w:jc w:val="both"/>
        <w:rPr>
          <w:rFonts w:eastAsiaTheme="minorEastAsia"/>
        </w:rPr>
      </w:pPr>
    </w:p>
    <w:p w:rsidR="00F70C04" w:rsidRPr="00F70C04" w:rsidRDefault="00F70C04" w:rsidP="00F70C04">
      <w:pPr>
        <w:spacing w:after="0" w:line="240" w:lineRule="auto"/>
        <w:jc w:val="both"/>
      </w:pPr>
      <w:r w:rsidRPr="00F70C04">
        <w:t xml:space="preserve">Tabela: Procentowa zmiana cen akcji trzech spółek, których akcje zostały wymienione w czwartym numerze </w:t>
      </w:r>
      <w:proofErr w:type="gramStart"/>
      <w:r w:rsidRPr="00F70C04">
        <w:t>,,</w:t>
      </w:r>
      <w:proofErr w:type="gramEnd"/>
      <w:r w:rsidRPr="00F70C04">
        <w:t xml:space="preserve">Raportu Tygodniowego” z 29 września 2014 roku w rubryce ,,Wykres do przemyślenia” w okresie od 30 września </w:t>
      </w:r>
      <w:r w:rsidR="00EA3970" w:rsidRPr="00F70C04">
        <w:t xml:space="preserve">do </w:t>
      </w:r>
      <w:r w:rsidR="00EA3970">
        <w:t xml:space="preserve">3 lipca </w:t>
      </w:r>
      <w:r w:rsidR="00EA3970" w:rsidRPr="00F70C04">
        <w:t xml:space="preserve">2015 roku </w:t>
      </w:r>
      <w:r w:rsidRPr="00F70C04">
        <w:t xml:space="preserve">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Zmiana (w %)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Akcja spółki </w:t>
            </w:r>
            <w:proofErr w:type="spellStart"/>
            <w:r w:rsidRPr="00F70C04">
              <w:t>Asseco</w:t>
            </w:r>
            <w:proofErr w:type="spellEnd"/>
            <w:r w:rsidRPr="00F70C04"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59,75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+30,9 %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Akcja </w:t>
            </w:r>
            <w:proofErr w:type="gramStart"/>
            <w:r w:rsidRPr="00F70C04">
              <w:t>spółki  CD</w:t>
            </w:r>
            <w:proofErr w:type="gramEnd"/>
            <w:r w:rsidRPr="00F70C04">
              <w:t xml:space="preserve">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24,50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 +47,7 %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Akcja spółki </w:t>
            </w:r>
            <w:proofErr w:type="spellStart"/>
            <w:r w:rsidRPr="00F70C04">
              <w:t>Sygnity</w:t>
            </w:r>
            <w:proofErr w:type="spellEnd"/>
            <w:r w:rsidRPr="00F70C04"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10,30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- 41,5 %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 xml:space="preserve"> +12,4 %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2 278,17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 - 8,3 %</w:t>
            </w:r>
          </w:p>
        </w:tc>
      </w:tr>
    </w:tbl>
    <w:p w:rsidR="00F70C04" w:rsidRPr="00F70C04" w:rsidRDefault="00F70C04" w:rsidP="00F70C04">
      <w:pPr>
        <w:spacing w:after="0" w:line="240" w:lineRule="auto"/>
        <w:jc w:val="both"/>
        <w:rPr>
          <w:rFonts w:eastAsiaTheme="minorEastAsia"/>
        </w:rPr>
      </w:pPr>
    </w:p>
    <w:p w:rsidR="00F70C04" w:rsidRPr="00F70C04" w:rsidRDefault="00F70C04" w:rsidP="00F70C04">
      <w:pPr>
        <w:spacing w:after="0" w:line="240" w:lineRule="auto"/>
        <w:jc w:val="both"/>
      </w:pPr>
      <w:r w:rsidRPr="00F70C04">
        <w:t xml:space="preserve">Tabela: Procentowa zmiana ceny akcji spółki, której akcje zostały wymienione w piątym numerze </w:t>
      </w:r>
      <w:proofErr w:type="gramStart"/>
      <w:r w:rsidRPr="00F70C04">
        <w:t>,,</w:t>
      </w:r>
      <w:proofErr w:type="gramEnd"/>
      <w:r w:rsidRPr="00F70C04">
        <w:t xml:space="preserve">Raportu Tygodniowego” z 6 października 2014 roku w rubryce ,,Wykres do przemyślenia” w okresie od 3 października </w:t>
      </w:r>
      <w:r w:rsidR="00EA3970" w:rsidRPr="00F70C04">
        <w:t xml:space="preserve">do </w:t>
      </w:r>
      <w:r w:rsidR="00EA3970">
        <w:t xml:space="preserve">3 lipca </w:t>
      </w:r>
      <w:r w:rsidR="00EA3970" w:rsidRPr="00F70C04">
        <w:t xml:space="preserve">2015 roku </w:t>
      </w:r>
      <w:r w:rsidRPr="00F70C04">
        <w:t xml:space="preserve">oraz procentowa zmiana indeksu WIG 20 w tym okresie. </w:t>
      </w:r>
    </w:p>
    <w:p w:rsidR="00F70C04" w:rsidRPr="00F70C04" w:rsidRDefault="00F70C04" w:rsidP="00F70C04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Zmiana (w %)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461,50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+89,1 %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+89,1 %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2 278,17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-6,8 %</w:t>
            </w:r>
          </w:p>
        </w:tc>
      </w:tr>
    </w:tbl>
    <w:p w:rsidR="00F70C04" w:rsidRPr="00F70C04" w:rsidRDefault="00F70C04" w:rsidP="00F70C04">
      <w:pPr>
        <w:spacing w:after="0" w:line="240" w:lineRule="auto"/>
        <w:jc w:val="both"/>
        <w:rPr>
          <w:rFonts w:eastAsiaTheme="minorEastAsia"/>
        </w:rPr>
      </w:pPr>
      <w:r w:rsidRPr="00F70C04">
        <w:t xml:space="preserve">Tabela: Procentowa zmiana ceny akcji spółki, której akcje zostały wymienione w szóstym numerze </w:t>
      </w:r>
      <w:proofErr w:type="gramStart"/>
      <w:r w:rsidRPr="00F70C04">
        <w:t>,,</w:t>
      </w:r>
      <w:proofErr w:type="gramEnd"/>
      <w:r w:rsidRPr="00F70C04">
        <w:t xml:space="preserve">Raportu Tygodniowego” z 20 października 2014 roku w rubryce ,,Wykres do przemyślenia” w okresie od 17 września </w:t>
      </w:r>
      <w:r w:rsidR="00EA3970">
        <w:t xml:space="preserve">do 3 lipca </w:t>
      </w:r>
      <w:r w:rsidR="00EA3970" w:rsidRPr="00F70C04">
        <w:t xml:space="preserve">2015 roku </w:t>
      </w:r>
      <w:r w:rsidRPr="00F70C04">
        <w:t xml:space="preserve">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Zmiana (w %)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Akcja spółki </w:t>
            </w:r>
            <w:proofErr w:type="spellStart"/>
            <w:r w:rsidRPr="00F70C04">
              <w:t>Tauron</w:t>
            </w:r>
            <w:proofErr w:type="spellEnd"/>
            <w:r w:rsidRPr="00F70C04">
              <w:t xml:space="preserve">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4,25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 -18,4 %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 xml:space="preserve">  -18,4 %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2 278,17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   -5,1 %</w:t>
            </w:r>
          </w:p>
        </w:tc>
      </w:tr>
    </w:tbl>
    <w:p w:rsidR="00F70C04" w:rsidRPr="00F70C04" w:rsidRDefault="00F70C04" w:rsidP="00F70C04">
      <w:pPr>
        <w:spacing w:after="0" w:line="240" w:lineRule="auto"/>
        <w:jc w:val="both"/>
        <w:rPr>
          <w:rFonts w:eastAsiaTheme="minorEastAsia"/>
        </w:rPr>
      </w:pPr>
      <w:r w:rsidRPr="00F70C04">
        <w:t xml:space="preserve">Tabela: Procentowa zmiana ceny akcji spółki, której akcje zostały umieszczone 22 października na stronie internetowej </w:t>
      </w:r>
      <w:hyperlink r:id="rId13" w:history="1">
        <w:r w:rsidRPr="00F70C04">
          <w:rPr>
            <w:color w:val="0000FF" w:themeColor="hyperlink"/>
            <w:u w:val="single"/>
          </w:rPr>
          <w:t>www.analizy-rynkowe.pl</w:t>
        </w:r>
      </w:hyperlink>
      <w:r w:rsidRPr="00F70C04">
        <w:t xml:space="preserve"> w </w:t>
      </w:r>
      <w:proofErr w:type="gramStart"/>
      <w:r w:rsidRPr="00F70C04">
        <w:t>rubryce  ,,Wykres</w:t>
      </w:r>
      <w:proofErr w:type="gramEnd"/>
      <w:r w:rsidRPr="00F70C04">
        <w:t xml:space="preserve"> do przemyślenia” w okresie od 21 października do 19 czerwca 2015 roku </w:t>
      </w:r>
      <w:r w:rsidR="00EA3970" w:rsidRPr="00F70C04">
        <w:t xml:space="preserve">do </w:t>
      </w:r>
      <w:r w:rsidR="00EA3970">
        <w:t xml:space="preserve">3 lipca </w:t>
      </w:r>
      <w:r w:rsidR="00EA3970" w:rsidRPr="00F70C04">
        <w:t xml:space="preserve">2015 roku </w:t>
      </w:r>
      <w:r w:rsidRPr="00F70C04">
        <w:t xml:space="preserve">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Zmiana (w %)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Akcja spółki </w:t>
            </w:r>
            <w:proofErr w:type="spellStart"/>
            <w:r w:rsidRPr="00F70C04">
              <w:t>Elektrotim</w:t>
            </w:r>
            <w:proofErr w:type="spellEnd"/>
            <w:r w:rsidRPr="00F70C04"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12,53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+ 44,0 %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F70C04"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F70C04">
              <w:rPr>
                <w:color w:val="000000" w:themeColor="text1"/>
              </w:rPr>
              <w:t xml:space="preserve">6,37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F70C04">
              <w:rPr>
                <w:color w:val="000000" w:themeColor="text1"/>
              </w:rPr>
              <w:t xml:space="preserve">   -8,1 %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 xml:space="preserve">   + 18,0 %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2 278,17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 -6,0 %</w:t>
            </w:r>
          </w:p>
        </w:tc>
      </w:tr>
    </w:tbl>
    <w:p w:rsidR="00F70C04" w:rsidRPr="00F70C04" w:rsidRDefault="00F70C04" w:rsidP="00F70C04">
      <w:pPr>
        <w:spacing w:after="0" w:line="240" w:lineRule="auto"/>
        <w:jc w:val="both"/>
        <w:rPr>
          <w:rFonts w:eastAsiaTheme="minorEastAsia"/>
        </w:rPr>
      </w:pPr>
    </w:p>
    <w:p w:rsidR="00F70C04" w:rsidRPr="00F70C04" w:rsidRDefault="00F70C04" w:rsidP="00F70C04">
      <w:pPr>
        <w:spacing w:after="0" w:line="240" w:lineRule="auto"/>
        <w:jc w:val="both"/>
      </w:pPr>
    </w:p>
    <w:p w:rsidR="00F70C04" w:rsidRDefault="00F70C04" w:rsidP="00F70C04">
      <w:pPr>
        <w:spacing w:after="0" w:line="240" w:lineRule="auto"/>
        <w:jc w:val="both"/>
      </w:pPr>
      <w:r w:rsidRPr="00F70C04">
        <w:lastRenderedPageBreak/>
        <w:t xml:space="preserve">Tabela: Procentowa zmiana ceny akcji spółki, której akcje zostały wymienione w siódmym numerze </w:t>
      </w:r>
      <w:proofErr w:type="gramStart"/>
      <w:r w:rsidRPr="00F70C04">
        <w:t>,,</w:t>
      </w:r>
      <w:proofErr w:type="gramEnd"/>
      <w:r w:rsidRPr="00F70C04">
        <w:t xml:space="preserve">Raportu Tygodniowego” z 27 października 2014 roku w rubryce ,,Wykres do przemyślenia” w okresie od 24 października 2014 roku </w:t>
      </w:r>
      <w:r w:rsidR="00EA3970" w:rsidRPr="00F70C04">
        <w:t xml:space="preserve">do </w:t>
      </w:r>
      <w:r w:rsidR="00EA3970">
        <w:t xml:space="preserve">3 lipca </w:t>
      </w:r>
      <w:r w:rsidR="00EA3970" w:rsidRPr="00F70C04">
        <w:t xml:space="preserve">2015 roku </w:t>
      </w:r>
      <w:r w:rsidRPr="00F70C04">
        <w:t xml:space="preserve">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Zmiana (w %)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Akcja spółki </w:t>
            </w:r>
            <w:proofErr w:type="spellStart"/>
            <w:r w:rsidRPr="00F70C04">
              <w:t>Tesgas</w:t>
            </w:r>
            <w:proofErr w:type="spellEnd"/>
            <w:r w:rsidRPr="00F70C04"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3,39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-21,5 %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 xml:space="preserve">  -21,5 %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2 278,17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 -6,1 %</w:t>
            </w:r>
          </w:p>
        </w:tc>
      </w:tr>
    </w:tbl>
    <w:p w:rsidR="008672BC" w:rsidRDefault="008672BC" w:rsidP="00F70C04">
      <w:pPr>
        <w:spacing w:after="0" w:line="240" w:lineRule="auto"/>
        <w:jc w:val="both"/>
      </w:pPr>
    </w:p>
    <w:p w:rsidR="00F70C04" w:rsidRDefault="00F70C04" w:rsidP="00F70C04">
      <w:pPr>
        <w:spacing w:after="0" w:line="240" w:lineRule="auto"/>
        <w:jc w:val="both"/>
      </w:pPr>
      <w:r w:rsidRPr="00F70C04">
        <w:t xml:space="preserve">Tabela: Procentowa zmiana ceny akcji spółki, której akcje zostały wymienione w numerze </w:t>
      </w:r>
      <w:proofErr w:type="gramStart"/>
      <w:r w:rsidRPr="00F70C04">
        <w:t>,,</w:t>
      </w:r>
      <w:proofErr w:type="gramEnd"/>
      <w:r w:rsidRPr="00F70C04">
        <w:t xml:space="preserve">Raportu Tygodniowego” z 3 listopada 2014 roku w rubryce ,,Wykres do przemyślenia” w okresie od 31 października 2014 roku </w:t>
      </w:r>
      <w:r w:rsidR="00EA3970" w:rsidRPr="00F70C04">
        <w:t xml:space="preserve">do </w:t>
      </w:r>
      <w:r w:rsidR="00EA3970">
        <w:t xml:space="preserve">3 lipca </w:t>
      </w:r>
      <w:r w:rsidR="00EA3970" w:rsidRPr="00F70C04">
        <w:t xml:space="preserve">2015 roku </w:t>
      </w:r>
      <w:r w:rsidRPr="00F70C04">
        <w:t xml:space="preserve">oraz procentowa zmiana indeksu WIG 20 w tym okresie. </w:t>
      </w:r>
    </w:p>
    <w:p w:rsidR="008672BC" w:rsidRPr="00F70C04" w:rsidRDefault="008672BC" w:rsidP="00F70C04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Zmiana (w %)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15,30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 -4,4 %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 xml:space="preserve">  -4,4 %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2 278,17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 -7,5 %</w:t>
            </w:r>
          </w:p>
        </w:tc>
      </w:tr>
    </w:tbl>
    <w:p w:rsidR="008672BC" w:rsidRDefault="008672BC" w:rsidP="00F70C04">
      <w:pPr>
        <w:spacing w:after="0" w:line="240" w:lineRule="auto"/>
        <w:jc w:val="both"/>
      </w:pPr>
    </w:p>
    <w:p w:rsidR="00F70C04" w:rsidRDefault="00F70C04" w:rsidP="00F70C04">
      <w:pPr>
        <w:spacing w:after="0" w:line="240" w:lineRule="auto"/>
        <w:jc w:val="both"/>
      </w:pPr>
      <w:r w:rsidRPr="00F70C04">
        <w:t xml:space="preserve">Tabela: Procentowa zmiana ceny akcji spółki, której akcje zostały wymienione w numerze </w:t>
      </w:r>
      <w:proofErr w:type="gramStart"/>
      <w:r w:rsidRPr="00F70C04">
        <w:t>,,</w:t>
      </w:r>
      <w:proofErr w:type="gramEnd"/>
      <w:r w:rsidRPr="00F70C04">
        <w:t xml:space="preserve">Raportu Tygodniowego” z 1 grudnia 2014 roku w rubryce ,,Wykres do przemyślenia” w okresie od 28 listopada 2014 roku </w:t>
      </w:r>
      <w:r w:rsidR="00EA3970" w:rsidRPr="00F70C04">
        <w:t xml:space="preserve">do </w:t>
      </w:r>
      <w:r w:rsidR="00EA3970">
        <w:t xml:space="preserve">3 lipca </w:t>
      </w:r>
      <w:r w:rsidR="00EA3970" w:rsidRPr="00F70C04">
        <w:t xml:space="preserve">2015 roku </w:t>
      </w:r>
      <w:r w:rsidRPr="00F70C04">
        <w:t xml:space="preserve">oraz procentowa zmiana indeksu WIG 20 w tym okresie. </w:t>
      </w:r>
    </w:p>
    <w:p w:rsidR="008672BC" w:rsidRPr="00F70C04" w:rsidRDefault="008672BC" w:rsidP="00F70C04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Zmiana (w %)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Akcja spółki </w:t>
            </w:r>
            <w:proofErr w:type="spellStart"/>
            <w:r w:rsidRPr="00F70C04"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2,26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+113,2 %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+113,2 %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2 278,17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-5,7 %</w:t>
            </w:r>
          </w:p>
        </w:tc>
      </w:tr>
    </w:tbl>
    <w:p w:rsidR="008672BC" w:rsidRDefault="008672BC" w:rsidP="00F70C04">
      <w:pPr>
        <w:spacing w:after="0" w:line="240" w:lineRule="auto"/>
        <w:jc w:val="both"/>
      </w:pPr>
    </w:p>
    <w:p w:rsidR="00F70C04" w:rsidRPr="00F70C04" w:rsidRDefault="00F70C04" w:rsidP="00F70C04">
      <w:pPr>
        <w:spacing w:after="0" w:line="240" w:lineRule="auto"/>
        <w:jc w:val="both"/>
        <w:rPr>
          <w:rFonts w:eastAsiaTheme="minorEastAsia"/>
        </w:rPr>
      </w:pPr>
      <w:r w:rsidRPr="00F70C04">
        <w:t xml:space="preserve">Tabela: Procentowa zmiana ceny akcji spółki, której akcje zostały umieszczone 2 grudnia na stronie internetowej </w:t>
      </w:r>
      <w:hyperlink r:id="rId14" w:history="1">
        <w:r w:rsidRPr="00F70C04">
          <w:rPr>
            <w:color w:val="0000FF" w:themeColor="hyperlink"/>
            <w:u w:val="single"/>
          </w:rPr>
          <w:t>www.analizy-rynkowe.pl</w:t>
        </w:r>
      </w:hyperlink>
      <w:r w:rsidRPr="00F70C04">
        <w:t xml:space="preserve"> w </w:t>
      </w:r>
      <w:proofErr w:type="gramStart"/>
      <w:r w:rsidRPr="00F70C04">
        <w:t>rubryce  ,,Wykres</w:t>
      </w:r>
      <w:proofErr w:type="gramEnd"/>
      <w:r w:rsidRPr="00F70C04">
        <w:t xml:space="preserve"> do przemyślenia” w okresie od 1 grudnia 2014 roku do 19 czerwca 2015 roku oraz </w:t>
      </w:r>
      <w:r w:rsidR="00EA3970" w:rsidRPr="00F70C04">
        <w:t xml:space="preserve">do </w:t>
      </w:r>
      <w:r w:rsidR="00EA3970">
        <w:t xml:space="preserve">3 lipca </w:t>
      </w:r>
      <w:r w:rsidR="00EA3970" w:rsidRPr="00F70C04">
        <w:t xml:space="preserve">2015 roku </w:t>
      </w:r>
      <w:r w:rsidRPr="00F70C04">
        <w:t xml:space="preserve">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Zmiana (w %)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30,00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-20,3 %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-20,3 %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2 278,17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 -5,7 %</w:t>
            </w:r>
          </w:p>
        </w:tc>
      </w:tr>
    </w:tbl>
    <w:p w:rsidR="008672BC" w:rsidRDefault="008672BC" w:rsidP="00F70C04">
      <w:pPr>
        <w:spacing w:after="0" w:line="240" w:lineRule="auto"/>
        <w:jc w:val="both"/>
      </w:pPr>
    </w:p>
    <w:p w:rsidR="00F70C04" w:rsidRDefault="00F70C04" w:rsidP="00F70C04">
      <w:pPr>
        <w:spacing w:after="0" w:line="240" w:lineRule="auto"/>
        <w:jc w:val="both"/>
      </w:pPr>
      <w:r w:rsidRPr="00F70C04">
        <w:t xml:space="preserve">Tabela: Procentowa zmiana ceny akcji spółki, której akcje zostały wymienione w numerze </w:t>
      </w:r>
      <w:proofErr w:type="gramStart"/>
      <w:r w:rsidRPr="00F70C04">
        <w:t>,,</w:t>
      </w:r>
      <w:proofErr w:type="gramEnd"/>
      <w:r w:rsidRPr="00F70C04">
        <w:t xml:space="preserve">Raportu Tygodniowego” z 15 grudnia 2014 roku w rubryce ,,Wykres do przemyślenia” w okresie od 12 grudnia 2014 roku do 19 czerwca 2015 roku </w:t>
      </w:r>
      <w:r w:rsidR="00EA3970" w:rsidRPr="00F70C04">
        <w:t xml:space="preserve">do </w:t>
      </w:r>
      <w:r w:rsidR="00EA3970">
        <w:t xml:space="preserve">3 lipca </w:t>
      </w:r>
      <w:r w:rsidR="00EA3970" w:rsidRPr="00F70C04">
        <w:t xml:space="preserve">2015 roku </w:t>
      </w:r>
      <w:r w:rsidR="00EA3970">
        <w:t xml:space="preserve">oraz </w:t>
      </w:r>
      <w:r w:rsidRPr="00F70C04">
        <w:t xml:space="preserve">procentowa zmiana indeksu WIG 20 w tym okresie. </w:t>
      </w:r>
    </w:p>
    <w:p w:rsidR="008672BC" w:rsidRPr="00F70C04" w:rsidRDefault="008672BC" w:rsidP="00F70C04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Zmiana (w %)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Akcja spółki </w:t>
            </w:r>
            <w:proofErr w:type="spellStart"/>
            <w:r w:rsidRPr="00F70C04">
              <w:t>Mercor</w:t>
            </w:r>
            <w:proofErr w:type="spellEnd"/>
            <w:r w:rsidRPr="00F70C04"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10,25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 +25,9 %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 xml:space="preserve">  +25,9 %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2 278,17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-  1,1 %</w:t>
            </w:r>
          </w:p>
        </w:tc>
      </w:tr>
    </w:tbl>
    <w:p w:rsidR="00F70C04" w:rsidRPr="00F70C04" w:rsidRDefault="00F70C04" w:rsidP="00F70C04">
      <w:pPr>
        <w:spacing w:after="0" w:line="240" w:lineRule="auto"/>
        <w:jc w:val="both"/>
        <w:rPr>
          <w:rFonts w:eastAsiaTheme="minorEastAsia"/>
        </w:rPr>
      </w:pPr>
      <w:r w:rsidRPr="00F70C04">
        <w:lastRenderedPageBreak/>
        <w:t xml:space="preserve">Tabela: Procentowa zmiana ceny akcji spółki, której akcje zostały umieszczone 2 stycznia 2015 roku </w:t>
      </w:r>
      <w:proofErr w:type="gramStart"/>
      <w:r w:rsidRPr="00F70C04">
        <w:t>na  stronie</w:t>
      </w:r>
      <w:proofErr w:type="gramEnd"/>
      <w:r w:rsidRPr="00F70C04">
        <w:t xml:space="preserve"> internetowej </w:t>
      </w:r>
      <w:hyperlink r:id="rId15" w:history="1">
        <w:r w:rsidRPr="00F70C04">
          <w:rPr>
            <w:color w:val="0000FF" w:themeColor="hyperlink"/>
            <w:u w:val="single"/>
          </w:rPr>
          <w:t>www.analizy-rynkowe.pl</w:t>
        </w:r>
      </w:hyperlink>
      <w:r w:rsidRPr="00F70C04">
        <w:t xml:space="preserve"> w </w:t>
      </w:r>
      <w:proofErr w:type="gramStart"/>
      <w:r w:rsidRPr="00F70C04">
        <w:t>rubryce  ,,Wykres</w:t>
      </w:r>
      <w:proofErr w:type="gramEnd"/>
      <w:r w:rsidRPr="00F70C04">
        <w:t xml:space="preserve"> do przemyślenia” w okresie od 1 grudnia do 19 czerwca 2015 roku </w:t>
      </w:r>
      <w:r w:rsidR="00EA3970" w:rsidRPr="00F70C04">
        <w:t xml:space="preserve">do </w:t>
      </w:r>
      <w:r w:rsidR="00EA3970">
        <w:t xml:space="preserve">3 lipca </w:t>
      </w:r>
      <w:r w:rsidR="00EA3970" w:rsidRPr="00F70C04">
        <w:t xml:space="preserve">2015 roku </w:t>
      </w:r>
      <w:r w:rsidR="00EA3970">
        <w:t xml:space="preserve">oraz </w:t>
      </w:r>
      <w:r w:rsidRPr="00F70C04">
        <w:t xml:space="preserve">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Zmiana (w %)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Akcja spółki </w:t>
            </w:r>
            <w:proofErr w:type="spellStart"/>
            <w:r w:rsidRPr="00F70C04"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132,45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+14,7 %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+14,7 %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2 278,17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 -1,6%</w:t>
            </w:r>
          </w:p>
        </w:tc>
      </w:tr>
    </w:tbl>
    <w:p w:rsidR="00F70C04" w:rsidRPr="00F70C04" w:rsidRDefault="00F70C04" w:rsidP="00F70C04">
      <w:pPr>
        <w:spacing w:after="0" w:line="240" w:lineRule="auto"/>
        <w:jc w:val="both"/>
        <w:rPr>
          <w:rFonts w:eastAsiaTheme="minorEastAsia"/>
        </w:rPr>
      </w:pPr>
      <w:r w:rsidRPr="00F70C04">
        <w:t xml:space="preserve">Tabela: Procentowa zmiana ceny akcji spółki, której akcje zostały umieszczone 12 stycznia 2015 roku </w:t>
      </w:r>
      <w:proofErr w:type="gramStart"/>
      <w:r w:rsidRPr="00F70C04">
        <w:t>na  stronie</w:t>
      </w:r>
      <w:proofErr w:type="gramEnd"/>
      <w:r w:rsidRPr="00F70C04">
        <w:t xml:space="preserve"> internetowej </w:t>
      </w:r>
      <w:hyperlink r:id="rId16" w:history="1">
        <w:r w:rsidRPr="00F70C04">
          <w:rPr>
            <w:color w:val="0000FF" w:themeColor="hyperlink"/>
            <w:u w:val="single"/>
          </w:rPr>
          <w:t>www.analizy-rynkowe.pl</w:t>
        </w:r>
      </w:hyperlink>
      <w:r w:rsidRPr="00F70C04">
        <w:t xml:space="preserve"> w </w:t>
      </w:r>
      <w:proofErr w:type="gramStart"/>
      <w:r w:rsidRPr="00F70C04">
        <w:t>rubryce  ,,Wykres</w:t>
      </w:r>
      <w:proofErr w:type="gramEnd"/>
      <w:r w:rsidRPr="00F70C04">
        <w:t xml:space="preserve"> do przemyślenia” w okresie od 9 stycznia </w:t>
      </w:r>
      <w:r w:rsidR="00EA3970" w:rsidRPr="00F70C04">
        <w:t xml:space="preserve">do </w:t>
      </w:r>
      <w:r w:rsidR="00EA3970">
        <w:t xml:space="preserve">3 lipca </w:t>
      </w:r>
      <w:r w:rsidR="00EA3970" w:rsidRPr="00F70C04">
        <w:t xml:space="preserve">2015 roku </w:t>
      </w:r>
      <w:r w:rsidRPr="00F70C04">
        <w:t xml:space="preserve">oraz procentowa zmiana indeksu WIG 20 w tym okresie. </w:t>
      </w:r>
    </w:p>
    <w:p w:rsidR="00F70C04" w:rsidRPr="00F70C04" w:rsidRDefault="00F70C04" w:rsidP="00F70C04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Zmiana (w %)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3,47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+3,9 %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+3,9 %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2 278,17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-5,7 %</w:t>
            </w:r>
          </w:p>
        </w:tc>
      </w:tr>
    </w:tbl>
    <w:p w:rsidR="00F70C04" w:rsidRPr="00F70C04" w:rsidRDefault="00F70C04" w:rsidP="00F70C04">
      <w:pPr>
        <w:spacing w:after="0" w:line="240" w:lineRule="auto"/>
        <w:jc w:val="both"/>
        <w:rPr>
          <w:rFonts w:eastAsiaTheme="minorEastAsia"/>
        </w:rPr>
      </w:pPr>
    </w:p>
    <w:p w:rsidR="00F70C04" w:rsidRPr="00F70C04" w:rsidRDefault="00F70C04" w:rsidP="00F70C04">
      <w:pPr>
        <w:spacing w:after="0" w:line="240" w:lineRule="auto"/>
        <w:jc w:val="both"/>
      </w:pPr>
      <w:r w:rsidRPr="00F70C04">
        <w:t xml:space="preserve">Tabela: Procentowa zmiana ceny akcji spółki, której akcje zostały umieszczone 30 stycznia 2015 roku </w:t>
      </w:r>
      <w:proofErr w:type="gramStart"/>
      <w:r w:rsidRPr="00F70C04">
        <w:t>na  stronie</w:t>
      </w:r>
      <w:proofErr w:type="gramEnd"/>
      <w:r w:rsidRPr="00F70C04">
        <w:t xml:space="preserve"> internetowej </w:t>
      </w:r>
      <w:hyperlink r:id="rId17" w:history="1">
        <w:r w:rsidRPr="00F70C04">
          <w:rPr>
            <w:color w:val="0000FF" w:themeColor="hyperlink"/>
            <w:u w:val="single"/>
          </w:rPr>
          <w:t>www.analizy-rynkowe.pl</w:t>
        </w:r>
      </w:hyperlink>
      <w:r w:rsidRPr="00F70C04">
        <w:t xml:space="preserve"> w </w:t>
      </w:r>
      <w:proofErr w:type="gramStart"/>
      <w:r w:rsidRPr="00F70C04">
        <w:t>rubryce  ,,Wykres</w:t>
      </w:r>
      <w:proofErr w:type="gramEnd"/>
      <w:r w:rsidRPr="00F70C04">
        <w:t xml:space="preserve"> do przemyślenia” w okresie od 29 stycznia do </w:t>
      </w:r>
      <w:r w:rsidR="00EA3970">
        <w:t xml:space="preserve">3 lipca </w:t>
      </w:r>
      <w:r w:rsidR="00EA3970" w:rsidRPr="00F70C04">
        <w:t xml:space="preserve">2015 roku </w:t>
      </w:r>
      <w:r w:rsidRPr="00F70C04">
        <w:t xml:space="preserve">oraz procentowa zmiana indeksu WIG 20 w tym okresie. </w:t>
      </w:r>
    </w:p>
    <w:p w:rsidR="00F70C04" w:rsidRPr="00F70C04" w:rsidRDefault="00F70C04" w:rsidP="00F70C04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Zmiana (w %)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1,09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-1,8 %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-1,8 %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2 278,17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-5,7 %</w:t>
            </w:r>
          </w:p>
        </w:tc>
      </w:tr>
    </w:tbl>
    <w:p w:rsidR="00F70C04" w:rsidRPr="00F70C04" w:rsidRDefault="00F70C04" w:rsidP="00F70C04">
      <w:pPr>
        <w:spacing w:after="0" w:line="240" w:lineRule="auto"/>
        <w:jc w:val="both"/>
        <w:rPr>
          <w:rFonts w:eastAsiaTheme="minorEastAsia"/>
          <w:b/>
          <w:u w:val="single"/>
        </w:rPr>
      </w:pPr>
    </w:p>
    <w:p w:rsidR="00F70C04" w:rsidRPr="00F70C04" w:rsidRDefault="00F70C04" w:rsidP="00F70C04">
      <w:pPr>
        <w:spacing w:after="0" w:line="240" w:lineRule="auto"/>
        <w:jc w:val="both"/>
      </w:pPr>
      <w:r w:rsidRPr="00F70C04">
        <w:t xml:space="preserve">Tabela: Procentowa zmiana ceny akcji spółki, której akcje zostały umieszczone 10 lutego 2015 roku </w:t>
      </w:r>
      <w:proofErr w:type="gramStart"/>
      <w:r w:rsidRPr="00F70C04">
        <w:t>na  stronie</w:t>
      </w:r>
      <w:proofErr w:type="gramEnd"/>
      <w:r w:rsidRPr="00F70C04">
        <w:t xml:space="preserve"> internetowej </w:t>
      </w:r>
      <w:hyperlink r:id="rId18" w:history="1">
        <w:r w:rsidRPr="00F70C04">
          <w:rPr>
            <w:color w:val="0000FF" w:themeColor="hyperlink"/>
            <w:u w:val="single"/>
          </w:rPr>
          <w:t>www.analizy-rynkowe.pl</w:t>
        </w:r>
      </w:hyperlink>
      <w:r w:rsidRPr="00F70C04">
        <w:t xml:space="preserve"> w </w:t>
      </w:r>
      <w:proofErr w:type="gramStart"/>
      <w:r w:rsidRPr="00F70C04">
        <w:t>rubryce  ,,Wykres</w:t>
      </w:r>
      <w:proofErr w:type="gramEnd"/>
      <w:r w:rsidRPr="00F70C04">
        <w:t xml:space="preserve"> do przemyślenia” w okresie od 9 lutego </w:t>
      </w:r>
      <w:r w:rsidR="008672BC" w:rsidRPr="00F70C04">
        <w:t xml:space="preserve">do </w:t>
      </w:r>
      <w:r w:rsidR="008672BC">
        <w:t xml:space="preserve">3 lipca </w:t>
      </w:r>
      <w:r w:rsidR="008672BC" w:rsidRPr="00F70C04">
        <w:t xml:space="preserve">2015 roku </w:t>
      </w:r>
      <w:r w:rsidRPr="00F70C04">
        <w:t xml:space="preserve">oraz procentowa zmiana indeksu WIG 20 w tym okresie. </w:t>
      </w:r>
    </w:p>
    <w:p w:rsidR="00F70C04" w:rsidRPr="00F70C04" w:rsidRDefault="00F70C04" w:rsidP="00F70C04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Zmiana (w %)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Akcja spółki </w:t>
            </w:r>
            <w:proofErr w:type="spellStart"/>
            <w:r w:rsidRPr="00F70C04"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5,93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+31,8 %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+31,8 %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2 278,17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-2,6 %</w:t>
            </w:r>
          </w:p>
        </w:tc>
      </w:tr>
    </w:tbl>
    <w:p w:rsidR="00F70C04" w:rsidRPr="00F70C04" w:rsidRDefault="00F70C04" w:rsidP="00F70C04">
      <w:pPr>
        <w:spacing w:after="0" w:line="240" w:lineRule="auto"/>
        <w:jc w:val="both"/>
        <w:rPr>
          <w:rFonts w:eastAsiaTheme="minorEastAsia"/>
          <w:b/>
        </w:rPr>
      </w:pPr>
    </w:p>
    <w:p w:rsidR="00F70C04" w:rsidRPr="00F70C04" w:rsidRDefault="00F70C04" w:rsidP="00F70C04">
      <w:pPr>
        <w:spacing w:after="0" w:line="240" w:lineRule="auto"/>
        <w:jc w:val="both"/>
      </w:pPr>
      <w:r w:rsidRPr="00F70C04">
        <w:t xml:space="preserve">Tabela: Procentowa zmiana ceny akcji spółki, której akcje zostały umieszczone 3 marca 2015 roku </w:t>
      </w:r>
      <w:proofErr w:type="gramStart"/>
      <w:r w:rsidRPr="00F70C04">
        <w:t>na  stronie</w:t>
      </w:r>
      <w:proofErr w:type="gramEnd"/>
      <w:r w:rsidRPr="00F70C04">
        <w:t xml:space="preserve"> internetowej </w:t>
      </w:r>
      <w:hyperlink r:id="rId19" w:history="1">
        <w:r w:rsidRPr="00F70C04">
          <w:rPr>
            <w:color w:val="0000FF" w:themeColor="hyperlink"/>
            <w:u w:val="single"/>
          </w:rPr>
          <w:t>www.analizy-rynkowe.pl</w:t>
        </w:r>
      </w:hyperlink>
      <w:r w:rsidRPr="00F70C04">
        <w:t xml:space="preserve"> w </w:t>
      </w:r>
      <w:proofErr w:type="gramStart"/>
      <w:r w:rsidRPr="00F70C04">
        <w:t>rubryce  ,,Wykres</w:t>
      </w:r>
      <w:proofErr w:type="gramEnd"/>
      <w:r w:rsidRPr="00F70C04">
        <w:t xml:space="preserve"> do przemy</w:t>
      </w:r>
      <w:r w:rsidR="008672BC">
        <w:t>ślenia” w okresie od 2 marca do</w:t>
      </w:r>
      <w:r w:rsidR="008672BC" w:rsidRPr="00F70C04">
        <w:t xml:space="preserve"> </w:t>
      </w:r>
      <w:r w:rsidR="008672BC">
        <w:t xml:space="preserve">3 lipca </w:t>
      </w:r>
      <w:r w:rsidR="008672BC" w:rsidRPr="00F70C04">
        <w:t xml:space="preserve">2015 roku </w:t>
      </w:r>
      <w:r w:rsidRPr="00F70C04">
        <w:t xml:space="preserve">oraz procentowa zmiana indeksu WIG 20 w tym okresie. </w:t>
      </w:r>
    </w:p>
    <w:p w:rsidR="00F70C04" w:rsidRPr="00F70C04" w:rsidRDefault="00F70C04" w:rsidP="00F70C04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Zmiana (w %)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10,29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+35,9 %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+35,9 %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2 278,17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-3,4 %</w:t>
            </w:r>
          </w:p>
        </w:tc>
      </w:tr>
    </w:tbl>
    <w:p w:rsidR="00F70C04" w:rsidRPr="00F70C04" w:rsidRDefault="00F70C04" w:rsidP="00F70C04">
      <w:pPr>
        <w:spacing w:after="0" w:line="240" w:lineRule="auto"/>
        <w:jc w:val="both"/>
        <w:rPr>
          <w:rFonts w:eastAsiaTheme="minorEastAsia"/>
          <w:b/>
        </w:rPr>
      </w:pPr>
    </w:p>
    <w:p w:rsidR="00F70C04" w:rsidRPr="00F70C04" w:rsidRDefault="00F70C04" w:rsidP="00F70C04">
      <w:pPr>
        <w:spacing w:after="0" w:line="240" w:lineRule="auto"/>
        <w:jc w:val="both"/>
      </w:pPr>
      <w:r w:rsidRPr="00F70C04">
        <w:lastRenderedPageBreak/>
        <w:t xml:space="preserve">Tabela: Procentowa zmiana ceny akcji spółki, której akcje zostały umieszczone 9 kwietnia 2015 roku </w:t>
      </w:r>
      <w:proofErr w:type="gramStart"/>
      <w:r w:rsidRPr="00F70C04">
        <w:t>na  stronie</w:t>
      </w:r>
      <w:proofErr w:type="gramEnd"/>
      <w:r w:rsidRPr="00F70C04">
        <w:t xml:space="preserve"> internetowej </w:t>
      </w:r>
      <w:hyperlink r:id="rId20" w:history="1">
        <w:r w:rsidRPr="00F70C04">
          <w:rPr>
            <w:color w:val="0000FF" w:themeColor="hyperlink"/>
            <w:u w:val="single"/>
          </w:rPr>
          <w:t>www.analizy-rynkowe.pl</w:t>
        </w:r>
      </w:hyperlink>
      <w:r w:rsidRPr="00F70C04">
        <w:t xml:space="preserve"> w </w:t>
      </w:r>
      <w:proofErr w:type="gramStart"/>
      <w:r w:rsidRPr="00F70C04">
        <w:t>rubryce  ,,Wykres</w:t>
      </w:r>
      <w:proofErr w:type="gramEnd"/>
      <w:r w:rsidRPr="00F70C04">
        <w:t xml:space="preserve"> do przemyślenia” w okresie od 8 do </w:t>
      </w:r>
      <w:r w:rsidR="008672BC">
        <w:t xml:space="preserve">3 lipca </w:t>
      </w:r>
      <w:r w:rsidR="008672BC" w:rsidRPr="00F70C04">
        <w:t xml:space="preserve">2015 roku </w:t>
      </w:r>
      <w:r w:rsidRPr="00F70C04">
        <w:t xml:space="preserve">oraz procentowa zmiana indeksu WIG 20 w tym okresie. </w:t>
      </w:r>
    </w:p>
    <w:p w:rsidR="00F70C04" w:rsidRPr="00F70C04" w:rsidRDefault="00F70C04" w:rsidP="00F70C04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08.04.2015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Zmiana (w %)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Akcja spółki Ceramika Nowa Gala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1,25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1,32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+ 5,6 %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+ 5,6 %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2 278,17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-6,0%</w:t>
            </w:r>
          </w:p>
        </w:tc>
      </w:tr>
    </w:tbl>
    <w:p w:rsidR="00F70C04" w:rsidRPr="00F70C04" w:rsidRDefault="00F70C04" w:rsidP="00F70C04">
      <w:pPr>
        <w:spacing w:after="0" w:line="240" w:lineRule="auto"/>
        <w:jc w:val="both"/>
        <w:rPr>
          <w:rFonts w:eastAsiaTheme="minorEastAsia"/>
          <w:sz w:val="34"/>
          <w:szCs w:val="34"/>
        </w:rPr>
      </w:pPr>
    </w:p>
    <w:p w:rsidR="00F70C04" w:rsidRPr="00F70C04" w:rsidRDefault="00F70C04" w:rsidP="00F70C04">
      <w:pPr>
        <w:spacing w:after="0" w:line="240" w:lineRule="auto"/>
        <w:jc w:val="both"/>
      </w:pPr>
      <w:r w:rsidRPr="00F70C04">
        <w:t xml:space="preserve">Tabela: Procentowa zmiana ceny akcji spółki, której akcje zostały umieszczone 5 maja 2015 roku </w:t>
      </w:r>
      <w:proofErr w:type="gramStart"/>
      <w:r w:rsidRPr="00F70C04">
        <w:t>na  stronie</w:t>
      </w:r>
      <w:proofErr w:type="gramEnd"/>
      <w:r w:rsidRPr="00F70C04">
        <w:t xml:space="preserve"> internetowej </w:t>
      </w:r>
      <w:hyperlink r:id="rId21" w:history="1">
        <w:r w:rsidRPr="00F70C04">
          <w:rPr>
            <w:color w:val="0000FF" w:themeColor="hyperlink"/>
            <w:u w:val="single"/>
          </w:rPr>
          <w:t>www.analizy-rynkowe.pl</w:t>
        </w:r>
      </w:hyperlink>
      <w:r w:rsidRPr="00F70C04">
        <w:t xml:space="preserve"> w </w:t>
      </w:r>
      <w:proofErr w:type="gramStart"/>
      <w:r w:rsidRPr="00F70C04">
        <w:t>rubryce  ,,Wykres</w:t>
      </w:r>
      <w:proofErr w:type="gramEnd"/>
      <w:r w:rsidRPr="00F70C04">
        <w:t xml:space="preserve"> do </w:t>
      </w:r>
      <w:r w:rsidR="008672BC">
        <w:t>przemyślenia” w okresie od 4 do</w:t>
      </w:r>
      <w:r w:rsidR="008672BC" w:rsidRPr="00F70C04">
        <w:t xml:space="preserve"> </w:t>
      </w:r>
      <w:r w:rsidR="008672BC">
        <w:t xml:space="preserve">3 lipca </w:t>
      </w:r>
      <w:r w:rsidR="008672BC" w:rsidRPr="00F70C04">
        <w:t xml:space="preserve">2015 roku </w:t>
      </w:r>
      <w:r w:rsidRPr="00F70C04">
        <w:t xml:space="preserve">oraz procentowa zmiana indeksu WIG 20 w tym okresie. </w:t>
      </w:r>
    </w:p>
    <w:p w:rsidR="00F70C04" w:rsidRPr="00F70C04" w:rsidRDefault="00F70C04" w:rsidP="00F70C04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04.05.2015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Zmiana (w %)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Akcja spółki Polnord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11,10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9,50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-14,4 %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-14,4 %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2 278,17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-9,7 %</w:t>
            </w:r>
          </w:p>
        </w:tc>
      </w:tr>
    </w:tbl>
    <w:p w:rsidR="00F70C04" w:rsidRPr="00F70C04" w:rsidRDefault="00F70C04" w:rsidP="00F70C04">
      <w:pPr>
        <w:spacing w:after="0" w:line="240" w:lineRule="auto"/>
        <w:jc w:val="both"/>
      </w:pPr>
    </w:p>
    <w:p w:rsidR="00F70C04" w:rsidRPr="00F70C04" w:rsidRDefault="00F70C04" w:rsidP="00F70C04">
      <w:pPr>
        <w:spacing w:after="0" w:line="240" w:lineRule="auto"/>
        <w:jc w:val="both"/>
      </w:pPr>
      <w:r w:rsidRPr="00F70C04">
        <w:t xml:space="preserve">Tabela: Procentowa zmiana cen akcji trzech spółek, których akcje zostały umieszczone w dniu 1 lipca na stronie internetowej </w:t>
      </w:r>
      <w:hyperlink r:id="rId22" w:history="1">
        <w:r w:rsidRPr="00F70C04">
          <w:rPr>
            <w:color w:val="0000FF" w:themeColor="hyperlink"/>
            <w:u w:val="single"/>
          </w:rPr>
          <w:t>http://analizy-rynkowe.pl/</w:t>
        </w:r>
      </w:hyperlink>
      <w:r w:rsidRPr="00F70C04">
        <w:t xml:space="preserve"> w rubryce </w:t>
      </w:r>
      <w:proofErr w:type="gramStart"/>
      <w:r w:rsidRPr="00F70C04">
        <w:t>,,</w:t>
      </w:r>
      <w:proofErr w:type="gramEnd"/>
      <w:r w:rsidRPr="00F70C04">
        <w:t xml:space="preserve">Wykres do przemyślenia” w okresie od 30 czerwca 2015 roku do 3 lipca oraz procentowa zmiana indeksu WIG 20 w tym okresie. </w:t>
      </w:r>
    </w:p>
    <w:p w:rsidR="00F70C04" w:rsidRPr="00F70C04" w:rsidRDefault="00F70C04" w:rsidP="00F70C04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30.06.2015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Poziom – 03.07.2015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Zmiana (w %)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Akcja spółki TIM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9,49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9,38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-1,2 %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Akcja </w:t>
            </w:r>
            <w:proofErr w:type="gramStart"/>
            <w:r w:rsidRPr="00F70C04">
              <w:t xml:space="preserve">spółki  </w:t>
            </w:r>
            <w:proofErr w:type="spellStart"/>
            <w:r w:rsidRPr="00F70C04">
              <w:t>Unima</w:t>
            </w:r>
            <w:proofErr w:type="spellEnd"/>
            <w:proofErr w:type="gramEnd"/>
            <w:r w:rsidRPr="00F70C04">
              <w:t xml:space="preserve"> 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2,58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2,64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 2,3 %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Akcja spółki </w:t>
            </w:r>
            <w:proofErr w:type="spellStart"/>
            <w:r w:rsidRPr="00F70C04">
              <w:t>Variant</w:t>
            </w:r>
            <w:proofErr w:type="spellEnd"/>
            <w:r w:rsidRPr="00F70C04"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1,77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1,71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-3,4 %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70C04">
              <w:rPr>
                <w:b/>
                <w:color w:val="FF0000"/>
              </w:rPr>
              <w:t xml:space="preserve"> -0,7 %</w:t>
            </w:r>
          </w:p>
        </w:tc>
      </w:tr>
      <w:tr w:rsidR="00F70C04" w:rsidRPr="00F70C04" w:rsidTr="00EA3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>2 278,17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04" w:rsidRPr="00F70C04" w:rsidRDefault="00F70C04" w:rsidP="00F70C04">
            <w:pPr>
              <w:jc w:val="center"/>
              <w:rPr>
                <w:rFonts w:eastAsiaTheme="minorEastAsia"/>
              </w:rPr>
            </w:pPr>
            <w:r w:rsidRPr="00F70C04">
              <w:t xml:space="preserve">  -1,7 %</w:t>
            </w:r>
          </w:p>
        </w:tc>
      </w:tr>
    </w:tbl>
    <w:p w:rsidR="00F70C04" w:rsidRPr="00F70C04" w:rsidRDefault="00F70C04" w:rsidP="00F70C04">
      <w:pPr>
        <w:spacing w:after="0" w:line="240" w:lineRule="auto"/>
        <w:jc w:val="both"/>
      </w:pPr>
    </w:p>
    <w:p w:rsidR="00F70C04" w:rsidRPr="00F70C04" w:rsidRDefault="00F70C04" w:rsidP="00F70C04">
      <w:pPr>
        <w:spacing w:after="0" w:line="240" w:lineRule="auto"/>
        <w:jc w:val="both"/>
        <w:rPr>
          <w:sz w:val="56"/>
          <w:szCs w:val="56"/>
          <w:u w:val="single"/>
        </w:rPr>
      </w:pPr>
      <w:r w:rsidRPr="00F70C04">
        <w:rPr>
          <w:sz w:val="56"/>
          <w:szCs w:val="56"/>
          <w:u w:val="single"/>
        </w:rPr>
        <w:t xml:space="preserve">Wniosek </w:t>
      </w:r>
    </w:p>
    <w:p w:rsidR="00F70C04" w:rsidRPr="00F70C04" w:rsidRDefault="00F70C04" w:rsidP="00F70C04">
      <w:pPr>
        <w:spacing w:after="0" w:line="240" w:lineRule="auto"/>
        <w:jc w:val="both"/>
        <w:rPr>
          <w:sz w:val="56"/>
          <w:szCs w:val="56"/>
        </w:rPr>
      </w:pPr>
    </w:p>
    <w:p w:rsidR="00F70C04" w:rsidRPr="008672BC" w:rsidRDefault="00F70C04" w:rsidP="00F70C04">
      <w:pPr>
        <w:spacing w:after="0" w:line="240" w:lineRule="auto"/>
        <w:jc w:val="both"/>
        <w:rPr>
          <w:b/>
          <w:sz w:val="36"/>
          <w:szCs w:val="36"/>
          <w:u w:val="single"/>
        </w:rPr>
      </w:pPr>
      <w:r w:rsidRPr="008672BC">
        <w:rPr>
          <w:sz w:val="36"/>
          <w:szCs w:val="36"/>
        </w:rPr>
        <w:t xml:space="preserve">Warto zauważyć, że </w:t>
      </w:r>
      <w:r w:rsidRPr="008672BC">
        <w:rPr>
          <w:b/>
          <w:color w:val="FF0000"/>
          <w:sz w:val="36"/>
          <w:szCs w:val="36"/>
        </w:rPr>
        <w:t>spośród</w:t>
      </w:r>
      <w:r w:rsidRPr="008672BC">
        <w:rPr>
          <w:b/>
          <w:sz w:val="36"/>
          <w:szCs w:val="36"/>
        </w:rPr>
        <w:t xml:space="preserve"> </w:t>
      </w:r>
      <w:r w:rsidRPr="008672BC">
        <w:rPr>
          <w:b/>
          <w:color w:val="FF0000"/>
          <w:sz w:val="36"/>
          <w:szCs w:val="36"/>
        </w:rPr>
        <w:t>30 spółek</w:t>
      </w:r>
      <w:r w:rsidRPr="008672BC">
        <w:rPr>
          <w:b/>
          <w:sz w:val="36"/>
          <w:szCs w:val="36"/>
        </w:rPr>
        <w:t xml:space="preserve">, których akcje zakwalifikowane zostały do rubryki </w:t>
      </w:r>
      <w:proofErr w:type="gramStart"/>
      <w:r w:rsidRPr="008672BC">
        <w:rPr>
          <w:b/>
          <w:sz w:val="36"/>
          <w:szCs w:val="36"/>
        </w:rPr>
        <w:t>,,</w:t>
      </w:r>
      <w:proofErr w:type="gramEnd"/>
      <w:r w:rsidRPr="008672BC">
        <w:rPr>
          <w:b/>
          <w:sz w:val="36"/>
          <w:szCs w:val="36"/>
        </w:rPr>
        <w:t>Wykres do przemyślenia”</w:t>
      </w:r>
      <w:r w:rsidRPr="008672BC">
        <w:rPr>
          <w:sz w:val="36"/>
          <w:szCs w:val="36"/>
        </w:rPr>
        <w:t xml:space="preserve"> (gdyż wybiły się już z formacji podwójnego dna) </w:t>
      </w:r>
      <w:r w:rsidRPr="008672BC">
        <w:rPr>
          <w:b/>
          <w:sz w:val="36"/>
          <w:szCs w:val="36"/>
        </w:rPr>
        <w:t xml:space="preserve">kursy akcji </w:t>
      </w:r>
      <w:r w:rsidRPr="008672BC">
        <w:rPr>
          <w:b/>
          <w:color w:val="FF0000"/>
          <w:sz w:val="36"/>
          <w:szCs w:val="36"/>
        </w:rPr>
        <w:t>22 spółek</w:t>
      </w:r>
      <w:r w:rsidRPr="008672BC">
        <w:rPr>
          <w:sz w:val="36"/>
          <w:szCs w:val="36"/>
        </w:rPr>
        <w:t xml:space="preserve"> od momentu owego zakwalifikowania do tej rubryki do dnia 3 lipca 2015 roku zachowywały się </w:t>
      </w:r>
      <w:r w:rsidRPr="008672BC">
        <w:rPr>
          <w:b/>
          <w:color w:val="FF0000"/>
          <w:sz w:val="36"/>
          <w:szCs w:val="36"/>
          <w:u w:val="single"/>
        </w:rPr>
        <w:t>lepiej</w:t>
      </w:r>
      <w:r w:rsidRPr="008672BC">
        <w:rPr>
          <w:b/>
          <w:color w:val="FF0000"/>
          <w:sz w:val="36"/>
          <w:szCs w:val="36"/>
        </w:rPr>
        <w:t xml:space="preserve"> od indeksu WIG20</w:t>
      </w:r>
      <w:r w:rsidRPr="008672BC">
        <w:rPr>
          <w:b/>
          <w:sz w:val="36"/>
          <w:szCs w:val="36"/>
        </w:rPr>
        <w:t xml:space="preserve"> a 8 </w:t>
      </w:r>
      <w:r w:rsidRPr="008672BC">
        <w:rPr>
          <w:b/>
          <w:sz w:val="36"/>
          <w:szCs w:val="36"/>
          <w:u w:val="single"/>
        </w:rPr>
        <w:t xml:space="preserve">gorzej </w:t>
      </w:r>
      <w:r w:rsidRPr="008672BC">
        <w:rPr>
          <w:b/>
          <w:sz w:val="36"/>
          <w:szCs w:val="36"/>
        </w:rPr>
        <w:t>od indeksu WIG20.</w:t>
      </w:r>
      <w:r w:rsidRPr="008672BC">
        <w:rPr>
          <w:b/>
          <w:sz w:val="36"/>
          <w:szCs w:val="36"/>
          <w:u w:val="single"/>
        </w:rPr>
        <w:t xml:space="preserve"> </w:t>
      </w:r>
    </w:p>
    <w:p w:rsidR="00F70C04" w:rsidRPr="008672BC" w:rsidRDefault="00F70C04" w:rsidP="00F70C04">
      <w:pPr>
        <w:spacing w:after="0" w:line="240" w:lineRule="auto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0C04" w:rsidRPr="00F70C04" w:rsidRDefault="00F70C04" w:rsidP="00F70C04">
      <w:pPr>
        <w:spacing w:after="0" w:line="240" w:lineRule="auto"/>
        <w:jc w:val="both"/>
        <w:rPr>
          <w:b/>
        </w:rPr>
      </w:pPr>
      <w:r w:rsidRPr="00F70C04">
        <w:rPr>
          <w:b/>
        </w:rPr>
        <w:lastRenderedPageBreak/>
        <w:t>Wnioski końcowe</w:t>
      </w:r>
    </w:p>
    <w:p w:rsidR="00F70C04" w:rsidRPr="00F70C04" w:rsidRDefault="00F70C04" w:rsidP="00F70C04">
      <w:pPr>
        <w:spacing w:after="0" w:line="240" w:lineRule="auto"/>
        <w:jc w:val="both"/>
      </w:pPr>
    </w:p>
    <w:p w:rsidR="00F70C04" w:rsidRPr="00F70C04" w:rsidRDefault="00F70C04" w:rsidP="00F70C04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F70C04">
        <w:rPr>
          <w:b/>
          <w:color w:val="000000" w:themeColor="text1"/>
        </w:rPr>
        <w:t>Kurs dolara amerykańskiego (w złotych)</w:t>
      </w:r>
      <w:r w:rsidRPr="00F70C04">
        <w:rPr>
          <w:color w:val="000000" w:themeColor="text1"/>
        </w:rPr>
        <w:t xml:space="preserve"> spadł poniżej bardzo ważnego oporu na poziomie 3,9130 zł. </w:t>
      </w:r>
      <w:proofErr w:type="gramStart"/>
      <w:r w:rsidRPr="00F70C04">
        <w:rPr>
          <w:color w:val="000000" w:themeColor="text1"/>
        </w:rPr>
        <w:t>z</w:t>
      </w:r>
      <w:proofErr w:type="gramEnd"/>
      <w:r w:rsidRPr="00F70C04">
        <w:rPr>
          <w:color w:val="000000" w:themeColor="text1"/>
        </w:rPr>
        <w:t xml:space="preserve"> lutego 2009 roku. W tej sytuacji można oczekiwać rozpoczęcia się fali spadków w kierunku linii trendu wzrostowego poprowadzonej przez dołki z lipca 2008 roku oraz czerwca 2014 roku, która aktualnie przebiega na poziomie </w:t>
      </w:r>
      <w:r w:rsidRPr="00F70C04">
        <w:rPr>
          <w:b/>
          <w:color w:val="FF0000"/>
        </w:rPr>
        <w:t>3,10</w:t>
      </w:r>
      <w:r w:rsidRPr="00F70C04">
        <w:rPr>
          <w:color w:val="000000" w:themeColor="text1"/>
        </w:rPr>
        <w:t xml:space="preserve">. Osłabienie kursu dolara amerykańskiego (w złotych) może być związane z napływem kapitału zagranicznego na polski rynek akcji, czemu towarzyszyć może także osłabienie kursów innych walut zagranicznych (w tym jena japońskiego złotych). Mark </w:t>
      </w:r>
      <w:proofErr w:type="spellStart"/>
      <w:r w:rsidRPr="00F70C04">
        <w:rPr>
          <w:color w:val="000000" w:themeColor="text1"/>
        </w:rPr>
        <w:t>Mobius</w:t>
      </w:r>
      <w:proofErr w:type="spellEnd"/>
      <w:r w:rsidRPr="00F70C04">
        <w:rPr>
          <w:color w:val="000000" w:themeColor="text1"/>
        </w:rPr>
        <w:t xml:space="preserve">, szef </w:t>
      </w:r>
      <w:proofErr w:type="spellStart"/>
      <w:r w:rsidRPr="00F70C04">
        <w:rPr>
          <w:color w:val="000000" w:themeColor="text1"/>
        </w:rPr>
        <w:t>Templeton</w:t>
      </w:r>
      <w:proofErr w:type="spellEnd"/>
      <w:r w:rsidRPr="00F70C04">
        <w:rPr>
          <w:color w:val="000000" w:themeColor="text1"/>
        </w:rPr>
        <w:t xml:space="preserve"> </w:t>
      </w:r>
      <w:proofErr w:type="spellStart"/>
      <w:r w:rsidRPr="00F70C04">
        <w:rPr>
          <w:color w:val="000000" w:themeColor="text1"/>
        </w:rPr>
        <w:t>Emerging</w:t>
      </w:r>
      <w:proofErr w:type="spellEnd"/>
      <w:r w:rsidRPr="00F70C04">
        <w:rPr>
          <w:color w:val="000000" w:themeColor="text1"/>
        </w:rPr>
        <w:t xml:space="preserve"> </w:t>
      </w:r>
      <w:proofErr w:type="spellStart"/>
      <w:r w:rsidRPr="00F70C04">
        <w:rPr>
          <w:color w:val="000000" w:themeColor="text1"/>
        </w:rPr>
        <w:t>Markets</w:t>
      </w:r>
      <w:proofErr w:type="spellEnd"/>
      <w:r w:rsidRPr="00F70C04">
        <w:rPr>
          <w:color w:val="000000" w:themeColor="text1"/>
        </w:rPr>
        <w:t xml:space="preserve"> </w:t>
      </w:r>
      <w:proofErr w:type="spellStart"/>
      <w:r w:rsidRPr="00F70C04">
        <w:rPr>
          <w:color w:val="000000" w:themeColor="text1"/>
        </w:rPr>
        <w:t>Group</w:t>
      </w:r>
      <w:proofErr w:type="spellEnd"/>
      <w:r w:rsidRPr="00F70C04">
        <w:rPr>
          <w:color w:val="000000" w:themeColor="text1"/>
        </w:rPr>
        <w:t xml:space="preserve"> powiedział niedawno: </w:t>
      </w:r>
      <w:proofErr w:type="gramStart"/>
      <w:r w:rsidRPr="00F70C04">
        <w:rPr>
          <w:color w:val="000000" w:themeColor="text1"/>
        </w:rPr>
        <w:t>,,</w:t>
      </w:r>
      <w:proofErr w:type="gramEnd"/>
      <w:r w:rsidRPr="00F70C04">
        <w:rPr>
          <w:b/>
          <w:color w:val="000000" w:themeColor="text1"/>
        </w:rPr>
        <w:t>nadszedł czas, aby inwestorzy zaczęli przenosić się z drogiego amerykańskiego rynku akcji na rynki akcji gospodarek wschodzących</w:t>
      </w:r>
      <w:r w:rsidRPr="00F70C04">
        <w:rPr>
          <w:color w:val="000000" w:themeColor="text1"/>
        </w:rPr>
        <w:t>”</w:t>
      </w:r>
    </w:p>
    <w:p w:rsidR="00F70C04" w:rsidRPr="00F70C04" w:rsidRDefault="00F70C04" w:rsidP="00F70C04">
      <w:pPr>
        <w:spacing w:after="0" w:line="240" w:lineRule="auto"/>
        <w:jc w:val="both"/>
        <w:rPr>
          <w:color w:val="000000" w:themeColor="text1"/>
        </w:rPr>
      </w:pPr>
    </w:p>
    <w:p w:rsidR="00F70C04" w:rsidRPr="00F70C04" w:rsidRDefault="00F70C04" w:rsidP="00F70C04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F70C04">
        <w:rPr>
          <w:color w:val="000000" w:themeColor="text1"/>
        </w:rPr>
        <w:t xml:space="preserve">W przypadku </w:t>
      </w:r>
      <w:r w:rsidRPr="00F70C04">
        <w:rPr>
          <w:b/>
          <w:color w:val="000000" w:themeColor="text1"/>
        </w:rPr>
        <w:t>kursu euro (w złotych)</w:t>
      </w:r>
      <w:r w:rsidRPr="00F70C04">
        <w:rPr>
          <w:color w:val="000000" w:themeColor="text1"/>
        </w:rPr>
        <w:t xml:space="preserve"> aktywność strony podażowej doprowadziła w pewnym momencie do przebicia od góry spadkowej linii trendu poprowadzonej przez szczyty z lutego 2009 roku oraz grudnia 2011 roku. Później jednak doszło do spadków. Obecnie ważnym wsparciem jest poziom </w:t>
      </w:r>
      <w:r w:rsidRPr="00F70C04">
        <w:rPr>
          <w:b/>
          <w:color w:val="FF0000"/>
        </w:rPr>
        <w:t>3,8932 zł</w:t>
      </w:r>
      <w:r w:rsidRPr="00F70C04">
        <w:rPr>
          <w:color w:val="FF0000"/>
        </w:rPr>
        <w:t xml:space="preserve"> </w:t>
      </w:r>
      <w:r w:rsidRPr="00F70C04">
        <w:rPr>
          <w:color w:val="000000" w:themeColor="text1"/>
        </w:rPr>
        <w:t>(dołek z maja 2011 roku). Ruch w kierunku tego wsparcia może się zacząć, gdyż szykuje się nad poprawa sytuacji na polskim rynku akcji, czemu może powinien towarzyszyć napływ kapitału zagranicznego.</w:t>
      </w:r>
    </w:p>
    <w:p w:rsidR="00F70C04" w:rsidRPr="00F70C04" w:rsidRDefault="00F70C04" w:rsidP="00F70C04">
      <w:pPr>
        <w:spacing w:after="0" w:line="240" w:lineRule="auto"/>
        <w:ind w:left="720"/>
        <w:jc w:val="both"/>
        <w:rPr>
          <w:color w:val="000000" w:themeColor="text1"/>
        </w:rPr>
      </w:pPr>
      <w:r w:rsidRPr="00F70C04">
        <w:rPr>
          <w:color w:val="000000" w:themeColor="text1"/>
        </w:rPr>
        <w:t xml:space="preserve"> </w:t>
      </w:r>
    </w:p>
    <w:p w:rsidR="00F70C04" w:rsidRPr="00F70C04" w:rsidRDefault="00F70C04" w:rsidP="00F70C04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F70C04">
        <w:rPr>
          <w:color w:val="000000" w:themeColor="text1"/>
        </w:rPr>
        <w:t xml:space="preserve">Z fundamentalnego punktu widzenia przewidywane w 2015 roku wzrosty indeksów giełdowych opisujących sytuację na polskim rynku akcji mogą być przejawem </w:t>
      </w:r>
      <w:r w:rsidRPr="00F70C04">
        <w:rPr>
          <w:b/>
          <w:color w:val="000000" w:themeColor="text1"/>
        </w:rPr>
        <w:t>dyskontowania przez uczestników polskiego rynku akcji ożywienia gospodarczego w Polsce, które</w:t>
      </w:r>
      <w:r w:rsidRPr="00F70C04">
        <w:rPr>
          <w:color w:val="000000" w:themeColor="text1"/>
        </w:rPr>
        <w:t xml:space="preserve"> (zgodnie z np. prognozami analityków NBP, Instytutu Badań nad Gospodarką Rynkową, czy też np. banku inwestycyjnego Morgan Stanley) </w:t>
      </w:r>
      <w:r w:rsidRPr="00F70C04">
        <w:rPr>
          <w:b/>
          <w:color w:val="000000" w:themeColor="text1"/>
        </w:rPr>
        <w:t xml:space="preserve">powinno nastąpić w 2016 </w:t>
      </w:r>
      <w:proofErr w:type="gramStart"/>
      <w:r w:rsidRPr="00F70C04">
        <w:rPr>
          <w:b/>
          <w:color w:val="000000" w:themeColor="text1"/>
        </w:rPr>
        <w:t>roku</w:t>
      </w:r>
      <w:r w:rsidRPr="00F70C04">
        <w:rPr>
          <w:color w:val="000000" w:themeColor="text1"/>
        </w:rPr>
        <w:t xml:space="preserve"> (kiedy</w:t>
      </w:r>
      <w:proofErr w:type="gramEnd"/>
      <w:r w:rsidRPr="00F70C04">
        <w:rPr>
          <w:color w:val="000000" w:themeColor="text1"/>
        </w:rPr>
        <w:t xml:space="preserve"> to zdaniem, wyżej wymienionych analityków można oczekiwać, wedle wyżej wymienionych prognoz przyspieszenia realnego wzrostu PKB. </w:t>
      </w:r>
    </w:p>
    <w:p w:rsidR="00F70C04" w:rsidRPr="00F70C04" w:rsidRDefault="00F70C04" w:rsidP="00F70C04">
      <w:pPr>
        <w:spacing w:after="0" w:line="240" w:lineRule="auto"/>
        <w:jc w:val="both"/>
        <w:rPr>
          <w:color w:val="000000" w:themeColor="text1"/>
        </w:rPr>
      </w:pPr>
    </w:p>
    <w:p w:rsidR="00F70C04" w:rsidRPr="00F70C04" w:rsidRDefault="00F70C04" w:rsidP="00F70C04">
      <w:pPr>
        <w:numPr>
          <w:ilvl w:val="0"/>
          <w:numId w:val="2"/>
        </w:numPr>
        <w:spacing w:after="0" w:line="240" w:lineRule="auto"/>
        <w:jc w:val="both"/>
      </w:pPr>
      <w:r w:rsidRPr="00F70C04">
        <w:rPr>
          <w:color w:val="000000" w:themeColor="text1"/>
        </w:rPr>
        <w:t xml:space="preserve">Lekko wzrostowa linii trendu poprowadzona przez dołki z czerwca 2012 roku oraz stycznia 2015 roku przebiega na poziomie </w:t>
      </w:r>
      <w:r w:rsidRPr="00F70C04">
        <w:rPr>
          <w:b/>
          <w:color w:val="FF0000"/>
        </w:rPr>
        <w:t>2 280 punktów</w:t>
      </w:r>
      <w:r w:rsidRPr="00F70C04">
        <w:rPr>
          <w:b/>
        </w:rPr>
        <w:t>.</w:t>
      </w:r>
      <w:r w:rsidRPr="00F70C04">
        <w:t xml:space="preserve"> Trwające spadki indeksu WIG 20 można (moim zdaniem) </w:t>
      </w:r>
      <w:proofErr w:type="gramStart"/>
      <w:r w:rsidRPr="00F70C04">
        <w:t>traktować jako</w:t>
      </w:r>
      <w:proofErr w:type="gramEnd"/>
      <w:r w:rsidRPr="00F70C04">
        <w:t xml:space="preserve"> korektę spadkową, po zakończeniu której powinny powrócić wzrosty. Przekonuje mnie do tego 2 argumenty. Po pierwsze: znajdujemy </w:t>
      </w:r>
      <w:r w:rsidRPr="00F70C04">
        <w:rPr>
          <w:b/>
        </w:rPr>
        <w:t>się w bardzo korzystnym zazwyczaj roku przedwyborczym z punktu widzenia 4-letniego amerykańskiego cyklu prezydenckiego</w:t>
      </w:r>
      <w:r w:rsidRPr="00F70C04">
        <w:t xml:space="preserve">. Po drugie: </w:t>
      </w:r>
      <w:r w:rsidRPr="00F70C04">
        <w:rPr>
          <w:b/>
        </w:rPr>
        <w:t>stosunkowo wysoki odsetek pesymistów</w:t>
      </w:r>
      <w:r w:rsidRPr="00F70C04">
        <w:t xml:space="preserve"> uwidoczniony w </w:t>
      </w:r>
      <w:bookmarkStart w:id="0" w:name="_GoBack"/>
      <w:bookmarkEnd w:id="0"/>
      <w:r w:rsidRPr="00F70C04">
        <w:t xml:space="preserve">badaniu Stowarzyszenia Inwestorów Indywidualnych wskazuje na zbliżanie się dogodnej okazji do kupna, zważywszy na regułę </w:t>
      </w:r>
      <w:proofErr w:type="gramStart"/>
      <w:r w:rsidRPr="00F70C04">
        <w:rPr>
          <w:b/>
        </w:rPr>
        <w:t>,,</w:t>
      </w:r>
      <w:proofErr w:type="gramEnd"/>
      <w:r w:rsidRPr="00F70C04">
        <w:rPr>
          <w:b/>
        </w:rPr>
        <w:t xml:space="preserve">kupuj pesymizm, sprzedawaj optymizm”. </w:t>
      </w:r>
    </w:p>
    <w:p w:rsidR="00F70C04" w:rsidRPr="00F70C04" w:rsidRDefault="00F70C04" w:rsidP="00F70C04">
      <w:pPr>
        <w:spacing w:after="0" w:line="240" w:lineRule="auto"/>
        <w:ind w:left="720"/>
        <w:jc w:val="both"/>
      </w:pPr>
    </w:p>
    <w:p w:rsidR="00F70C04" w:rsidRPr="00F70C04" w:rsidRDefault="00F70C04" w:rsidP="00F70C04">
      <w:pPr>
        <w:spacing w:after="0" w:line="240" w:lineRule="auto"/>
        <w:jc w:val="both"/>
      </w:pPr>
      <w:r w:rsidRPr="00F70C04">
        <w:t>Opracował: Sławomir Kłusek, 6 lipca 2015 r.</w:t>
      </w:r>
    </w:p>
    <w:p w:rsidR="00F70C04" w:rsidRPr="00F70C04" w:rsidRDefault="00F70C04" w:rsidP="00F70C04">
      <w:pPr>
        <w:spacing w:after="0" w:line="240" w:lineRule="auto"/>
        <w:ind w:left="720"/>
        <w:jc w:val="both"/>
      </w:pPr>
    </w:p>
    <w:p w:rsidR="00F70C04" w:rsidRPr="00F70C04" w:rsidRDefault="00F70C04" w:rsidP="00F70C04">
      <w:pPr>
        <w:spacing w:after="0" w:line="240" w:lineRule="auto"/>
        <w:jc w:val="both"/>
      </w:pPr>
      <w:r w:rsidRPr="00F70C04">
        <w:t xml:space="preserve">Powyższy raport stanowi wyłącznie wyraz osobistych opinii autora. </w:t>
      </w:r>
    </w:p>
    <w:p w:rsidR="00F70C04" w:rsidRPr="00F70C04" w:rsidRDefault="00F70C04" w:rsidP="00F70C04">
      <w:pPr>
        <w:spacing w:after="0" w:line="240" w:lineRule="auto"/>
        <w:jc w:val="both"/>
      </w:pPr>
    </w:p>
    <w:p w:rsidR="00F70C04" w:rsidRPr="00F70C04" w:rsidRDefault="00F70C04" w:rsidP="00F70C04">
      <w:pPr>
        <w:spacing w:after="0" w:line="240" w:lineRule="auto"/>
        <w:jc w:val="both"/>
      </w:pPr>
      <w:r w:rsidRPr="00F70C04">
        <w:t xml:space="preserve">Treści zawarte na stronie internetowej </w:t>
      </w:r>
      <w:hyperlink r:id="rId23" w:history="1">
        <w:r w:rsidRPr="00F70C04">
          <w:rPr>
            <w:color w:val="0000FF" w:themeColor="hyperlink"/>
            <w:u w:val="single"/>
          </w:rPr>
          <w:t>www.analizy-rynkowe.pl</w:t>
        </w:r>
      </w:hyperlink>
      <w:r w:rsidRPr="00F70C04"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F70C04">
        <w:t>Dz.U</w:t>
      </w:r>
      <w:proofErr w:type="spellEnd"/>
      <w:r w:rsidRPr="00F70C04">
        <w:t xml:space="preserve">. </w:t>
      </w:r>
      <w:proofErr w:type="gramStart"/>
      <w:r w:rsidRPr="00F70C04">
        <w:t>z</w:t>
      </w:r>
      <w:proofErr w:type="gramEnd"/>
      <w:r w:rsidRPr="00F70C04">
        <w:t xml:space="preserve"> 2005 r. Nr 206, poz. 1715).</w:t>
      </w:r>
    </w:p>
    <w:p w:rsidR="00F70C04" w:rsidRPr="00F70C04" w:rsidRDefault="00F70C04" w:rsidP="00F70C04">
      <w:pPr>
        <w:spacing w:after="0" w:line="240" w:lineRule="auto"/>
        <w:jc w:val="both"/>
      </w:pPr>
    </w:p>
    <w:p w:rsidR="00F70C04" w:rsidRPr="00F70C04" w:rsidRDefault="00F70C04" w:rsidP="00F70C04">
      <w:pPr>
        <w:spacing w:after="0" w:line="240" w:lineRule="auto"/>
        <w:jc w:val="both"/>
      </w:pPr>
      <w:r w:rsidRPr="00F70C04">
        <w:t xml:space="preserve">Autor nie ponosi odpowiedzialności za jakiekolwiek decyzje inwestycyjne podjęte na podstawie treści zawartych na stronie internetowej </w:t>
      </w:r>
      <w:hyperlink r:id="rId24" w:history="1">
        <w:r w:rsidRPr="00F70C04">
          <w:rPr>
            <w:color w:val="0000FF" w:themeColor="hyperlink"/>
            <w:u w:val="single"/>
          </w:rPr>
          <w:t>www.analizy-rynkowe.pl</w:t>
        </w:r>
      </w:hyperlink>
    </w:p>
    <w:p w:rsidR="00F70C04" w:rsidRDefault="00F70C04" w:rsidP="00F70C04">
      <w:pPr>
        <w:pStyle w:val="Bezodstpw"/>
        <w:jc w:val="both"/>
      </w:pPr>
    </w:p>
    <w:p w:rsidR="00F70C04" w:rsidRDefault="00F70C04" w:rsidP="00F70C04">
      <w:pPr>
        <w:pStyle w:val="Bezodstpw"/>
        <w:jc w:val="both"/>
      </w:pPr>
    </w:p>
    <w:p w:rsidR="00F66075" w:rsidRDefault="00F66075"/>
    <w:sectPr w:rsidR="00F6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04"/>
    <w:rsid w:val="008672BC"/>
    <w:rsid w:val="00EA3970"/>
    <w:rsid w:val="00F66075"/>
    <w:rsid w:val="00F7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0C04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F7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C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C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C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C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0C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0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0C04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F7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C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C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C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C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0C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analizy-rynkowe.pl" TargetMode="External"/><Relationship Id="rId17" Type="http://schemas.openxmlformats.org/officeDocument/2006/relationships/hyperlink" Target="http://www.analizy-rynkowe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nalizy-rynkowe.pl" TargetMode="External"/><Relationship Id="rId24" Type="http://schemas.openxmlformats.org/officeDocument/2006/relationships/hyperlink" Target="http://www.analizy-rynkow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analizy-rynkow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3136</Words>
  <Characters>18819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2015-07-05T10:10:00Z</dcterms:created>
  <dcterms:modified xsi:type="dcterms:W3CDTF">2015-07-05T10:28:00Z</dcterms:modified>
</cp:coreProperties>
</file>