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89" w:rsidRPr="00B11C89" w:rsidRDefault="00B11C89" w:rsidP="00F76D50">
      <w:pPr>
        <w:pStyle w:val="Bezodstpw"/>
        <w:jc w:val="both"/>
        <w:rPr>
          <w:b/>
          <w:sz w:val="26"/>
          <w:szCs w:val="26"/>
        </w:rPr>
      </w:pPr>
      <w:r w:rsidRPr="00B11C89">
        <w:rPr>
          <w:b/>
          <w:sz w:val="26"/>
          <w:szCs w:val="26"/>
        </w:rPr>
        <w:t xml:space="preserve">Wprowadzenie </w:t>
      </w:r>
    </w:p>
    <w:p w:rsidR="00B11C89" w:rsidRDefault="00B11C89" w:rsidP="00F76D50">
      <w:pPr>
        <w:pStyle w:val="Bezodstpw"/>
        <w:jc w:val="both"/>
        <w:rPr>
          <w:sz w:val="26"/>
          <w:szCs w:val="26"/>
        </w:rPr>
      </w:pPr>
    </w:p>
    <w:p w:rsidR="00126AF0" w:rsidRPr="00B11C89" w:rsidRDefault="001F430C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Strona internetowa </w:t>
      </w:r>
      <w:hyperlink r:id="rId5" w:history="1">
        <w:r w:rsidRPr="00B11C89">
          <w:rPr>
            <w:rStyle w:val="Hipercze"/>
            <w:sz w:val="26"/>
            <w:szCs w:val="26"/>
          </w:rPr>
          <w:t>http://analizy-rynkowe.pl/</w:t>
        </w:r>
      </w:hyperlink>
      <w:r w:rsidRPr="00B11C89">
        <w:rPr>
          <w:sz w:val="26"/>
          <w:szCs w:val="26"/>
        </w:rPr>
        <w:t xml:space="preserve"> prowadzona jest od września 201</w:t>
      </w:r>
      <w:r w:rsidR="0080632A">
        <w:rPr>
          <w:sz w:val="26"/>
          <w:szCs w:val="26"/>
        </w:rPr>
        <w:t>4</w:t>
      </w:r>
      <w:bookmarkStart w:id="0" w:name="_GoBack"/>
      <w:bookmarkEnd w:id="0"/>
      <w:r w:rsidRPr="00B11C89">
        <w:rPr>
          <w:sz w:val="26"/>
          <w:szCs w:val="26"/>
        </w:rPr>
        <w:t xml:space="preserve"> roku. 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Co tydzień publikowany jest </w:t>
      </w:r>
      <w:proofErr w:type="gramStart"/>
      <w:r w:rsidRPr="00B11C89">
        <w:rPr>
          <w:sz w:val="26"/>
          <w:szCs w:val="26"/>
        </w:rPr>
        <w:t>,,</w:t>
      </w:r>
      <w:proofErr w:type="gramEnd"/>
      <w:r w:rsidRPr="00B11C89">
        <w:rPr>
          <w:sz w:val="26"/>
          <w:szCs w:val="26"/>
        </w:rPr>
        <w:t>Raport Tygodniowy”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F76D50" w:rsidRDefault="001F430C" w:rsidP="00F76D50">
      <w:pPr>
        <w:pStyle w:val="Bezodstpw"/>
        <w:jc w:val="both"/>
        <w:rPr>
          <w:b/>
          <w:sz w:val="26"/>
          <w:szCs w:val="26"/>
        </w:rPr>
      </w:pPr>
      <w:r w:rsidRPr="00B11C89">
        <w:rPr>
          <w:sz w:val="26"/>
          <w:szCs w:val="26"/>
        </w:rPr>
        <w:t xml:space="preserve">Od czasu do czasu umieszczam wybrane spółki w rubryce </w:t>
      </w:r>
      <w:proofErr w:type="gramStart"/>
      <w:r w:rsidRPr="00F76D50">
        <w:rPr>
          <w:b/>
          <w:sz w:val="26"/>
          <w:szCs w:val="26"/>
        </w:rPr>
        <w:t>,,</w:t>
      </w:r>
      <w:proofErr w:type="gramEnd"/>
      <w:r w:rsidRPr="00F76D50">
        <w:rPr>
          <w:b/>
          <w:sz w:val="26"/>
          <w:szCs w:val="26"/>
        </w:rPr>
        <w:t xml:space="preserve">Wykres do przemyślenia”. 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F76D50" w:rsidRDefault="001F430C" w:rsidP="00F76D50">
      <w:pPr>
        <w:pStyle w:val="Bezodstpw"/>
        <w:jc w:val="both"/>
        <w:rPr>
          <w:b/>
          <w:sz w:val="26"/>
          <w:szCs w:val="26"/>
        </w:rPr>
      </w:pPr>
      <w:r w:rsidRPr="00B11C89">
        <w:rPr>
          <w:sz w:val="26"/>
          <w:szCs w:val="26"/>
        </w:rPr>
        <w:t xml:space="preserve">Umieszczane są tam te </w:t>
      </w:r>
      <w:r w:rsidR="00F76D50">
        <w:rPr>
          <w:sz w:val="26"/>
          <w:szCs w:val="26"/>
        </w:rPr>
        <w:t xml:space="preserve">przykładowe </w:t>
      </w:r>
      <w:r w:rsidRPr="00B11C89">
        <w:rPr>
          <w:sz w:val="26"/>
          <w:szCs w:val="26"/>
        </w:rPr>
        <w:t xml:space="preserve">spółki, których kurs </w:t>
      </w:r>
      <w:r w:rsidRPr="00F76D50">
        <w:rPr>
          <w:b/>
          <w:sz w:val="26"/>
          <w:szCs w:val="26"/>
        </w:rPr>
        <w:t xml:space="preserve">wybił się z formacji podwójnego dna. 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F76D50" w:rsidRDefault="001F430C" w:rsidP="00F76D50">
      <w:pPr>
        <w:pStyle w:val="Bezodstpw"/>
        <w:jc w:val="both"/>
        <w:rPr>
          <w:b/>
          <w:sz w:val="26"/>
          <w:szCs w:val="26"/>
        </w:rPr>
      </w:pPr>
      <w:r w:rsidRPr="00B11C89">
        <w:rPr>
          <w:sz w:val="26"/>
          <w:szCs w:val="26"/>
        </w:rPr>
        <w:t xml:space="preserve">Formacja podwójnego dna ma </w:t>
      </w:r>
      <w:r w:rsidRPr="00F76D50">
        <w:rPr>
          <w:b/>
          <w:sz w:val="26"/>
          <w:szCs w:val="26"/>
        </w:rPr>
        <w:t xml:space="preserve">2 </w:t>
      </w:r>
      <w:proofErr w:type="gramStart"/>
      <w:r w:rsidRPr="00F76D50">
        <w:rPr>
          <w:b/>
          <w:sz w:val="26"/>
          <w:szCs w:val="26"/>
        </w:rPr>
        <w:t>,,</w:t>
      </w:r>
      <w:proofErr w:type="gramEnd"/>
      <w:r w:rsidRPr="00F76D50">
        <w:rPr>
          <w:b/>
          <w:sz w:val="26"/>
          <w:szCs w:val="26"/>
        </w:rPr>
        <w:t xml:space="preserve">zadania”. 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Podstawowym, minimalnym </w:t>
      </w:r>
      <w:proofErr w:type="gramStart"/>
      <w:r w:rsidRPr="00B11C89">
        <w:rPr>
          <w:sz w:val="26"/>
          <w:szCs w:val="26"/>
        </w:rPr>
        <w:t>,,</w:t>
      </w:r>
      <w:proofErr w:type="gramEnd"/>
      <w:r w:rsidRPr="00B11C89">
        <w:rPr>
          <w:sz w:val="26"/>
          <w:szCs w:val="26"/>
        </w:rPr>
        <w:t xml:space="preserve">zadaniem” tej formacji jest jej wypełnienie 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Drugim ,,zadaniem” tej formacji jest doprowadzenie do zmiany trendu ze spadkowego na wzrostowy. 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Osobiście wyróżniam </w:t>
      </w:r>
      <w:r w:rsidRPr="00F76D50">
        <w:rPr>
          <w:b/>
          <w:sz w:val="26"/>
          <w:szCs w:val="26"/>
        </w:rPr>
        <w:t>typowe oraz nietypowe podwójne dno.</w:t>
      </w:r>
      <w:r w:rsidRPr="00B11C89">
        <w:rPr>
          <w:sz w:val="26"/>
          <w:szCs w:val="26"/>
        </w:rPr>
        <w:t xml:space="preserve"> 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Typowa formacja podwójnego dna charakteryzuje się tym, że dołki w formacji kształtują się na poziomie identycznym, bądź prawie identycznym. 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>Natomiast w przypadku nietypowej formacji podwójnego dna kształtują się one na poziomie zupełnie odmiennym.</w:t>
      </w:r>
    </w:p>
    <w:p w:rsidR="001F430C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F76D50" w:rsidRDefault="001F430C" w:rsidP="00F76D50">
      <w:pPr>
        <w:pStyle w:val="Bezodstpw"/>
        <w:jc w:val="both"/>
        <w:rPr>
          <w:b/>
          <w:sz w:val="26"/>
          <w:szCs w:val="26"/>
        </w:rPr>
      </w:pPr>
      <w:r w:rsidRPr="00B11C89">
        <w:rPr>
          <w:sz w:val="26"/>
          <w:szCs w:val="26"/>
        </w:rPr>
        <w:t xml:space="preserve">Od pierwszego numeru ,,Raportu Tygodniowego” postanowiłem, że będę </w:t>
      </w:r>
      <w:r w:rsidRPr="00F76D50">
        <w:rPr>
          <w:b/>
          <w:sz w:val="26"/>
          <w:szCs w:val="26"/>
        </w:rPr>
        <w:t>porównywał</w:t>
      </w:r>
      <w:r w:rsidRPr="00B11C89">
        <w:rPr>
          <w:sz w:val="26"/>
          <w:szCs w:val="26"/>
        </w:rPr>
        <w:t xml:space="preserve"> zachowanie kursu akcji spółki po wprowadzeniu jej do rubryki ,,Wykres do przemyślenia” </w:t>
      </w:r>
      <w:r w:rsidRPr="00F76D50">
        <w:rPr>
          <w:b/>
          <w:sz w:val="26"/>
          <w:szCs w:val="26"/>
        </w:rPr>
        <w:t xml:space="preserve">z zachowaniem indeksu WIG20. 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Mam świadomość, że podejście to może budzić kontrowersje, sprzeciw. Dobrze. Tak być musi. 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B11C89" w:rsidRDefault="00420F6F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>Ostatnio postanowiłem odpowiedzieć na pytanie: ,,</w:t>
      </w:r>
      <w:r w:rsidR="001F430C" w:rsidRPr="00B11C89">
        <w:rPr>
          <w:sz w:val="26"/>
          <w:szCs w:val="26"/>
        </w:rPr>
        <w:t>Ile wynosiła średnia procentowa zmiana kursu akcji spółki po wprowadzeniu jej do rubryki ,,Wykres do przemyślenia” w okresie 8 pierwszych miesięcy po jej wprowadzeniu do tej rubryki ?</w:t>
      </w:r>
      <w:r w:rsidRPr="00B11C89">
        <w:rPr>
          <w:sz w:val="26"/>
          <w:szCs w:val="26"/>
        </w:rPr>
        <w:t>”</w:t>
      </w:r>
    </w:p>
    <w:p w:rsidR="00420F6F" w:rsidRPr="00B11C89" w:rsidRDefault="00420F6F" w:rsidP="00F76D50">
      <w:pPr>
        <w:pStyle w:val="Bezodstpw"/>
        <w:jc w:val="both"/>
        <w:rPr>
          <w:sz w:val="26"/>
          <w:szCs w:val="26"/>
        </w:rPr>
      </w:pPr>
    </w:p>
    <w:p w:rsidR="001F430C" w:rsidRPr="00B11C89" w:rsidRDefault="00420F6F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>W związku z powyższym postanowiłem odpowiedzieć także na pytanie: ,,Ile wynosiła średnia procentowa zmiana indeksu WIG 20 w tym okresie ?”</w:t>
      </w:r>
    </w:p>
    <w:p w:rsidR="00420F6F" w:rsidRPr="00B11C89" w:rsidRDefault="00420F6F" w:rsidP="00F76D50">
      <w:pPr>
        <w:pStyle w:val="Bezodstpw"/>
        <w:jc w:val="both"/>
        <w:rPr>
          <w:sz w:val="26"/>
          <w:szCs w:val="26"/>
        </w:rPr>
      </w:pPr>
    </w:p>
    <w:p w:rsidR="00420F6F" w:rsidRPr="00B11C89" w:rsidRDefault="00420F6F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Odpowiedź na te pytania przedstawiłem w tabeli na stronie drugiej. </w:t>
      </w:r>
    </w:p>
    <w:p w:rsidR="00420F6F" w:rsidRPr="00B11C89" w:rsidRDefault="00420F6F" w:rsidP="00F76D50">
      <w:pPr>
        <w:pStyle w:val="Bezodstpw"/>
        <w:jc w:val="both"/>
        <w:rPr>
          <w:sz w:val="28"/>
          <w:szCs w:val="28"/>
        </w:rPr>
      </w:pPr>
    </w:p>
    <w:p w:rsidR="00B11C89" w:rsidRPr="00B11C89" w:rsidRDefault="00B11C89" w:rsidP="00B11C89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0"/>
          <w:szCs w:val="3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1C89">
        <w:rPr>
          <w:rFonts w:ascii="Calibri" w:eastAsia="Times New Roman" w:hAnsi="Calibri" w:cs="Times New Roman"/>
          <w:color w:val="000000"/>
          <w:sz w:val="30"/>
          <w:szCs w:val="3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Zmiana kursu akcji spółki </w:t>
      </w:r>
      <w:r>
        <w:rPr>
          <w:rFonts w:ascii="Calibri" w:eastAsia="Times New Roman" w:hAnsi="Calibri" w:cs="Times New Roman"/>
          <w:color w:val="000000"/>
          <w:sz w:val="30"/>
          <w:szCs w:val="3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 %) </w:t>
      </w:r>
      <w:r w:rsidRPr="00B11C89">
        <w:rPr>
          <w:rFonts w:ascii="Calibri" w:eastAsia="Times New Roman" w:hAnsi="Calibri" w:cs="Times New Roman"/>
          <w:color w:val="000000"/>
          <w:sz w:val="30"/>
          <w:szCs w:val="3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okresie 8 pierwszych miesięcy po wprowadzeniu spółki do rubryki ,,Wykres do przemyślenia” </w:t>
      </w:r>
      <w:r w:rsidRPr="00B11C89">
        <w:rPr>
          <w:rFonts w:ascii="Calibri" w:eastAsia="Times New Roman" w:hAnsi="Calibri" w:cs="Times New Roman"/>
          <w:i/>
          <w:color w:val="000000"/>
          <w:sz w:val="30"/>
          <w:szCs w:val="3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(kolejność według kolejności wprowadzania do rubryki od najwcześniej wprowadzonych do najpóźniej wprowadzonych)</w:t>
      </w:r>
      <w:r>
        <w:rPr>
          <w:rFonts w:ascii="Calibri" w:eastAsia="Times New Roman" w:hAnsi="Calibri" w:cs="Times New Roman"/>
          <w:i/>
          <w:color w:val="000000"/>
          <w:sz w:val="30"/>
          <w:szCs w:val="3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oraz zmiana indeksu WIG</w:t>
      </w:r>
      <w:r w:rsidR="005F5C7B">
        <w:rPr>
          <w:rFonts w:ascii="Calibri" w:eastAsia="Times New Roman" w:hAnsi="Calibri" w:cs="Times New Roman"/>
          <w:i/>
          <w:color w:val="000000"/>
          <w:sz w:val="30"/>
          <w:szCs w:val="3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 (w %) </w:t>
      </w:r>
      <w:r>
        <w:rPr>
          <w:rFonts w:ascii="Calibri" w:eastAsia="Times New Roman" w:hAnsi="Calibri" w:cs="Times New Roman"/>
          <w:i/>
          <w:color w:val="000000"/>
          <w:sz w:val="30"/>
          <w:szCs w:val="3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tym okresie</w:t>
      </w:r>
    </w:p>
    <w:p w:rsidR="001F430C" w:rsidRDefault="001F430C" w:rsidP="001F430C">
      <w:pPr>
        <w:pStyle w:val="Bezodstpw"/>
        <w:jc w:val="both"/>
        <w:rPr>
          <w:smallCap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Nazwa</w:t>
            </w:r>
          </w:p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spółki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  <w:t>Procentowa zmiana kursu akcji spółki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pStyle w:val="Bezodstpw"/>
              <w:jc w:val="center"/>
              <w:rPr>
                <w:b/>
                <w:smallCaps/>
                <w:sz w:val="24"/>
                <w:szCs w:val="24"/>
              </w:rPr>
            </w:pPr>
            <w:r w:rsidRPr="005F5C7B">
              <w:rPr>
                <w:rFonts w:ascii="Calibri" w:hAnsi="Calibri"/>
                <w:b/>
                <w:sz w:val="24"/>
                <w:szCs w:val="24"/>
                <w:lang w:eastAsia="pl-PL"/>
              </w:rPr>
              <w:t>Procentowa zmiana indeksu WIG20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IMMOBILE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11C89" w:rsidRPr="005F5C7B">
              <w:rPr>
                <w:sz w:val="24"/>
                <w:szCs w:val="24"/>
              </w:rPr>
              <w:t>5,4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-1,3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LENA</w:t>
            </w:r>
          </w:p>
        </w:tc>
        <w:tc>
          <w:tcPr>
            <w:tcW w:w="3071" w:type="dxa"/>
          </w:tcPr>
          <w:p w:rsidR="00B11C89" w:rsidRPr="005F5C7B" w:rsidRDefault="00285C17" w:rsidP="00285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21,3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-1,3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NETMEDIA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81,8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-1,3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RAFAKO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74,1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-1,3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BORYSZEW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11C89" w:rsidRPr="005F5C7B">
              <w:rPr>
                <w:sz w:val="24"/>
                <w:szCs w:val="24"/>
              </w:rPr>
              <w:t>-2,0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1,8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ERBUD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27,7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1,0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IF CAPITAL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-18,9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1,0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CAPITAL PARTNERS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46,5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1,1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ASSECO POLAND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27,5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-1,4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CD PROJEKT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41,7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-1,4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SYGNITY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-33,4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-1,4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STALPRODUKT</w:t>
            </w:r>
          </w:p>
        </w:tc>
        <w:tc>
          <w:tcPr>
            <w:tcW w:w="3071" w:type="dxa"/>
          </w:tcPr>
          <w:p w:rsidR="00B11C89" w:rsidRPr="005F5C7B" w:rsidRDefault="00285C17" w:rsidP="00285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98,3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-2,3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TAURON POLSKA ENERGIA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-15,0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-3,3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ELEKTROTIM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41,3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-5,1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RELPOL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11C89" w:rsidRPr="005F5C7B">
              <w:rPr>
                <w:sz w:val="24"/>
                <w:szCs w:val="24"/>
              </w:rPr>
              <w:t>-2,3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-5,1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TESGAS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-22,2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-3,2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ENEA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11C89" w:rsidRPr="005F5C7B">
              <w:rPr>
                <w:sz w:val="24"/>
                <w:szCs w:val="24"/>
              </w:rPr>
              <w:t>-0,3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-5,9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  <w:t>ŚREDNIO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B11C89" w:rsidRPr="005F5C7B"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  <w:t>21,8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pStyle w:val="Bezodstpw"/>
              <w:jc w:val="center"/>
              <w:rPr>
                <w:b/>
                <w:smallCaps/>
                <w:sz w:val="24"/>
                <w:szCs w:val="24"/>
              </w:rPr>
            </w:pPr>
            <w:r w:rsidRPr="005F5C7B">
              <w:rPr>
                <w:b/>
                <w:smallCaps/>
                <w:sz w:val="24"/>
                <w:szCs w:val="24"/>
              </w:rPr>
              <w:t>-1,7</w:t>
            </w:r>
          </w:p>
        </w:tc>
      </w:tr>
    </w:tbl>
    <w:p w:rsid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5F5C7B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Wniosek końcowy</w:t>
      </w: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u w:val="single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5C7B">
        <w:rPr>
          <w:rFonts w:ascii="Calibri" w:eastAsia="Times New Roman" w:hAnsi="Calibri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kursu akcji spółki po wprowadzeniu jej do rubryki ,,Wykres do przemyślenia” w okresie 8 pierwszych miesięcy po jej wprowadzeniu do tej rubryki wynosiła </w:t>
      </w:r>
      <w:r w:rsidRPr="005F5C7B">
        <w:rPr>
          <w:rFonts w:ascii="Calibri" w:eastAsia="Times New Roman" w:hAnsi="Calibri" w:cs="Times New Roman"/>
          <w:color w:val="FF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średnio</w:t>
      </w:r>
      <w:r w:rsidRPr="005F5C7B">
        <w:rPr>
          <w:rFonts w:ascii="Calibri" w:eastAsia="Times New Roman" w:hAnsi="Calibri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F5C7B">
        <w:rPr>
          <w:rFonts w:ascii="Calibri" w:eastAsia="Times New Roman" w:hAnsi="Calibri" w:cs="Times New Roman"/>
          <w:color w:val="FF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21,8 %. </w:t>
      </w:r>
      <w:r w:rsidRPr="005F5C7B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indeksu WIG20 w tym okresie wynosiła minus 1,7 %. </w:t>
      </w: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F5C7B">
        <w:rPr>
          <w:rFonts w:ascii="Calibri" w:eastAsia="Times New Roman" w:hAnsi="Calibri" w:cs="Times New Roman"/>
          <w:sz w:val="24"/>
          <w:szCs w:val="24"/>
          <w:lang w:eastAsia="pl-PL"/>
        </w:rPr>
        <w:t>Opracował: Sławomir Kłusek, 1</w:t>
      </w:r>
      <w:r w:rsidR="00C67331">
        <w:rPr>
          <w:rFonts w:ascii="Calibri" w:eastAsia="Times New Roman" w:hAnsi="Calibri" w:cs="Times New Roman"/>
          <w:sz w:val="24"/>
          <w:szCs w:val="24"/>
          <w:lang w:eastAsia="pl-PL"/>
        </w:rPr>
        <w:t>9</w:t>
      </w:r>
      <w:r w:rsidRPr="005F5C7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lipca 2015 r.</w:t>
      </w: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F5C7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Powyższe zestawienia sporządzone zostało wyłącznie w celach informacyjnych. </w:t>
      </w:r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Wszelkie opinie prezentowane na stronie </w:t>
      </w:r>
      <w:hyperlink r:id="rId6" w:history="1">
        <w:r w:rsidRPr="005F5C7B">
          <w:rPr>
            <w:rStyle w:val="Hipercze"/>
            <w:rFonts w:ascii="Calibri" w:eastAsia="Times New Roman" w:hAnsi="Calibri" w:cs="Times New Roman"/>
            <w:color w:val="0000FF"/>
            <w:sz w:val="20"/>
            <w:szCs w:val="20"/>
            <w:lang w:eastAsia="pl-PL"/>
          </w:rPr>
          <w:t>http://analizy-rynkowe.pl/</w:t>
        </w:r>
      </w:hyperlink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stanowią </w:t>
      </w:r>
      <w:r w:rsidRPr="005F5C7B">
        <w:rPr>
          <w:rFonts w:ascii="Calibri" w:eastAsia="Times New Roman" w:hAnsi="Calibri" w:cs="Times New Roman"/>
          <w:b/>
          <w:sz w:val="20"/>
          <w:szCs w:val="20"/>
          <w:lang w:eastAsia="pl-PL"/>
        </w:rPr>
        <w:t>wyłącznie wyraz osobistych opinii autora.</w:t>
      </w:r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Treści zawarte na stronie internetowej </w:t>
      </w:r>
      <w:hyperlink r:id="rId7" w:history="1">
        <w:r w:rsidRPr="005F5C7B">
          <w:rPr>
            <w:rStyle w:val="Hipercze"/>
            <w:rFonts w:ascii="Calibri" w:eastAsia="Times New Roman" w:hAnsi="Calibri" w:cs="Times New Roman"/>
            <w:color w:val="0000FF"/>
            <w:sz w:val="20"/>
            <w:szCs w:val="20"/>
            <w:lang w:eastAsia="pl-PL"/>
          </w:rPr>
          <w:t>http://analizy-rynkowe.pl/</w:t>
        </w:r>
      </w:hyperlink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5F5C7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stanowią "rekomendacji"</w:t>
      </w:r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>Dz.U</w:t>
      </w:r>
      <w:proofErr w:type="spellEnd"/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proofErr w:type="gramStart"/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proofErr w:type="gramEnd"/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2005 r. Nr 206, poz. 1715).</w:t>
      </w: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Autor nie </w:t>
      </w:r>
      <w:r w:rsidRPr="005F5C7B">
        <w:rPr>
          <w:rFonts w:ascii="Calibri" w:eastAsia="Times New Roman" w:hAnsi="Calibri" w:cs="Times New Roman"/>
          <w:b/>
          <w:sz w:val="20"/>
          <w:szCs w:val="20"/>
          <w:lang w:eastAsia="pl-PL"/>
        </w:rPr>
        <w:t>ponosi odpowiedzialności za jakiekolwiek decyzje inwestycyjne podjęte na podstawie</w:t>
      </w:r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treści zawartych na stronie internetowej </w:t>
      </w:r>
      <w:hyperlink r:id="rId8" w:history="1">
        <w:r w:rsidRPr="005F5C7B">
          <w:rPr>
            <w:rStyle w:val="Hipercze"/>
            <w:rFonts w:ascii="Calibri" w:eastAsia="Times New Roman" w:hAnsi="Calibri" w:cs="Times New Roman"/>
            <w:color w:val="0000FF"/>
            <w:sz w:val="20"/>
            <w:szCs w:val="20"/>
            <w:lang w:eastAsia="pl-PL"/>
          </w:rPr>
          <w:t>http://analizy-rynkowe.pl/</w:t>
        </w:r>
      </w:hyperlink>
    </w:p>
    <w:sectPr w:rsidR="005F5C7B" w:rsidRPr="005F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0C"/>
    <w:rsid w:val="00126AF0"/>
    <w:rsid w:val="001F430C"/>
    <w:rsid w:val="00285C17"/>
    <w:rsid w:val="00420F6F"/>
    <w:rsid w:val="005F5C7B"/>
    <w:rsid w:val="0080632A"/>
    <w:rsid w:val="00B11C89"/>
    <w:rsid w:val="00BB7FE4"/>
    <w:rsid w:val="00C67331"/>
    <w:rsid w:val="00F7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430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F430C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B11C8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1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430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F430C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B11C8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1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lizy-rynkow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alizy-rynkowe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nalizy-rynkowe.pl/" TargetMode="External"/><Relationship Id="rId5" Type="http://schemas.openxmlformats.org/officeDocument/2006/relationships/hyperlink" Target="http://analizy-rynkowe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7</cp:revision>
  <dcterms:created xsi:type="dcterms:W3CDTF">2015-07-19T06:35:00Z</dcterms:created>
  <dcterms:modified xsi:type="dcterms:W3CDTF">2015-07-19T07:15:00Z</dcterms:modified>
</cp:coreProperties>
</file>