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B" w:rsidRPr="00B9122B" w:rsidRDefault="00B9122B" w:rsidP="00B9122B">
      <w:pPr>
        <w:pStyle w:val="Bezodstpw"/>
        <w:jc w:val="center"/>
        <w:rPr>
          <w:color w:val="FF0000"/>
          <w:sz w:val="180"/>
          <w:szCs w:val="180"/>
          <w14:shadow w14:blurRad="50800" w14:dist="38100" w14:dir="2700000" w14:sx="100000" w14:sy="100000" w14:kx="0" w14:ky="0" w14:algn="tl">
            <w14:srgbClr w14:val="000000">
              <w14:alpha w14:val="60000"/>
            </w14:srgbClr>
          </w14:shadow>
        </w:rPr>
      </w:pPr>
      <w:bookmarkStart w:id="0" w:name="_GoBack"/>
      <w:r w:rsidRPr="00B9122B">
        <w:rPr>
          <w:color w:val="FF0000"/>
          <w:sz w:val="180"/>
          <w:szCs w:val="180"/>
          <w14:shadow w14:blurRad="50800" w14:dist="38100" w14:dir="2700000" w14:sx="100000" w14:sy="100000" w14:kx="0" w14:ky="0" w14:algn="tl">
            <w14:srgbClr w14:val="000000">
              <w14:alpha w14:val="60000"/>
            </w14:srgbClr>
          </w14:shadow>
        </w:rPr>
        <w:t>Raport</w:t>
      </w:r>
    </w:p>
    <w:bookmarkEnd w:id="0"/>
    <w:p w:rsidR="00B9122B" w:rsidRPr="00B9122B" w:rsidRDefault="00B9122B" w:rsidP="00B9122B">
      <w:pPr>
        <w:pStyle w:val="Bezodstpw"/>
        <w:jc w:val="center"/>
        <w:rPr>
          <w:color w:val="FF0000"/>
          <w:sz w:val="180"/>
          <w:szCs w:val="180"/>
          <w14:shadow w14:blurRad="50800" w14:dist="38100" w14:dir="2700000" w14:sx="100000" w14:sy="100000" w14:kx="0" w14:ky="0" w14:algn="tl">
            <w14:srgbClr w14:val="000000">
              <w14:alpha w14:val="60000"/>
            </w14:srgbClr>
          </w14:shadow>
        </w:rPr>
      </w:pPr>
      <w:r w:rsidRPr="00B9122B">
        <w:rPr>
          <w:color w:val="FF0000"/>
          <w:sz w:val="180"/>
          <w:szCs w:val="180"/>
          <w14:shadow w14:blurRad="50800" w14:dist="38100" w14:dir="2700000" w14:sx="100000" w14:sy="100000" w14:kx="0" w14:ky="0" w14:algn="tl">
            <w14:srgbClr w14:val="000000">
              <w14:alpha w14:val="60000"/>
            </w14:srgbClr>
          </w14:shadow>
        </w:rPr>
        <w:t>Tygodniowy</w:t>
      </w:r>
    </w:p>
    <w:p w:rsidR="00B9122B" w:rsidRPr="00B9122B" w:rsidRDefault="00B9122B" w:rsidP="00B9122B">
      <w:pPr>
        <w:pStyle w:val="Bezodstpw"/>
        <w:jc w:val="center"/>
        <w:rPr>
          <w:color w:val="FF0000"/>
          <w:sz w:val="100"/>
          <w:szCs w:val="100"/>
          <w14:shadow w14:blurRad="50800" w14:dist="38100" w14:dir="2700000" w14:sx="100000" w14:sy="100000" w14:kx="0" w14:ky="0" w14:algn="tl">
            <w14:srgbClr w14:val="000000">
              <w14:alpha w14:val="60000"/>
            </w14:srgbClr>
          </w14:shadow>
        </w:rPr>
      </w:pPr>
      <w:proofErr w:type="gramStart"/>
      <w:r w:rsidRPr="00B9122B">
        <w:rPr>
          <w:color w:val="FF0000"/>
          <w:sz w:val="100"/>
          <w:szCs w:val="100"/>
          <w14:shadow w14:blurRad="50800" w14:dist="38100" w14:dir="2700000" w14:sx="100000" w14:sy="100000" w14:kx="0" w14:ky="0" w14:algn="tl">
            <w14:srgbClr w14:val="000000">
              <w14:alpha w14:val="60000"/>
            </w14:srgbClr>
          </w14:shadow>
        </w:rPr>
        <w:t>o</w:t>
      </w:r>
      <w:proofErr w:type="gramEnd"/>
      <w:r w:rsidRPr="00B9122B">
        <w:rPr>
          <w:color w:val="FF0000"/>
          <w:sz w:val="100"/>
          <w:szCs w:val="100"/>
          <w14:shadow w14:blurRad="50800" w14:dist="38100" w14:dir="2700000" w14:sx="100000" w14:sy="100000" w14:kx="0" w14:ky="0" w14:algn="tl">
            <w14:srgbClr w14:val="000000">
              <w14:alpha w14:val="60000"/>
            </w14:srgbClr>
          </w14:shadow>
        </w:rPr>
        <w:t xml:space="preserve"> sytuacji na</w:t>
      </w:r>
    </w:p>
    <w:p w:rsidR="00B9122B" w:rsidRPr="00B9122B" w:rsidRDefault="00B9122B" w:rsidP="00B9122B">
      <w:pPr>
        <w:pStyle w:val="Bezodstpw"/>
        <w:jc w:val="center"/>
        <w:rPr>
          <w:color w:val="FF0000"/>
          <w:sz w:val="100"/>
          <w:szCs w:val="100"/>
          <w14:shadow w14:blurRad="50800" w14:dist="38100" w14:dir="2700000" w14:sx="100000" w14:sy="100000" w14:kx="0" w14:ky="0" w14:algn="tl">
            <w14:srgbClr w14:val="000000">
              <w14:alpha w14:val="60000"/>
            </w14:srgbClr>
          </w14:shadow>
        </w:rPr>
      </w:pPr>
      <w:r w:rsidRPr="00B9122B">
        <w:rPr>
          <w:color w:val="FF0000"/>
          <w:sz w:val="100"/>
          <w:szCs w:val="100"/>
          <w14:shadow w14:blurRad="50800" w14:dist="38100" w14:dir="2700000" w14:sx="100000" w14:sy="100000" w14:kx="0" w14:ky="0" w14:algn="tl">
            <w14:srgbClr w14:val="000000">
              <w14:alpha w14:val="60000"/>
            </w14:srgbClr>
          </w14:shadow>
        </w:rPr>
        <w:t>rynkach finansowych</w:t>
      </w:r>
    </w:p>
    <w:p w:rsidR="00B9122B" w:rsidRDefault="00B9122B" w:rsidP="00B9122B">
      <w:pPr>
        <w:pStyle w:val="Bezodstpw"/>
        <w:jc w:val="center"/>
        <w:rPr>
          <w:sz w:val="48"/>
          <w:szCs w:val="48"/>
        </w:rPr>
      </w:pPr>
    </w:p>
    <w:p w:rsidR="00B9122B" w:rsidRDefault="00B9122B" w:rsidP="00B9122B">
      <w:pPr>
        <w:pStyle w:val="Bezodstpw"/>
        <w:jc w:val="center"/>
        <w:rPr>
          <w:sz w:val="48"/>
          <w:szCs w:val="48"/>
        </w:rPr>
      </w:pPr>
    </w:p>
    <w:p w:rsidR="00B9122B" w:rsidRPr="00B9122B" w:rsidRDefault="00B9122B" w:rsidP="00B9122B">
      <w:pPr>
        <w:pStyle w:val="Bezodstpw"/>
        <w:jc w:val="center"/>
        <w:rPr>
          <w:sz w:val="100"/>
          <w:szCs w:val="100"/>
          <w:u w:val="single"/>
          <w14:shadow w14:blurRad="50800" w14:dist="38100" w14:dir="2700000" w14:sx="100000" w14:sy="100000" w14:kx="0" w14:ky="0" w14:algn="tl">
            <w14:srgbClr w14:val="000000">
              <w14:alpha w14:val="60000"/>
            </w14:srgbClr>
          </w14:shadow>
        </w:rPr>
      </w:pPr>
      <w:r w:rsidRPr="00B9122B">
        <w:rPr>
          <w:sz w:val="100"/>
          <w:szCs w:val="100"/>
          <w:u w:val="single"/>
          <w14:shadow w14:blurRad="50800" w14:dist="38100" w14:dir="2700000" w14:sx="100000" w14:sy="100000" w14:kx="0" w14:ky="0" w14:algn="tl">
            <w14:srgbClr w14:val="000000">
              <w14:alpha w14:val="60000"/>
            </w14:srgbClr>
          </w14:shadow>
        </w:rPr>
        <w:t>Rynek walutowy</w:t>
      </w:r>
    </w:p>
    <w:p w:rsidR="00B9122B" w:rsidRPr="00B9122B" w:rsidRDefault="00B9122B" w:rsidP="00B9122B">
      <w:pPr>
        <w:pStyle w:val="Bezodstpw"/>
        <w:jc w:val="center"/>
        <w:rPr>
          <w:sz w:val="100"/>
          <w:szCs w:val="100"/>
          <w14:shadow w14:blurRad="50800" w14:dist="38100" w14:dir="2700000" w14:sx="100000" w14:sy="100000" w14:kx="0" w14:ky="0" w14:algn="tl">
            <w14:srgbClr w14:val="000000">
              <w14:alpha w14:val="60000"/>
            </w14:srgbClr>
          </w14:shadow>
        </w:rPr>
      </w:pPr>
    </w:p>
    <w:p w:rsidR="00B9122B" w:rsidRPr="00B9122B" w:rsidRDefault="00B9122B" w:rsidP="00B9122B">
      <w:pPr>
        <w:pStyle w:val="Bezodstpw"/>
        <w:jc w:val="center"/>
        <w:rPr>
          <w:sz w:val="100"/>
          <w:szCs w:val="100"/>
          <w:u w:val="single"/>
          <w14:shadow w14:blurRad="50800" w14:dist="38100" w14:dir="2700000" w14:sx="100000" w14:sy="100000" w14:kx="0" w14:ky="0" w14:algn="tl">
            <w14:srgbClr w14:val="000000">
              <w14:alpha w14:val="60000"/>
            </w14:srgbClr>
          </w14:shadow>
        </w:rPr>
      </w:pPr>
      <w:r w:rsidRPr="00B9122B">
        <w:rPr>
          <w:sz w:val="100"/>
          <w:szCs w:val="100"/>
          <w:u w:val="single"/>
          <w14:shadow w14:blurRad="50800" w14:dist="38100" w14:dir="2700000" w14:sx="100000" w14:sy="100000" w14:kx="0" w14:ky="0" w14:algn="tl">
            <w14:srgbClr w14:val="000000">
              <w14:alpha w14:val="60000"/>
            </w14:srgbClr>
          </w14:shadow>
        </w:rPr>
        <w:t>Rynek akcji</w:t>
      </w:r>
    </w:p>
    <w:p w:rsidR="00B9122B" w:rsidRDefault="00B9122B" w:rsidP="00B9122B">
      <w:pPr>
        <w:pStyle w:val="Bezodstpw"/>
        <w:jc w:val="both"/>
      </w:pPr>
    </w:p>
    <w:p w:rsidR="00B9122B" w:rsidRDefault="00B9122B" w:rsidP="00B9122B">
      <w:pPr>
        <w:pStyle w:val="Bezodstpw"/>
        <w:jc w:val="both"/>
      </w:pPr>
    </w:p>
    <w:p w:rsidR="00B9122B" w:rsidRDefault="00B9122B" w:rsidP="00B9122B">
      <w:pPr>
        <w:pStyle w:val="Bezodstpw"/>
        <w:jc w:val="both"/>
      </w:pPr>
    </w:p>
    <w:p w:rsidR="00B9122B" w:rsidRDefault="00B9122B" w:rsidP="00B9122B">
      <w:pPr>
        <w:pStyle w:val="Bezodstpw"/>
        <w:jc w:val="both"/>
      </w:pPr>
    </w:p>
    <w:p w:rsidR="00B9122B" w:rsidRPr="00B9122B" w:rsidRDefault="00B9122B" w:rsidP="00B9122B">
      <w:pPr>
        <w:pStyle w:val="Bezodstpw"/>
        <w:jc w:val="both"/>
        <w:rPr>
          <w:sz w:val="24"/>
          <w:szCs w:val="24"/>
          <w14:shadow w14:blurRad="50800" w14:dist="38100" w14:dir="2700000" w14:sx="100000" w14:sy="100000" w14:kx="0" w14:ky="0" w14:algn="tl">
            <w14:srgbClr w14:val="000000">
              <w14:alpha w14:val="60000"/>
            </w14:srgbClr>
          </w14:shadow>
        </w:rPr>
      </w:pPr>
      <w:r w:rsidRPr="00B9122B">
        <w:rPr>
          <w:sz w:val="24"/>
          <w:szCs w:val="24"/>
          <w14:shadow w14:blurRad="50800" w14:dist="38100" w14:dir="2700000" w14:sx="100000" w14:sy="100000" w14:kx="0" w14:ky="0" w14:algn="tl">
            <w14:srgbClr w14:val="000000">
              <w14:alpha w14:val="60000"/>
            </w14:srgbClr>
          </w14:shadow>
        </w:rPr>
        <w:lastRenderedPageBreak/>
        <w:t>Poniedziałek, 2</w:t>
      </w:r>
      <w:r w:rsidR="00A70C52">
        <w:rPr>
          <w:sz w:val="24"/>
          <w:szCs w:val="24"/>
          <w14:shadow w14:blurRad="50800" w14:dist="38100" w14:dir="2700000" w14:sx="100000" w14:sy="100000" w14:kx="0" w14:ky="0" w14:algn="tl">
            <w14:srgbClr w14:val="000000">
              <w14:alpha w14:val="60000"/>
            </w14:srgbClr>
          </w14:shadow>
        </w:rPr>
        <w:t>9</w:t>
      </w:r>
      <w:r w:rsidRPr="00B9122B">
        <w:rPr>
          <w:sz w:val="24"/>
          <w:szCs w:val="24"/>
          <w14:shadow w14:blurRad="50800" w14:dist="38100" w14:dir="2700000" w14:sx="100000" w14:sy="100000" w14:kx="0" w14:ky="0" w14:algn="tl">
            <w14:srgbClr w14:val="000000">
              <w14:alpha w14:val="60000"/>
            </w14:srgbClr>
          </w14:shadow>
        </w:rPr>
        <w:t xml:space="preserve"> czerwca 2015 roku</w:t>
      </w:r>
    </w:p>
    <w:p w:rsidR="00B9122B" w:rsidRPr="00B9122B" w:rsidRDefault="00B9122B" w:rsidP="00B9122B">
      <w:pPr>
        <w:pStyle w:val="Bezodstpw"/>
        <w:jc w:val="both"/>
        <w:rPr>
          <w:sz w:val="24"/>
          <w:szCs w:val="24"/>
          <w14:shadow w14:blurRad="50800" w14:dist="38100" w14:dir="2700000" w14:sx="100000" w14:sy="100000" w14:kx="0" w14:ky="0" w14:algn="tl">
            <w14:srgbClr w14:val="000000">
              <w14:alpha w14:val="60000"/>
            </w14:srgbClr>
          </w14:shadow>
        </w:rPr>
      </w:pPr>
    </w:p>
    <w:p w:rsidR="00B9122B" w:rsidRDefault="00B9122B" w:rsidP="00B9122B">
      <w:pPr>
        <w:pStyle w:val="Bezodstpw"/>
        <w:pBdr>
          <w:top w:val="single" w:sz="4" w:space="1" w:color="auto"/>
          <w:left w:val="single" w:sz="4" w:space="4" w:color="auto"/>
          <w:bottom w:val="single" w:sz="4" w:space="1" w:color="auto"/>
          <w:right w:val="single" w:sz="4" w:space="4" w:color="auto"/>
        </w:pBdr>
        <w:jc w:val="center"/>
      </w:pPr>
      <w:r>
        <w:t xml:space="preserve">Kurs USD/PLN – perspektywa długoterminowa, kurs z </w:t>
      </w:r>
      <w:r w:rsidR="00A70C52">
        <w:t>26 czerwca 2015 roku = 3,7388</w:t>
      </w:r>
    </w:p>
    <w:p w:rsidR="00B9122B" w:rsidRDefault="00B9122B" w:rsidP="00B9122B">
      <w:pPr>
        <w:pStyle w:val="Bezodstpw"/>
        <w:jc w:val="both"/>
      </w:pPr>
    </w:p>
    <w:p w:rsidR="00B9122B" w:rsidRDefault="00D04FC9" w:rsidP="00B9122B">
      <w:pPr>
        <w:pStyle w:val="Bezodstpw"/>
        <w:jc w:val="both"/>
      </w:pPr>
      <w:r>
        <w:rPr>
          <w:noProof/>
        </w:rPr>
        <w:drawing>
          <wp:inline distT="0" distB="0" distL="0" distR="0" wp14:anchorId="15CFF1A5">
            <wp:extent cx="4828540" cy="29044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540" cy="2904490"/>
                    </a:xfrm>
                    <a:prstGeom prst="rect">
                      <a:avLst/>
                    </a:prstGeom>
                    <a:noFill/>
                  </pic:spPr>
                </pic:pic>
              </a:graphicData>
            </a:graphic>
          </wp:inline>
        </w:drawing>
      </w:r>
    </w:p>
    <w:p w:rsidR="00B9122B" w:rsidRDefault="00B9122B" w:rsidP="00B9122B">
      <w:pPr>
        <w:pStyle w:val="Bezodstpw"/>
        <w:jc w:val="both"/>
      </w:pPr>
    </w:p>
    <w:p w:rsidR="00B9122B" w:rsidRDefault="00B9122B" w:rsidP="00B9122B">
      <w:pPr>
        <w:pStyle w:val="Bezodstpw"/>
        <w:jc w:val="both"/>
      </w:pPr>
      <w:r>
        <w:t xml:space="preserve">Kurs spadł </w:t>
      </w:r>
      <w:r>
        <w:rPr>
          <w:b/>
          <w:color w:val="FF0000"/>
        </w:rPr>
        <w:t>poniżej bardzo ważnego oporu</w:t>
      </w:r>
      <w:r>
        <w:t xml:space="preserve"> na poziomie 3,9130 zł. z lutego 2009 roku. </w:t>
      </w:r>
      <w:r>
        <w:rPr>
          <w:u w:val="single"/>
        </w:rPr>
        <w:t xml:space="preserve">W tej sytuacji </w:t>
      </w:r>
      <w:r>
        <w:t>można</w:t>
      </w:r>
      <w:r>
        <w:rPr>
          <w:u w:val="single"/>
        </w:rPr>
        <w:t xml:space="preserve"> </w:t>
      </w:r>
      <w:r>
        <w:rPr>
          <w:b/>
          <w:u w:val="single"/>
        </w:rPr>
        <w:t>oczekiwać rozpoczęcia się fali spadków</w:t>
      </w:r>
      <w:r>
        <w:t xml:space="preserve"> w kierunku linii trendu wzrostowego poprowadzonej przez dołki z lipca 2008 roku oraz czerwca 2014 roku, która aktualnie przebiega na poziomie </w:t>
      </w:r>
      <w:r>
        <w:rPr>
          <w:b/>
          <w:color w:val="FF0000"/>
        </w:rPr>
        <w:t>3,10.</w:t>
      </w:r>
      <w:r>
        <w:t xml:space="preserve"> </w:t>
      </w:r>
    </w:p>
    <w:p w:rsidR="00B9122B" w:rsidRDefault="00B9122B" w:rsidP="00B9122B">
      <w:pPr>
        <w:pStyle w:val="Bezodstpw"/>
        <w:jc w:val="both"/>
      </w:pPr>
    </w:p>
    <w:p w:rsidR="00B9122B" w:rsidRDefault="00B9122B" w:rsidP="00B9122B">
      <w:pPr>
        <w:pStyle w:val="Bezodstpw"/>
        <w:pBdr>
          <w:top w:val="single" w:sz="4" w:space="1" w:color="auto"/>
          <w:left w:val="single" w:sz="4" w:space="4" w:color="auto"/>
          <w:bottom w:val="single" w:sz="4" w:space="1" w:color="auto"/>
          <w:right w:val="single" w:sz="4" w:space="4" w:color="auto"/>
        </w:pBdr>
        <w:jc w:val="center"/>
      </w:pPr>
      <w:r>
        <w:t xml:space="preserve">Kurs EUR/PLN – perspektywa długoterminowa, kurs z </w:t>
      </w:r>
      <w:r w:rsidR="00A70C52">
        <w:t>26 czerwca 2015 roku = 4,1765</w:t>
      </w:r>
    </w:p>
    <w:p w:rsidR="00B9122B" w:rsidRDefault="00B9122B" w:rsidP="00B9122B">
      <w:pPr>
        <w:pStyle w:val="Bezodstpw"/>
        <w:jc w:val="both"/>
      </w:pPr>
    </w:p>
    <w:p w:rsidR="00B9122B" w:rsidRDefault="00D04FC9" w:rsidP="00B9122B">
      <w:pPr>
        <w:pStyle w:val="Bezodstpw"/>
        <w:jc w:val="both"/>
      </w:pPr>
      <w:r>
        <w:rPr>
          <w:noProof/>
        </w:rPr>
        <w:drawing>
          <wp:inline distT="0" distB="0" distL="0" distR="0" wp14:anchorId="650C1057">
            <wp:extent cx="4828540" cy="29044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540" cy="2904490"/>
                    </a:xfrm>
                    <a:prstGeom prst="rect">
                      <a:avLst/>
                    </a:prstGeom>
                    <a:noFill/>
                  </pic:spPr>
                </pic:pic>
              </a:graphicData>
            </a:graphic>
          </wp:inline>
        </w:drawing>
      </w:r>
    </w:p>
    <w:p w:rsidR="00B9122B" w:rsidRDefault="00B9122B" w:rsidP="00B9122B">
      <w:pPr>
        <w:pStyle w:val="Bezodstpw"/>
        <w:jc w:val="both"/>
      </w:pPr>
    </w:p>
    <w:p w:rsidR="00B9122B" w:rsidRDefault="00B9122B" w:rsidP="00B9122B">
      <w:pPr>
        <w:pStyle w:val="Bezodstpw"/>
        <w:jc w:val="both"/>
        <w:rPr>
          <w:color w:val="000000" w:themeColor="text1"/>
        </w:rPr>
      </w:pPr>
      <w:r>
        <w:t xml:space="preserve">Aktywność strony podażowej doprowadziła do przebicia od góry spadkowej linii trendu poprowadzonej przez szczyty z lutego 2009 roku oraz grudnia 2011 roku. Bardzo ważnym poziomem oporu był poziom </w:t>
      </w:r>
      <w:r>
        <w:rPr>
          <w:b/>
          <w:color w:val="000000" w:themeColor="text1"/>
        </w:rPr>
        <w:t>4,3668</w:t>
      </w:r>
      <w:r>
        <w:t xml:space="preserve"> (szczyt z czerwca 2013 roku). Po dojściu do tego oporu </w:t>
      </w:r>
      <w:r>
        <w:rPr>
          <w:b/>
          <w:u w:val="single"/>
        </w:rPr>
        <w:t>rozpoczęła się</w:t>
      </w:r>
      <w:r>
        <w:t xml:space="preserve"> </w:t>
      </w:r>
      <w:r>
        <w:rPr>
          <w:b/>
          <w:u w:val="single"/>
        </w:rPr>
        <w:t>fala spadków</w:t>
      </w:r>
      <w:r>
        <w:t xml:space="preserve">. Najbliższym ważnym </w:t>
      </w:r>
      <w:r>
        <w:rPr>
          <w:color w:val="000000" w:themeColor="text1"/>
        </w:rPr>
        <w:t xml:space="preserve">wsparciem jest poziom </w:t>
      </w:r>
      <w:r>
        <w:rPr>
          <w:b/>
          <w:color w:val="FF0000"/>
        </w:rPr>
        <w:t>3,8932 zł</w:t>
      </w:r>
      <w:r>
        <w:rPr>
          <w:color w:val="000000" w:themeColor="text1"/>
        </w:rPr>
        <w:t xml:space="preserve"> (dołek z maja 2011 roku). </w:t>
      </w:r>
    </w:p>
    <w:p w:rsidR="00DE31A2" w:rsidRDefault="00DE31A2" w:rsidP="00EF7398">
      <w:pPr>
        <w:pStyle w:val="Bezodstpw"/>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lastRenderedPageBreak/>
        <w:t>GPW w Warszawie - Popyt nieco się uaktywnił</w:t>
      </w:r>
    </w:p>
    <w:p w:rsidR="00DE31A2" w:rsidRDefault="00DE31A2" w:rsidP="00DE31A2">
      <w:pPr>
        <w:pStyle w:val="Bezodstpw"/>
        <w:jc w:val="center"/>
        <w:rPr>
          <w:color w:val="000000" w:themeColor="text1"/>
        </w:rPr>
      </w:pPr>
    </w:p>
    <w:p w:rsidR="00DE31A2" w:rsidRDefault="00DE31A2" w:rsidP="00DE31A2">
      <w:pPr>
        <w:pStyle w:val="Bezodstpw"/>
        <w:jc w:val="both"/>
        <w:rPr>
          <w:color w:val="000000" w:themeColor="text1"/>
        </w:rPr>
      </w:pPr>
      <w:r>
        <w:rPr>
          <w:color w:val="000000" w:themeColor="text1"/>
        </w:rPr>
        <w:t xml:space="preserve">Popyt na akcje spółek notowanych na giełdzie warszawskiej nieco się uaktywnił. W rezultacie zarówno WIG 20, jak również WIG stoją przed szansą na wzrosty. Spoglądając na WIG 20 warto zauważyć, że popyt uaktywnił się już nieco powyżej lekko wznoszącej się linii trendu poprowadzonej przez dołki z czerwca 2012 roku oraz stycznia 2015 roku. </w:t>
      </w:r>
    </w:p>
    <w:p w:rsidR="004F2FB1" w:rsidRDefault="004F2FB1" w:rsidP="00DE31A2">
      <w:pPr>
        <w:pStyle w:val="Bezodstpw"/>
        <w:jc w:val="both"/>
        <w:rPr>
          <w:color w:val="000000" w:themeColor="text1"/>
        </w:rPr>
      </w:pPr>
    </w:p>
    <w:p w:rsidR="004F2FB1" w:rsidRDefault="004F2FB1" w:rsidP="00DE31A2">
      <w:pPr>
        <w:pStyle w:val="Bezodstpw"/>
        <w:jc w:val="both"/>
        <w:rPr>
          <w:color w:val="000000" w:themeColor="text1"/>
        </w:rPr>
      </w:pPr>
      <w:r>
        <w:rPr>
          <w:noProof/>
          <w:color w:val="000000" w:themeColor="text1"/>
        </w:rPr>
        <w:drawing>
          <wp:inline distT="0" distB="0" distL="0" distR="0" wp14:anchorId="122D3A12">
            <wp:extent cx="4828540" cy="29044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8540" cy="2904490"/>
                    </a:xfrm>
                    <a:prstGeom prst="rect">
                      <a:avLst/>
                    </a:prstGeom>
                    <a:noFill/>
                  </pic:spPr>
                </pic:pic>
              </a:graphicData>
            </a:graphic>
          </wp:inline>
        </w:drawing>
      </w:r>
    </w:p>
    <w:p w:rsidR="00DE31A2" w:rsidRDefault="00DE31A2" w:rsidP="00DE31A2">
      <w:pPr>
        <w:pStyle w:val="Bezodstpw"/>
        <w:jc w:val="both"/>
        <w:rPr>
          <w:color w:val="000000" w:themeColor="text1"/>
        </w:rPr>
      </w:pPr>
    </w:p>
    <w:p w:rsidR="00DE31A2" w:rsidRDefault="00DE31A2" w:rsidP="00DE31A2">
      <w:pPr>
        <w:pStyle w:val="Bezodstpw"/>
        <w:jc w:val="both"/>
        <w:rPr>
          <w:color w:val="000000" w:themeColor="text1"/>
        </w:rPr>
      </w:pPr>
      <w:r>
        <w:rPr>
          <w:color w:val="000000" w:themeColor="text1"/>
        </w:rPr>
        <w:t xml:space="preserve">Na wykresie tygodniowym oscylator stochastyczny wszedł do strefy wyprzedania. W przypadku trendu wzrostowego, lub choćby trendu bocznego wejście owego oscylatora do strefy wyprzedania stanowi sygnał kupna. </w:t>
      </w:r>
    </w:p>
    <w:p w:rsidR="00DE31A2" w:rsidRDefault="00DE31A2" w:rsidP="00DE31A2">
      <w:pPr>
        <w:pStyle w:val="Bezodstpw"/>
        <w:jc w:val="both"/>
        <w:rPr>
          <w:color w:val="000000" w:themeColor="text1"/>
        </w:rPr>
      </w:pPr>
    </w:p>
    <w:p w:rsidR="00DE31A2" w:rsidRDefault="004F2FB1" w:rsidP="00DE31A2">
      <w:pPr>
        <w:pStyle w:val="Bezodstpw"/>
        <w:jc w:val="both"/>
        <w:rPr>
          <w:color w:val="000000" w:themeColor="text1"/>
        </w:rPr>
      </w:pPr>
      <w:r>
        <w:rPr>
          <w:noProof/>
          <w:color w:val="000000" w:themeColor="text1"/>
        </w:rPr>
        <w:drawing>
          <wp:inline distT="0" distB="0" distL="0" distR="0" wp14:anchorId="3296B63B">
            <wp:extent cx="4838065" cy="2894965"/>
            <wp:effectExtent l="0" t="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065" cy="2894965"/>
                    </a:xfrm>
                    <a:prstGeom prst="rect">
                      <a:avLst/>
                    </a:prstGeom>
                    <a:noFill/>
                  </pic:spPr>
                </pic:pic>
              </a:graphicData>
            </a:graphic>
          </wp:inline>
        </w:drawing>
      </w:r>
    </w:p>
    <w:p w:rsidR="00DE31A2" w:rsidRDefault="00DE31A2" w:rsidP="00DE31A2">
      <w:pPr>
        <w:pStyle w:val="Bezodstpw"/>
        <w:jc w:val="both"/>
        <w:rPr>
          <w:color w:val="000000" w:themeColor="text1"/>
        </w:rPr>
      </w:pPr>
    </w:p>
    <w:p w:rsidR="00876E0A" w:rsidRDefault="004F2FB1" w:rsidP="00DE31A2">
      <w:pPr>
        <w:pStyle w:val="Bezodstpw"/>
        <w:jc w:val="both"/>
        <w:rPr>
          <w:color w:val="000000" w:themeColor="text1"/>
        </w:rPr>
      </w:pPr>
      <w:r>
        <w:rPr>
          <w:color w:val="000000" w:themeColor="text1"/>
        </w:rPr>
        <w:t>W związku z tym w najbliższych tygodniach można oczekiwać</w:t>
      </w:r>
      <w:r w:rsidR="00F55B15">
        <w:rPr>
          <w:color w:val="000000" w:themeColor="text1"/>
        </w:rPr>
        <w:t xml:space="preserve"> kontynuacji trendu wzrostowego, zwłaszcza, że odsetek </w:t>
      </w:r>
      <w:proofErr w:type="gramStart"/>
      <w:r w:rsidR="00F55B15">
        <w:rPr>
          <w:color w:val="000000" w:themeColor="text1"/>
        </w:rPr>
        <w:t>,,</w:t>
      </w:r>
      <w:proofErr w:type="gramEnd"/>
      <w:r w:rsidR="00F55B15">
        <w:rPr>
          <w:color w:val="000000" w:themeColor="text1"/>
        </w:rPr>
        <w:t xml:space="preserve">niedźwiedzi” uwidoczniony w badaniach Stowarzyszenie Inwestorów Indywidualnych jest wciąż wysoki (wynosi 31,4 %), co zgodnie z zasadą ,,kupuj, gdy występuje </w:t>
      </w:r>
      <w:r w:rsidR="00F55B15">
        <w:rPr>
          <w:color w:val="000000" w:themeColor="text1"/>
        </w:rPr>
        <w:lastRenderedPageBreak/>
        <w:t xml:space="preserve">stosunkowo duża liczba ,,niedźwiedzi”, sprzedawaj, gdy występuje stosunkowo niska liczba ,,niedźwiedzi” stanowo właśnie sygnał kupna. </w:t>
      </w:r>
    </w:p>
    <w:p w:rsidR="00876E0A" w:rsidRDefault="00876E0A" w:rsidP="00DE31A2">
      <w:pPr>
        <w:pStyle w:val="Bezodstpw"/>
        <w:jc w:val="both"/>
        <w:rPr>
          <w:color w:val="000000" w:themeColor="text1"/>
        </w:rPr>
      </w:pPr>
    </w:p>
    <w:p w:rsidR="00690BED" w:rsidRDefault="00996711" w:rsidP="00DE31A2">
      <w:pPr>
        <w:pStyle w:val="Bezodstpw"/>
        <w:jc w:val="both"/>
        <w:rPr>
          <w:color w:val="000000" w:themeColor="text1"/>
        </w:rPr>
      </w:pPr>
      <w:hyperlink r:id="rId12" w:history="1">
        <w:r w:rsidR="00690BED" w:rsidRPr="00EE2D0D">
          <w:rPr>
            <w:rStyle w:val="Hipercze"/>
          </w:rPr>
          <w:t>http://www.sii.org.pl/3438/edukacja-i-analizy/indeks-nastrojow-inwestorow.html</w:t>
        </w:r>
      </w:hyperlink>
    </w:p>
    <w:p w:rsidR="00876E0A" w:rsidRDefault="00690BED" w:rsidP="00DE31A2">
      <w:pPr>
        <w:pStyle w:val="Bezodstpw"/>
        <w:jc w:val="both"/>
        <w:rPr>
          <w:color w:val="000000" w:themeColor="text1"/>
        </w:rPr>
      </w:pPr>
      <w:r>
        <w:rPr>
          <w:color w:val="000000" w:themeColor="text1"/>
        </w:rPr>
        <w:t xml:space="preserve">Warto przypomnieć, że poprzednio tak wysoki odsetek </w:t>
      </w:r>
      <w:proofErr w:type="gramStart"/>
      <w:r>
        <w:rPr>
          <w:color w:val="000000" w:themeColor="text1"/>
        </w:rPr>
        <w:t>,,</w:t>
      </w:r>
      <w:proofErr w:type="gramEnd"/>
      <w:r>
        <w:rPr>
          <w:color w:val="000000" w:themeColor="text1"/>
        </w:rPr>
        <w:t xml:space="preserve">niedźwiedzi” (ponad 30 %) wystąpił na przełomie 2014 i 2015 roku poprzedzając stosunkowo silny wzrost indeksu WIG20. </w:t>
      </w:r>
    </w:p>
    <w:p w:rsidR="00876E0A" w:rsidRDefault="00876E0A" w:rsidP="00DE31A2">
      <w:pPr>
        <w:pStyle w:val="Bezodstpw"/>
        <w:jc w:val="both"/>
        <w:rPr>
          <w:color w:val="000000" w:themeColor="text1"/>
        </w:rPr>
      </w:pPr>
    </w:p>
    <w:p w:rsidR="00712ED0" w:rsidRDefault="00712ED0" w:rsidP="00DE31A2">
      <w:pPr>
        <w:pStyle w:val="Bezodstpw"/>
        <w:jc w:val="both"/>
        <w:rPr>
          <w:color w:val="000000" w:themeColor="text1"/>
        </w:rPr>
      </w:pPr>
      <w:r>
        <w:rPr>
          <w:color w:val="000000" w:themeColor="text1"/>
        </w:rPr>
        <w:t xml:space="preserve">W poniższej tabeli przedstawiłem </w:t>
      </w:r>
      <w:r w:rsidRPr="00544142">
        <w:rPr>
          <w:b/>
          <w:color w:val="000000" w:themeColor="text1"/>
          <w:u w:val="single"/>
        </w:rPr>
        <w:t>procentową zmianę</w:t>
      </w:r>
      <w:r>
        <w:rPr>
          <w:color w:val="000000" w:themeColor="text1"/>
        </w:rPr>
        <w:t xml:space="preserve"> poszczególnych indeksów branżowych obliczanych przez portal </w:t>
      </w:r>
      <w:hyperlink r:id="rId13" w:history="1">
        <w:r w:rsidRPr="0053580B">
          <w:rPr>
            <w:rStyle w:val="Hipercze"/>
          </w:rPr>
          <w:t>http://stooq.pl/</w:t>
        </w:r>
      </w:hyperlink>
      <w:r>
        <w:rPr>
          <w:color w:val="000000" w:themeColor="text1"/>
        </w:rPr>
        <w:t xml:space="preserve"> na przestrzeni ostatniego miesiąca (od 26 maja do 26 czerwca). </w:t>
      </w:r>
      <w:r w:rsidRPr="00876E0A">
        <w:rPr>
          <w:b/>
          <w:color w:val="000000" w:themeColor="text1"/>
        </w:rPr>
        <w:t>II tura wyborów prezydenckich</w:t>
      </w:r>
      <w:r>
        <w:rPr>
          <w:color w:val="000000" w:themeColor="text1"/>
        </w:rPr>
        <w:t xml:space="preserve"> odbyła się 24 maja. </w:t>
      </w:r>
      <w:r w:rsidR="00876E0A">
        <w:rPr>
          <w:color w:val="000000" w:themeColor="text1"/>
        </w:rPr>
        <w:t>Szczególnie w</w:t>
      </w:r>
      <w:r>
        <w:rPr>
          <w:color w:val="000000" w:themeColor="text1"/>
        </w:rPr>
        <w:t xml:space="preserve">arto zwrócić uwagę na to, które indeksy branżowe zachowały się </w:t>
      </w:r>
      <w:r w:rsidR="00876E0A">
        <w:rPr>
          <w:b/>
          <w:color w:val="000000" w:themeColor="text1"/>
        </w:rPr>
        <w:t xml:space="preserve">stosunkowo mocno. </w:t>
      </w:r>
      <w:r w:rsidR="00876E0A" w:rsidRPr="00876E0A">
        <w:rPr>
          <w:color w:val="000000" w:themeColor="text1"/>
        </w:rPr>
        <w:t xml:space="preserve">Być może inwestorzy giełdowi uznali, że otwierająca się perspektywa zmian w polskiej polityce (także w odniesieniu do składu parlamentu i rządu) wpłynie akurat </w:t>
      </w:r>
      <w:r w:rsidR="00876E0A" w:rsidRPr="00876E0A">
        <w:rPr>
          <w:b/>
          <w:color w:val="000000" w:themeColor="text1"/>
        </w:rPr>
        <w:t>stosunkowo najlepiej na przyszłe wyniki</w:t>
      </w:r>
      <w:r w:rsidR="00876E0A" w:rsidRPr="00876E0A">
        <w:rPr>
          <w:color w:val="000000" w:themeColor="text1"/>
        </w:rPr>
        <w:t xml:space="preserve"> finansowe spółek z branż, których indeksy zachowały się w ostatnim miesiącu stosunkowo mocno </w:t>
      </w:r>
      <w:r w:rsidR="00876E0A" w:rsidRPr="00876E0A">
        <w:rPr>
          <w:b/>
          <w:color w:val="000000" w:themeColor="text1"/>
        </w:rPr>
        <w:t xml:space="preserve">(a uszczupli </w:t>
      </w:r>
      <w:r w:rsidR="00B0566C">
        <w:rPr>
          <w:b/>
          <w:color w:val="000000" w:themeColor="text1"/>
        </w:rPr>
        <w:t>perspektywy zysków</w:t>
      </w:r>
      <w:r w:rsidR="00876E0A" w:rsidRPr="00876E0A">
        <w:rPr>
          <w:b/>
          <w:color w:val="000000" w:themeColor="text1"/>
        </w:rPr>
        <w:t xml:space="preserve"> podmiotów</w:t>
      </w:r>
      <w:r w:rsidR="00876E0A" w:rsidRPr="00876E0A">
        <w:rPr>
          <w:color w:val="000000" w:themeColor="text1"/>
        </w:rPr>
        <w:t xml:space="preserve"> z indeksów, którego zachowały się stosunkowo w ostatnim miesiącu stosunkowo słabo). Być może….</w:t>
      </w:r>
      <w:r w:rsidR="00876E0A">
        <w:rPr>
          <w:color w:val="000000" w:themeColor="text1"/>
        </w:rPr>
        <w:t xml:space="preserve">Zachęcam do </w:t>
      </w:r>
      <w:r w:rsidR="00876E0A" w:rsidRPr="00876E0A">
        <w:rPr>
          <w:b/>
          <w:color w:val="000000" w:themeColor="text1"/>
        </w:rPr>
        <w:t>samodzielnych</w:t>
      </w:r>
      <w:r w:rsidR="00876E0A">
        <w:rPr>
          <w:color w:val="000000" w:themeColor="text1"/>
        </w:rPr>
        <w:t xml:space="preserve"> refleksji w tym względzie…</w:t>
      </w:r>
    </w:p>
    <w:tbl>
      <w:tblPr>
        <w:tblStyle w:val="Tabela-Siatka"/>
        <w:tblW w:w="0" w:type="auto"/>
        <w:tblLook w:val="04A0" w:firstRow="1" w:lastRow="0" w:firstColumn="1" w:lastColumn="0" w:noHBand="0" w:noVBand="1"/>
      </w:tblPr>
      <w:tblGrid>
        <w:gridCol w:w="4606"/>
        <w:gridCol w:w="4606"/>
      </w:tblGrid>
      <w:tr w:rsidR="00712ED0" w:rsidTr="00712ED0">
        <w:tc>
          <w:tcPr>
            <w:tcW w:w="4606" w:type="dxa"/>
          </w:tcPr>
          <w:p w:rsidR="00712ED0" w:rsidRPr="00312F56" w:rsidRDefault="00712ED0" w:rsidP="00712ED0">
            <w:pPr>
              <w:jc w:val="center"/>
            </w:pPr>
            <w:r w:rsidRPr="00312F56">
              <w:t>Konglomeraty</w:t>
            </w:r>
          </w:p>
        </w:tc>
        <w:tc>
          <w:tcPr>
            <w:tcW w:w="4606" w:type="dxa"/>
          </w:tcPr>
          <w:p w:rsidR="00712ED0" w:rsidRPr="00312F56" w:rsidRDefault="00712ED0" w:rsidP="00712ED0">
            <w:pPr>
              <w:jc w:val="center"/>
            </w:pPr>
            <w:r>
              <w:t xml:space="preserve">    </w:t>
            </w:r>
            <w:r w:rsidRPr="00312F56">
              <w:t>7,33</w:t>
            </w:r>
          </w:p>
        </w:tc>
      </w:tr>
      <w:tr w:rsidR="00712ED0" w:rsidTr="00712ED0">
        <w:tc>
          <w:tcPr>
            <w:tcW w:w="4606" w:type="dxa"/>
          </w:tcPr>
          <w:p w:rsidR="00712ED0" w:rsidRPr="00312F56" w:rsidRDefault="00712ED0" w:rsidP="00712ED0">
            <w:pPr>
              <w:jc w:val="center"/>
            </w:pPr>
            <w:r w:rsidRPr="00312F56">
              <w:t>Chemiczny</w:t>
            </w:r>
          </w:p>
        </w:tc>
        <w:tc>
          <w:tcPr>
            <w:tcW w:w="4606" w:type="dxa"/>
          </w:tcPr>
          <w:p w:rsidR="00712ED0" w:rsidRPr="00312F56" w:rsidRDefault="00712ED0" w:rsidP="00712ED0">
            <w:pPr>
              <w:jc w:val="center"/>
            </w:pPr>
            <w:r>
              <w:t xml:space="preserve">    </w:t>
            </w:r>
            <w:r w:rsidRPr="00312F56">
              <w:t>1,66</w:t>
            </w:r>
          </w:p>
        </w:tc>
      </w:tr>
      <w:tr w:rsidR="00712ED0" w:rsidTr="00712ED0">
        <w:tc>
          <w:tcPr>
            <w:tcW w:w="4606" w:type="dxa"/>
          </w:tcPr>
          <w:p w:rsidR="00712ED0" w:rsidRPr="00312F56" w:rsidRDefault="00712ED0" w:rsidP="00712ED0">
            <w:pPr>
              <w:jc w:val="center"/>
            </w:pPr>
            <w:r w:rsidRPr="00312F56">
              <w:t>Metalowy</w:t>
            </w:r>
          </w:p>
        </w:tc>
        <w:tc>
          <w:tcPr>
            <w:tcW w:w="4606" w:type="dxa"/>
          </w:tcPr>
          <w:p w:rsidR="00712ED0" w:rsidRPr="00312F56" w:rsidRDefault="00712ED0" w:rsidP="00712ED0">
            <w:pPr>
              <w:jc w:val="center"/>
            </w:pPr>
            <w:r>
              <w:t xml:space="preserve">    </w:t>
            </w:r>
            <w:r w:rsidRPr="00312F56">
              <w:t>0,94</w:t>
            </w:r>
          </w:p>
        </w:tc>
      </w:tr>
      <w:tr w:rsidR="00712ED0" w:rsidTr="00712ED0">
        <w:tc>
          <w:tcPr>
            <w:tcW w:w="4606" w:type="dxa"/>
          </w:tcPr>
          <w:p w:rsidR="00712ED0" w:rsidRPr="00B57096" w:rsidRDefault="00712ED0" w:rsidP="00712ED0">
            <w:pPr>
              <w:jc w:val="center"/>
              <w:rPr>
                <w:b/>
                <w:color w:val="FF0000"/>
              </w:rPr>
            </w:pPr>
            <w:r w:rsidRPr="00B57096">
              <w:rPr>
                <w:b/>
                <w:color w:val="FF0000"/>
              </w:rPr>
              <w:t>Budownictwo</w:t>
            </w:r>
          </w:p>
        </w:tc>
        <w:tc>
          <w:tcPr>
            <w:tcW w:w="4606" w:type="dxa"/>
          </w:tcPr>
          <w:p w:rsidR="00712ED0" w:rsidRPr="00B57096" w:rsidRDefault="00712ED0" w:rsidP="00712ED0">
            <w:pPr>
              <w:jc w:val="center"/>
              <w:rPr>
                <w:b/>
                <w:color w:val="FF0000"/>
              </w:rPr>
            </w:pPr>
            <w:r w:rsidRPr="00B57096">
              <w:rPr>
                <w:b/>
                <w:color w:val="FF0000"/>
              </w:rPr>
              <w:t xml:space="preserve">  -0,15</w:t>
            </w:r>
          </w:p>
        </w:tc>
      </w:tr>
      <w:tr w:rsidR="00712ED0" w:rsidTr="00712ED0">
        <w:tc>
          <w:tcPr>
            <w:tcW w:w="4606" w:type="dxa"/>
          </w:tcPr>
          <w:p w:rsidR="00712ED0" w:rsidRPr="00312F56" w:rsidRDefault="00712ED0" w:rsidP="00712ED0">
            <w:pPr>
              <w:jc w:val="center"/>
            </w:pPr>
            <w:r w:rsidRPr="00312F56">
              <w:t>Motoryzacyjny</w:t>
            </w:r>
          </w:p>
        </w:tc>
        <w:tc>
          <w:tcPr>
            <w:tcW w:w="4606" w:type="dxa"/>
          </w:tcPr>
          <w:p w:rsidR="00712ED0" w:rsidRPr="00312F56" w:rsidRDefault="00712ED0" w:rsidP="00712ED0">
            <w:pPr>
              <w:jc w:val="center"/>
            </w:pPr>
            <w:r>
              <w:t xml:space="preserve">  </w:t>
            </w:r>
            <w:r w:rsidRPr="00312F56">
              <w:t>-0,74</w:t>
            </w:r>
          </w:p>
        </w:tc>
      </w:tr>
      <w:tr w:rsidR="00712ED0" w:rsidTr="00712ED0">
        <w:tc>
          <w:tcPr>
            <w:tcW w:w="4606" w:type="dxa"/>
          </w:tcPr>
          <w:p w:rsidR="00712ED0" w:rsidRPr="00312F56" w:rsidRDefault="00712ED0" w:rsidP="00712ED0">
            <w:pPr>
              <w:jc w:val="center"/>
            </w:pPr>
            <w:r w:rsidRPr="00312F56">
              <w:t>Hotele i restauracje</w:t>
            </w:r>
          </w:p>
        </w:tc>
        <w:tc>
          <w:tcPr>
            <w:tcW w:w="4606" w:type="dxa"/>
          </w:tcPr>
          <w:p w:rsidR="00712ED0" w:rsidRPr="00312F56" w:rsidRDefault="00712ED0" w:rsidP="00712ED0">
            <w:pPr>
              <w:jc w:val="center"/>
            </w:pPr>
            <w:r>
              <w:t xml:space="preserve">  </w:t>
            </w:r>
            <w:r w:rsidRPr="00312F56">
              <w:t>-1,15</w:t>
            </w:r>
          </w:p>
        </w:tc>
      </w:tr>
      <w:tr w:rsidR="00712ED0" w:rsidTr="00712ED0">
        <w:tc>
          <w:tcPr>
            <w:tcW w:w="4606" w:type="dxa"/>
          </w:tcPr>
          <w:p w:rsidR="00712ED0" w:rsidRPr="00B57096" w:rsidRDefault="00712ED0" w:rsidP="00712ED0">
            <w:pPr>
              <w:jc w:val="center"/>
              <w:rPr>
                <w:b/>
                <w:color w:val="FF0000"/>
              </w:rPr>
            </w:pPr>
            <w:r w:rsidRPr="00B57096">
              <w:rPr>
                <w:b/>
                <w:color w:val="FF0000"/>
              </w:rPr>
              <w:t>Media</w:t>
            </w:r>
          </w:p>
        </w:tc>
        <w:tc>
          <w:tcPr>
            <w:tcW w:w="4606" w:type="dxa"/>
          </w:tcPr>
          <w:p w:rsidR="00712ED0" w:rsidRPr="00B57096" w:rsidRDefault="00712ED0" w:rsidP="00712ED0">
            <w:pPr>
              <w:jc w:val="center"/>
              <w:rPr>
                <w:b/>
                <w:color w:val="FF0000"/>
              </w:rPr>
            </w:pPr>
            <w:r w:rsidRPr="00B57096">
              <w:rPr>
                <w:b/>
                <w:color w:val="FF0000"/>
              </w:rPr>
              <w:t xml:space="preserve">  -1,28</w:t>
            </w:r>
          </w:p>
        </w:tc>
      </w:tr>
      <w:tr w:rsidR="00712ED0" w:rsidTr="00712ED0">
        <w:tc>
          <w:tcPr>
            <w:tcW w:w="4606" w:type="dxa"/>
          </w:tcPr>
          <w:p w:rsidR="00712ED0" w:rsidRPr="00312F56" w:rsidRDefault="00712ED0" w:rsidP="00712ED0">
            <w:pPr>
              <w:jc w:val="center"/>
            </w:pPr>
            <w:r w:rsidRPr="00312F56">
              <w:t>Tworzyw Sztucznych</w:t>
            </w:r>
          </w:p>
        </w:tc>
        <w:tc>
          <w:tcPr>
            <w:tcW w:w="4606" w:type="dxa"/>
          </w:tcPr>
          <w:p w:rsidR="00712ED0" w:rsidRPr="00312F56" w:rsidRDefault="00712ED0" w:rsidP="00712ED0">
            <w:pPr>
              <w:jc w:val="center"/>
            </w:pPr>
            <w:r>
              <w:t xml:space="preserve">  </w:t>
            </w:r>
            <w:r w:rsidRPr="00312F56">
              <w:t>-1,49</w:t>
            </w:r>
          </w:p>
        </w:tc>
      </w:tr>
      <w:tr w:rsidR="00712ED0" w:rsidTr="00712ED0">
        <w:tc>
          <w:tcPr>
            <w:tcW w:w="4606" w:type="dxa"/>
          </w:tcPr>
          <w:p w:rsidR="00712ED0" w:rsidRPr="00312F56" w:rsidRDefault="00712ED0" w:rsidP="00712ED0">
            <w:pPr>
              <w:jc w:val="center"/>
            </w:pPr>
            <w:r w:rsidRPr="00312F56">
              <w:t>Energetyka</w:t>
            </w:r>
          </w:p>
        </w:tc>
        <w:tc>
          <w:tcPr>
            <w:tcW w:w="4606" w:type="dxa"/>
          </w:tcPr>
          <w:p w:rsidR="00712ED0" w:rsidRPr="00312F56" w:rsidRDefault="00712ED0" w:rsidP="00712ED0">
            <w:pPr>
              <w:jc w:val="center"/>
            </w:pPr>
            <w:r>
              <w:t xml:space="preserve">  </w:t>
            </w:r>
            <w:r w:rsidRPr="00312F56">
              <w:t>-1,54</w:t>
            </w:r>
          </w:p>
        </w:tc>
      </w:tr>
      <w:tr w:rsidR="00712ED0" w:rsidTr="00712ED0">
        <w:tc>
          <w:tcPr>
            <w:tcW w:w="4606" w:type="dxa"/>
          </w:tcPr>
          <w:p w:rsidR="00712ED0" w:rsidRPr="00312F56" w:rsidRDefault="00712ED0" w:rsidP="00712ED0">
            <w:pPr>
              <w:jc w:val="center"/>
            </w:pPr>
            <w:r w:rsidRPr="00312F56">
              <w:t>Spożywczy</w:t>
            </w:r>
          </w:p>
        </w:tc>
        <w:tc>
          <w:tcPr>
            <w:tcW w:w="4606" w:type="dxa"/>
          </w:tcPr>
          <w:p w:rsidR="00712ED0" w:rsidRPr="00312F56" w:rsidRDefault="00712ED0" w:rsidP="00712ED0">
            <w:pPr>
              <w:jc w:val="center"/>
            </w:pPr>
            <w:r>
              <w:t xml:space="preserve">  </w:t>
            </w:r>
            <w:r w:rsidRPr="00312F56">
              <w:t>-1,62</w:t>
            </w:r>
          </w:p>
        </w:tc>
      </w:tr>
      <w:tr w:rsidR="00712ED0" w:rsidTr="00712ED0">
        <w:tc>
          <w:tcPr>
            <w:tcW w:w="4606" w:type="dxa"/>
          </w:tcPr>
          <w:p w:rsidR="00712ED0" w:rsidRPr="00312F56" w:rsidRDefault="00712ED0" w:rsidP="00712ED0">
            <w:pPr>
              <w:jc w:val="center"/>
            </w:pPr>
            <w:r w:rsidRPr="00312F56">
              <w:t>Usługi inne</w:t>
            </w:r>
          </w:p>
        </w:tc>
        <w:tc>
          <w:tcPr>
            <w:tcW w:w="4606" w:type="dxa"/>
          </w:tcPr>
          <w:p w:rsidR="00712ED0" w:rsidRPr="00312F56" w:rsidRDefault="00712ED0" w:rsidP="00712ED0">
            <w:pPr>
              <w:jc w:val="center"/>
            </w:pPr>
            <w:r>
              <w:t xml:space="preserve">  </w:t>
            </w:r>
            <w:r w:rsidRPr="00312F56">
              <w:t>-1,80</w:t>
            </w:r>
          </w:p>
        </w:tc>
      </w:tr>
      <w:tr w:rsidR="00712ED0" w:rsidTr="00712ED0">
        <w:tc>
          <w:tcPr>
            <w:tcW w:w="4606" w:type="dxa"/>
          </w:tcPr>
          <w:p w:rsidR="00712ED0" w:rsidRPr="00312F56" w:rsidRDefault="00712ED0" w:rsidP="00712ED0">
            <w:pPr>
              <w:jc w:val="center"/>
            </w:pPr>
            <w:r w:rsidRPr="00312F56">
              <w:t>Paliwowy</w:t>
            </w:r>
          </w:p>
        </w:tc>
        <w:tc>
          <w:tcPr>
            <w:tcW w:w="4606" w:type="dxa"/>
          </w:tcPr>
          <w:p w:rsidR="00712ED0" w:rsidRPr="00312F56" w:rsidRDefault="00712ED0" w:rsidP="00712ED0">
            <w:pPr>
              <w:jc w:val="center"/>
            </w:pPr>
            <w:r>
              <w:t xml:space="preserve">  </w:t>
            </w:r>
            <w:r w:rsidRPr="00312F56">
              <w:t>-2,13</w:t>
            </w:r>
          </w:p>
        </w:tc>
      </w:tr>
      <w:tr w:rsidR="00712ED0" w:rsidTr="00712ED0">
        <w:tc>
          <w:tcPr>
            <w:tcW w:w="4606" w:type="dxa"/>
          </w:tcPr>
          <w:p w:rsidR="00712ED0" w:rsidRPr="00B57096" w:rsidRDefault="00712ED0" w:rsidP="00712ED0">
            <w:pPr>
              <w:jc w:val="center"/>
              <w:rPr>
                <w:b/>
                <w:color w:val="FF0000"/>
              </w:rPr>
            </w:pPr>
            <w:r w:rsidRPr="00B57096">
              <w:rPr>
                <w:b/>
                <w:color w:val="FF0000"/>
              </w:rPr>
              <w:t>Informatyka</w:t>
            </w:r>
          </w:p>
        </w:tc>
        <w:tc>
          <w:tcPr>
            <w:tcW w:w="4606" w:type="dxa"/>
          </w:tcPr>
          <w:p w:rsidR="00712ED0" w:rsidRPr="00B57096" w:rsidRDefault="00712ED0" w:rsidP="00712ED0">
            <w:pPr>
              <w:jc w:val="center"/>
              <w:rPr>
                <w:b/>
                <w:color w:val="FF0000"/>
              </w:rPr>
            </w:pPr>
            <w:r w:rsidRPr="00B57096">
              <w:rPr>
                <w:b/>
                <w:color w:val="FF0000"/>
              </w:rPr>
              <w:t xml:space="preserve">  -2,37</w:t>
            </w:r>
          </w:p>
        </w:tc>
      </w:tr>
      <w:tr w:rsidR="00712ED0" w:rsidTr="00712ED0">
        <w:tc>
          <w:tcPr>
            <w:tcW w:w="4606" w:type="dxa"/>
          </w:tcPr>
          <w:p w:rsidR="00712ED0" w:rsidRPr="00312F56" w:rsidRDefault="00712ED0" w:rsidP="00712ED0">
            <w:pPr>
              <w:jc w:val="center"/>
            </w:pPr>
            <w:r w:rsidRPr="00312F56">
              <w:t>Finanse inne</w:t>
            </w:r>
          </w:p>
        </w:tc>
        <w:tc>
          <w:tcPr>
            <w:tcW w:w="4606" w:type="dxa"/>
          </w:tcPr>
          <w:p w:rsidR="00712ED0" w:rsidRPr="00312F56" w:rsidRDefault="00712ED0" w:rsidP="00712ED0">
            <w:pPr>
              <w:jc w:val="center"/>
            </w:pPr>
            <w:r>
              <w:t xml:space="preserve">  </w:t>
            </w:r>
            <w:r w:rsidRPr="00312F56">
              <w:t>-2,65</w:t>
            </w:r>
          </w:p>
        </w:tc>
      </w:tr>
      <w:tr w:rsidR="00712ED0" w:rsidTr="00712ED0">
        <w:tc>
          <w:tcPr>
            <w:tcW w:w="4606" w:type="dxa"/>
          </w:tcPr>
          <w:p w:rsidR="00712ED0" w:rsidRPr="00312F56" w:rsidRDefault="00712ED0" w:rsidP="00712ED0">
            <w:pPr>
              <w:jc w:val="center"/>
            </w:pPr>
            <w:r w:rsidRPr="00312F56">
              <w:t>Deweloperzy</w:t>
            </w:r>
          </w:p>
        </w:tc>
        <w:tc>
          <w:tcPr>
            <w:tcW w:w="4606" w:type="dxa"/>
          </w:tcPr>
          <w:p w:rsidR="00712ED0" w:rsidRPr="00312F56" w:rsidRDefault="00712ED0" w:rsidP="00712ED0">
            <w:pPr>
              <w:jc w:val="center"/>
            </w:pPr>
            <w:r>
              <w:t xml:space="preserve">  </w:t>
            </w:r>
            <w:r w:rsidRPr="00312F56">
              <w:t>-2,99</w:t>
            </w:r>
          </w:p>
        </w:tc>
      </w:tr>
      <w:tr w:rsidR="00712ED0" w:rsidTr="00712ED0">
        <w:tc>
          <w:tcPr>
            <w:tcW w:w="4606" w:type="dxa"/>
          </w:tcPr>
          <w:p w:rsidR="00712ED0" w:rsidRPr="00312F56" w:rsidRDefault="00712ED0" w:rsidP="00712ED0">
            <w:pPr>
              <w:jc w:val="center"/>
            </w:pPr>
            <w:r w:rsidRPr="00312F56">
              <w:t>Handel detaliczny</w:t>
            </w:r>
          </w:p>
        </w:tc>
        <w:tc>
          <w:tcPr>
            <w:tcW w:w="4606" w:type="dxa"/>
          </w:tcPr>
          <w:p w:rsidR="00712ED0" w:rsidRPr="00312F56" w:rsidRDefault="00712ED0" w:rsidP="00712ED0">
            <w:pPr>
              <w:jc w:val="center"/>
            </w:pPr>
            <w:r>
              <w:t xml:space="preserve">  </w:t>
            </w:r>
            <w:r w:rsidRPr="00312F56">
              <w:t>-3,08</w:t>
            </w:r>
          </w:p>
        </w:tc>
      </w:tr>
      <w:tr w:rsidR="00712ED0" w:rsidTr="00712ED0">
        <w:tc>
          <w:tcPr>
            <w:tcW w:w="4606" w:type="dxa"/>
          </w:tcPr>
          <w:p w:rsidR="00712ED0" w:rsidRPr="00312F56" w:rsidRDefault="00712ED0" w:rsidP="00712ED0">
            <w:pPr>
              <w:jc w:val="center"/>
            </w:pPr>
            <w:r w:rsidRPr="00312F56">
              <w:t>Elektromaszynowy</w:t>
            </w:r>
          </w:p>
        </w:tc>
        <w:tc>
          <w:tcPr>
            <w:tcW w:w="4606" w:type="dxa"/>
          </w:tcPr>
          <w:p w:rsidR="00712ED0" w:rsidRPr="00312F56" w:rsidRDefault="00712ED0" w:rsidP="00712ED0">
            <w:pPr>
              <w:jc w:val="center"/>
            </w:pPr>
            <w:r>
              <w:t xml:space="preserve">  </w:t>
            </w:r>
            <w:r w:rsidRPr="00312F56">
              <w:t>-3,75</w:t>
            </w:r>
          </w:p>
        </w:tc>
      </w:tr>
      <w:tr w:rsidR="00712ED0" w:rsidTr="00712ED0">
        <w:tc>
          <w:tcPr>
            <w:tcW w:w="4606" w:type="dxa"/>
          </w:tcPr>
          <w:p w:rsidR="00712ED0" w:rsidRPr="00312F56" w:rsidRDefault="00712ED0" w:rsidP="00712ED0">
            <w:pPr>
              <w:jc w:val="center"/>
            </w:pPr>
            <w:r w:rsidRPr="00312F56">
              <w:t>Handel hurtowy</w:t>
            </w:r>
          </w:p>
        </w:tc>
        <w:tc>
          <w:tcPr>
            <w:tcW w:w="4606" w:type="dxa"/>
          </w:tcPr>
          <w:p w:rsidR="00712ED0" w:rsidRPr="00312F56" w:rsidRDefault="00712ED0" w:rsidP="00712ED0">
            <w:pPr>
              <w:jc w:val="center"/>
            </w:pPr>
            <w:r>
              <w:t xml:space="preserve">  </w:t>
            </w:r>
            <w:r w:rsidRPr="00312F56">
              <w:t>-3,98</w:t>
            </w:r>
          </w:p>
        </w:tc>
      </w:tr>
      <w:tr w:rsidR="00712ED0" w:rsidTr="00712ED0">
        <w:tc>
          <w:tcPr>
            <w:tcW w:w="4606" w:type="dxa"/>
          </w:tcPr>
          <w:p w:rsidR="00712ED0" w:rsidRPr="00312F56" w:rsidRDefault="00712ED0" w:rsidP="00712ED0">
            <w:pPr>
              <w:jc w:val="center"/>
            </w:pPr>
            <w:r w:rsidRPr="00312F56">
              <w:t>Drzewny</w:t>
            </w:r>
          </w:p>
        </w:tc>
        <w:tc>
          <w:tcPr>
            <w:tcW w:w="4606" w:type="dxa"/>
          </w:tcPr>
          <w:p w:rsidR="00712ED0" w:rsidRPr="00312F56" w:rsidRDefault="00712ED0" w:rsidP="00712ED0">
            <w:pPr>
              <w:jc w:val="center"/>
            </w:pPr>
            <w:r>
              <w:t xml:space="preserve">  </w:t>
            </w:r>
            <w:r w:rsidRPr="00312F56">
              <w:t>-4,17</w:t>
            </w:r>
          </w:p>
        </w:tc>
      </w:tr>
      <w:tr w:rsidR="00712ED0" w:rsidTr="00712ED0">
        <w:tc>
          <w:tcPr>
            <w:tcW w:w="4606" w:type="dxa"/>
          </w:tcPr>
          <w:p w:rsidR="00712ED0" w:rsidRPr="00312F56" w:rsidRDefault="00712ED0" w:rsidP="00712ED0">
            <w:pPr>
              <w:jc w:val="center"/>
            </w:pPr>
            <w:r w:rsidRPr="00312F56">
              <w:t>Lekki</w:t>
            </w:r>
          </w:p>
        </w:tc>
        <w:tc>
          <w:tcPr>
            <w:tcW w:w="4606" w:type="dxa"/>
          </w:tcPr>
          <w:p w:rsidR="00712ED0" w:rsidRPr="00312F56" w:rsidRDefault="00712ED0" w:rsidP="00712ED0">
            <w:pPr>
              <w:jc w:val="center"/>
            </w:pPr>
            <w:r>
              <w:t xml:space="preserve">  </w:t>
            </w:r>
            <w:r w:rsidRPr="00312F56">
              <w:t>-4,27</w:t>
            </w:r>
          </w:p>
        </w:tc>
      </w:tr>
      <w:tr w:rsidR="00712ED0" w:rsidTr="00712ED0">
        <w:tc>
          <w:tcPr>
            <w:tcW w:w="4606" w:type="dxa"/>
          </w:tcPr>
          <w:p w:rsidR="00712ED0" w:rsidRPr="00312F56" w:rsidRDefault="00712ED0" w:rsidP="00712ED0">
            <w:pPr>
              <w:jc w:val="center"/>
            </w:pPr>
            <w:r w:rsidRPr="00312F56">
              <w:t>Banki</w:t>
            </w:r>
          </w:p>
        </w:tc>
        <w:tc>
          <w:tcPr>
            <w:tcW w:w="4606" w:type="dxa"/>
          </w:tcPr>
          <w:p w:rsidR="00712ED0" w:rsidRPr="00312F56" w:rsidRDefault="00712ED0" w:rsidP="00712ED0">
            <w:pPr>
              <w:jc w:val="center"/>
            </w:pPr>
            <w:r>
              <w:t xml:space="preserve">  </w:t>
            </w:r>
            <w:r w:rsidRPr="00312F56">
              <w:t>-4,57</w:t>
            </w:r>
          </w:p>
        </w:tc>
      </w:tr>
      <w:tr w:rsidR="00712ED0" w:rsidTr="00712ED0">
        <w:tc>
          <w:tcPr>
            <w:tcW w:w="4606" w:type="dxa"/>
          </w:tcPr>
          <w:p w:rsidR="00712ED0" w:rsidRPr="00312F56" w:rsidRDefault="00712ED0" w:rsidP="00712ED0">
            <w:pPr>
              <w:jc w:val="center"/>
            </w:pPr>
            <w:r w:rsidRPr="00312F56">
              <w:t>Materiałów budowlanych</w:t>
            </w:r>
          </w:p>
        </w:tc>
        <w:tc>
          <w:tcPr>
            <w:tcW w:w="4606" w:type="dxa"/>
          </w:tcPr>
          <w:p w:rsidR="00712ED0" w:rsidRPr="00312F56" w:rsidRDefault="00712ED0" w:rsidP="00712ED0">
            <w:pPr>
              <w:jc w:val="center"/>
            </w:pPr>
            <w:r>
              <w:t xml:space="preserve">  </w:t>
            </w:r>
            <w:r w:rsidRPr="00312F56">
              <w:t>-5,23</w:t>
            </w:r>
          </w:p>
        </w:tc>
      </w:tr>
      <w:tr w:rsidR="00712ED0" w:rsidTr="00712ED0">
        <w:tc>
          <w:tcPr>
            <w:tcW w:w="4606" w:type="dxa"/>
          </w:tcPr>
          <w:p w:rsidR="00712ED0" w:rsidRPr="00312F56" w:rsidRDefault="00712ED0" w:rsidP="00712ED0">
            <w:pPr>
              <w:jc w:val="center"/>
            </w:pPr>
            <w:r w:rsidRPr="00312F56">
              <w:t>Przemysł inne</w:t>
            </w:r>
          </w:p>
        </w:tc>
        <w:tc>
          <w:tcPr>
            <w:tcW w:w="4606" w:type="dxa"/>
          </w:tcPr>
          <w:p w:rsidR="00712ED0" w:rsidRPr="00312F56" w:rsidRDefault="00712ED0" w:rsidP="00712ED0">
            <w:pPr>
              <w:jc w:val="center"/>
            </w:pPr>
            <w:r>
              <w:t xml:space="preserve">  </w:t>
            </w:r>
            <w:r w:rsidRPr="00312F56">
              <w:t>-5,80</w:t>
            </w:r>
          </w:p>
        </w:tc>
      </w:tr>
      <w:tr w:rsidR="00712ED0" w:rsidTr="00712ED0">
        <w:tc>
          <w:tcPr>
            <w:tcW w:w="4606" w:type="dxa"/>
          </w:tcPr>
          <w:p w:rsidR="00712ED0" w:rsidRPr="00312F56" w:rsidRDefault="00712ED0" w:rsidP="00712ED0">
            <w:pPr>
              <w:jc w:val="center"/>
            </w:pPr>
            <w:r w:rsidRPr="00312F56">
              <w:t>Farmaceutyczny</w:t>
            </w:r>
          </w:p>
        </w:tc>
        <w:tc>
          <w:tcPr>
            <w:tcW w:w="4606" w:type="dxa"/>
          </w:tcPr>
          <w:p w:rsidR="00712ED0" w:rsidRPr="00312F56" w:rsidRDefault="00712ED0" w:rsidP="00712ED0">
            <w:pPr>
              <w:jc w:val="center"/>
            </w:pPr>
            <w:r>
              <w:t xml:space="preserve">  </w:t>
            </w:r>
            <w:r w:rsidRPr="00312F56">
              <w:t>-6,59</w:t>
            </w:r>
          </w:p>
        </w:tc>
      </w:tr>
      <w:tr w:rsidR="00712ED0" w:rsidTr="00712ED0">
        <w:tc>
          <w:tcPr>
            <w:tcW w:w="4606" w:type="dxa"/>
          </w:tcPr>
          <w:p w:rsidR="00712ED0" w:rsidRPr="00312F56" w:rsidRDefault="00712ED0" w:rsidP="00712ED0">
            <w:pPr>
              <w:jc w:val="center"/>
            </w:pPr>
            <w:r w:rsidRPr="00312F56">
              <w:t>Telekomunikacja</w:t>
            </w:r>
          </w:p>
        </w:tc>
        <w:tc>
          <w:tcPr>
            <w:tcW w:w="4606" w:type="dxa"/>
          </w:tcPr>
          <w:p w:rsidR="00712ED0" w:rsidRPr="00312F56" w:rsidRDefault="00712ED0" w:rsidP="00712ED0">
            <w:pPr>
              <w:jc w:val="center"/>
            </w:pPr>
            <w:r>
              <w:t xml:space="preserve">  </w:t>
            </w:r>
            <w:r w:rsidRPr="00312F56">
              <w:t>-7,38</w:t>
            </w:r>
          </w:p>
        </w:tc>
      </w:tr>
      <w:tr w:rsidR="00712ED0" w:rsidTr="00712ED0">
        <w:tc>
          <w:tcPr>
            <w:tcW w:w="4606" w:type="dxa"/>
          </w:tcPr>
          <w:p w:rsidR="00712ED0" w:rsidRPr="00312F56" w:rsidRDefault="00712ED0" w:rsidP="00712ED0">
            <w:pPr>
              <w:jc w:val="center"/>
            </w:pPr>
            <w:r w:rsidRPr="00312F56">
              <w:t>Rynek kapitałowy</w:t>
            </w:r>
          </w:p>
        </w:tc>
        <w:tc>
          <w:tcPr>
            <w:tcW w:w="4606" w:type="dxa"/>
          </w:tcPr>
          <w:p w:rsidR="00712ED0" w:rsidRPr="00312F56" w:rsidRDefault="00712ED0" w:rsidP="00712ED0">
            <w:pPr>
              <w:jc w:val="center"/>
            </w:pPr>
            <w:r>
              <w:t xml:space="preserve">  </w:t>
            </w:r>
            <w:r w:rsidRPr="00312F56">
              <w:t>-8,51</w:t>
            </w:r>
          </w:p>
        </w:tc>
      </w:tr>
      <w:tr w:rsidR="00712ED0" w:rsidTr="00712ED0">
        <w:tc>
          <w:tcPr>
            <w:tcW w:w="4606" w:type="dxa"/>
          </w:tcPr>
          <w:p w:rsidR="00712ED0" w:rsidRPr="00312F56" w:rsidRDefault="00712ED0" w:rsidP="00712ED0">
            <w:pPr>
              <w:jc w:val="center"/>
            </w:pPr>
            <w:r w:rsidRPr="00312F56">
              <w:t>Ubezpieczenia</w:t>
            </w:r>
          </w:p>
        </w:tc>
        <w:tc>
          <w:tcPr>
            <w:tcW w:w="4606" w:type="dxa"/>
          </w:tcPr>
          <w:p w:rsidR="00712ED0" w:rsidRPr="00312F56" w:rsidRDefault="00712ED0" w:rsidP="00712ED0">
            <w:pPr>
              <w:jc w:val="center"/>
            </w:pPr>
            <w:r>
              <w:t xml:space="preserve">  </w:t>
            </w:r>
            <w:r w:rsidRPr="00312F56">
              <w:t>-8,95</w:t>
            </w:r>
          </w:p>
        </w:tc>
      </w:tr>
      <w:tr w:rsidR="00712ED0" w:rsidTr="00712ED0">
        <w:tc>
          <w:tcPr>
            <w:tcW w:w="4606" w:type="dxa"/>
          </w:tcPr>
          <w:p w:rsidR="00712ED0" w:rsidRPr="00312F56" w:rsidRDefault="00712ED0" w:rsidP="00712ED0">
            <w:pPr>
              <w:jc w:val="center"/>
            </w:pPr>
            <w:r w:rsidRPr="00312F56">
              <w:t>Surowcowy</w:t>
            </w:r>
          </w:p>
        </w:tc>
        <w:tc>
          <w:tcPr>
            <w:tcW w:w="4606" w:type="dxa"/>
          </w:tcPr>
          <w:p w:rsidR="00712ED0" w:rsidRPr="00312F56" w:rsidRDefault="00712ED0" w:rsidP="00712ED0">
            <w:pPr>
              <w:jc w:val="center"/>
            </w:pPr>
            <w:r w:rsidRPr="00312F56">
              <w:t>-10,00</w:t>
            </w:r>
          </w:p>
        </w:tc>
      </w:tr>
      <w:tr w:rsidR="00712ED0" w:rsidTr="00712ED0">
        <w:tc>
          <w:tcPr>
            <w:tcW w:w="4606" w:type="dxa"/>
          </w:tcPr>
          <w:p w:rsidR="00712ED0" w:rsidRPr="00312F56" w:rsidRDefault="00712ED0" w:rsidP="00712ED0">
            <w:pPr>
              <w:jc w:val="center"/>
            </w:pPr>
            <w:r w:rsidRPr="00312F56">
              <w:t>Średnia</w:t>
            </w:r>
          </w:p>
        </w:tc>
        <w:tc>
          <w:tcPr>
            <w:tcW w:w="4606" w:type="dxa"/>
          </w:tcPr>
          <w:p w:rsidR="00712ED0" w:rsidRDefault="0073192E" w:rsidP="00712ED0">
            <w:pPr>
              <w:jc w:val="center"/>
            </w:pPr>
            <w:r>
              <w:t xml:space="preserve">  </w:t>
            </w:r>
            <w:r w:rsidR="00712ED0" w:rsidRPr="00312F56">
              <w:t>-3,08</w:t>
            </w:r>
          </w:p>
        </w:tc>
      </w:tr>
    </w:tbl>
    <w:p w:rsidR="00DE31A2" w:rsidRDefault="00712ED0" w:rsidP="00DE31A2">
      <w:pPr>
        <w:pStyle w:val="Bezodstpw"/>
        <w:jc w:val="both"/>
        <w:rPr>
          <w:color w:val="000000" w:themeColor="text1"/>
        </w:rPr>
      </w:pPr>
      <w:r>
        <w:rPr>
          <w:color w:val="000000" w:themeColor="text1"/>
        </w:rPr>
        <w:t xml:space="preserve">Jakieś czas temu na stronie internetowej </w:t>
      </w:r>
      <w:hyperlink r:id="rId14" w:history="1">
        <w:r w:rsidRPr="0053580B">
          <w:rPr>
            <w:rStyle w:val="Hipercze"/>
          </w:rPr>
          <w:t>http://analizy-rynkowe.pl/</w:t>
        </w:r>
      </w:hyperlink>
      <w:r>
        <w:rPr>
          <w:color w:val="000000" w:themeColor="text1"/>
        </w:rPr>
        <w:t xml:space="preserve"> wskazałem, że bardzo ciekawe (optymistyczne) zjawisko </w:t>
      </w:r>
      <w:proofErr w:type="gramStart"/>
      <w:r>
        <w:rPr>
          <w:color w:val="000000" w:themeColor="text1"/>
        </w:rPr>
        <w:t>,,</w:t>
      </w:r>
      <w:proofErr w:type="gramEnd"/>
      <w:r>
        <w:rPr>
          <w:color w:val="000000" w:themeColor="text1"/>
        </w:rPr>
        <w:t xml:space="preserve">pęku średnich” wystąpiło w przypadku 3 indeksów: </w:t>
      </w:r>
      <w:r w:rsidRPr="00D51105">
        <w:rPr>
          <w:b/>
          <w:color w:val="FF0000"/>
        </w:rPr>
        <w:t>indeksu branży budowlanej, medialnej oraz informatycznej</w:t>
      </w:r>
      <w:r>
        <w:rPr>
          <w:color w:val="000000" w:themeColor="text1"/>
        </w:rPr>
        <w:t xml:space="preserve">. Z powyższej tabeli wynika, że powyższe 3 indeksy zachowały się stosunkowo mocno, może nie najmocniej, ale jednak </w:t>
      </w:r>
      <w:r w:rsidRPr="0073192E">
        <w:rPr>
          <w:b/>
          <w:color w:val="FF0000"/>
        </w:rPr>
        <w:t>stosunkowo mocno</w:t>
      </w:r>
      <w:r>
        <w:rPr>
          <w:color w:val="000000" w:themeColor="text1"/>
        </w:rPr>
        <w:t>…</w:t>
      </w:r>
      <w:r w:rsidR="00B57096">
        <w:rPr>
          <w:color w:val="000000" w:themeColor="text1"/>
        </w:rPr>
        <w:t>Zachęcam do uważnej lektury poniższego wpisu…</w:t>
      </w:r>
      <w:hyperlink r:id="rId15" w:history="1">
        <w:r w:rsidR="00B57096" w:rsidRPr="0053580B">
          <w:rPr>
            <w:rStyle w:val="Hipercze"/>
          </w:rPr>
          <w:t>http://analizy-rynkowe.pl/co-laczy-budowlanke-media-oraz-informatyke-optymistyczny-pek-srednich/</w:t>
        </w:r>
      </w:hyperlink>
    </w:p>
    <w:p w:rsidR="00B9122B" w:rsidRDefault="00B9122B" w:rsidP="00B9122B">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B9122B" w:rsidRDefault="00B9122B" w:rsidP="00B9122B">
      <w:pPr>
        <w:pStyle w:val="Bezodstpw"/>
        <w:jc w:val="both"/>
      </w:pPr>
    </w:p>
    <w:p w:rsidR="00B9122B" w:rsidRDefault="00B9122B" w:rsidP="00B9122B">
      <w:pPr>
        <w:pStyle w:val="Bezodstpw"/>
        <w:jc w:val="both"/>
      </w:pPr>
      <w:r>
        <w:t xml:space="preserve">W pierwszym numerze </w:t>
      </w:r>
      <w:proofErr w:type="gramStart"/>
      <w:r>
        <w:t>,,</w:t>
      </w:r>
      <w:proofErr w:type="gramEnd"/>
      <w:r>
        <w:t xml:space="preserve">Raportu Tygodniowego” z 8 września 2014 roku pojawiły się wykresy akcji czterech spółek. Były to wykresy akcji następujących spółek: </w:t>
      </w:r>
    </w:p>
    <w:p w:rsidR="00B9122B" w:rsidRDefault="00B9122B" w:rsidP="00B9122B">
      <w:pPr>
        <w:pStyle w:val="Bezodstpw"/>
        <w:jc w:val="both"/>
      </w:pPr>
    </w:p>
    <w:p w:rsidR="00B9122B" w:rsidRDefault="00B9122B" w:rsidP="00B9122B">
      <w:pPr>
        <w:pStyle w:val="Bezodstpw"/>
        <w:numPr>
          <w:ilvl w:val="0"/>
          <w:numId w:val="1"/>
        </w:numPr>
        <w:jc w:val="both"/>
      </w:pPr>
      <w:proofErr w:type="spellStart"/>
      <w:r>
        <w:t>Immobile</w:t>
      </w:r>
      <w:proofErr w:type="spellEnd"/>
    </w:p>
    <w:p w:rsidR="00B9122B" w:rsidRDefault="00B9122B" w:rsidP="00B9122B">
      <w:pPr>
        <w:pStyle w:val="Bezodstpw"/>
        <w:numPr>
          <w:ilvl w:val="0"/>
          <w:numId w:val="1"/>
        </w:numPr>
        <w:jc w:val="both"/>
      </w:pPr>
      <w:r>
        <w:t>Lena</w:t>
      </w:r>
    </w:p>
    <w:p w:rsidR="00B9122B" w:rsidRDefault="00B9122B" w:rsidP="00B9122B">
      <w:pPr>
        <w:pStyle w:val="Bezodstpw"/>
        <w:numPr>
          <w:ilvl w:val="0"/>
          <w:numId w:val="1"/>
        </w:numPr>
        <w:jc w:val="both"/>
      </w:pPr>
      <w:proofErr w:type="spellStart"/>
      <w:r>
        <w:t>Netmedia</w:t>
      </w:r>
      <w:proofErr w:type="spellEnd"/>
      <w:r>
        <w:t xml:space="preserve"> </w:t>
      </w:r>
    </w:p>
    <w:p w:rsidR="00B9122B" w:rsidRDefault="00B9122B" w:rsidP="00B9122B">
      <w:pPr>
        <w:pStyle w:val="Bezodstpw"/>
        <w:numPr>
          <w:ilvl w:val="0"/>
          <w:numId w:val="1"/>
        </w:numPr>
        <w:jc w:val="both"/>
      </w:pPr>
      <w:r>
        <w:t>Rafako</w:t>
      </w:r>
    </w:p>
    <w:p w:rsidR="00B9122B" w:rsidRDefault="00B9122B" w:rsidP="00B9122B">
      <w:pPr>
        <w:pStyle w:val="Bezodstpw"/>
        <w:jc w:val="both"/>
      </w:pPr>
    </w:p>
    <w:p w:rsidR="00B9122B" w:rsidRDefault="00B9122B" w:rsidP="00B9122B">
      <w:pPr>
        <w:pStyle w:val="Bezodstpw"/>
        <w:jc w:val="both"/>
        <w:rPr>
          <w:b/>
          <w:color w:val="FF0000"/>
        </w:rPr>
      </w:pPr>
      <w:r>
        <w:t xml:space="preserve">Kryterium pojawienia się wykresu akcji danej spółki w tej rubryce jest </w:t>
      </w:r>
      <w:r>
        <w:rPr>
          <w:b/>
        </w:rPr>
        <w:t>wybicie z formacji podwójnego dna</w:t>
      </w:r>
      <w:r>
        <w:t xml:space="preserve">. </w:t>
      </w:r>
      <w:r>
        <w:rPr>
          <w:b/>
          <w:color w:val="FF66FF"/>
        </w:rPr>
        <w:t xml:space="preserve">Na str. 6-10 przedstawiam listę 26 spółek wpisanych do rubryki </w:t>
      </w:r>
      <w:proofErr w:type="gramStart"/>
      <w:r>
        <w:rPr>
          <w:b/>
          <w:color w:val="FF66FF"/>
        </w:rPr>
        <w:t>,,</w:t>
      </w:r>
      <w:proofErr w:type="gramEnd"/>
      <w:r>
        <w:rPr>
          <w:b/>
          <w:color w:val="FF66FF"/>
        </w:rPr>
        <w:t>Wykres do przemyślenia”.</w:t>
      </w:r>
      <w:r>
        <w:t xml:space="preserve"> </w:t>
      </w:r>
      <w:r>
        <w:rPr>
          <w:b/>
          <w:color w:val="FF66FF"/>
        </w:rPr>
        <w:t>Osoby znającą tą listę mogą listę tą pominąć i od razu przejść na stronę 9.</w:t>
      </w:r>
    </w:p>
    <w:p w:rsidR="00B9122B" w:rsidRDefault="00B9122B" w:rsidP="00B9122B">
      <w:pPr>
        <w:pStyle w:val="Bezodstpw"/>
        <w:jc w:val="both"/>
      </w:pPr>
    </w:p>
    <w:p w:rsidR="00B9122B" w:rsidRDefault="00B9122B" w:rsidP="00B9122B">
      <w:pPr>
        <w:pStyle w:val="Bezodstpw"/>
        <w:jc w:val="both"/>
      </w:pPr>
      <w:r>
        <w:t xml:space="preserve">Tabela: Procentowa zmiana cen akcji czterech spółek, których akcje zostały wymienione w pierwszym numerze </w:t>
      </w:r>
      <w:proofErr w:type="gramStart"/>
      <w:r>
        <w:t>,,</w:t>
      </w:r>
      <w:proofErr w:type="gramEnd"/>
      <w:r>
        <w:t xml:space="preserve">Raportu Tygodniowego” z 8 września 2014 roku w rubryce ,,Wykres do przemyślenia” w okresie od 5 września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3964EB">
            <w:pPr>
              <w:pStyle w:val="Bezodstpw"/>
              <w:jc w:val="center"/>
              <w:rPr>
                <w:lang w:eastAsia="en-US"/>
              </w:rPr>
            </w:pPr>
            <w:r>
              <w:rPr>
                <w:lang w:eastAsia="en-US"/>
              </w:rPr>
              <w:t xml:space="preserve">Poziom – </w:t>
            </w:r>
            <w:r w:rsidR="003964EB">
              <w:rPr>
                <w:lang w:eastAsia="en-US"/>
              </w:rPr>
              <w:t>26</w:t>
            </w:r>
            <w:r>
              <w:rPr>
                <w:lang w:eastAsia="en-US"/>
              </w:rPr>
              <w:t>.06.2015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2,04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2,3</w:t>
            </w:r>
            <w:r w:rsidR="00987A07">
              <w:rPr>
                <w:lang w:eastAsia="en-US"/>
              </w:rPr>
              <w:t>5</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+1</w:t>
            </w:r>
            <w:r w:rsidR="00987A07">
              <w:rPr>
                <w:lang w:eastAsia="en-US"/>
              </w:rPr>
              <w:t>5</w:t>
            </w:r>
            <w:r>
              <w:rPr>
                <w:lang w:eastAsia="en-US"/>
              </w:rPr>
              <w:t>,</w:t>
            </w:r>
            <w:r w:rsidR="00987A07">
              <w:rPr>
                <w:lang w:eastAsia="en-US"/>
              </w:rPr>
              <w:t>2</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4,</w:t>
            </w:r>
            <w:r w:rsidR="00987A07">
              <w:rPr>
                <w:lang w:eastAsia="en-US"/>
              </w:rPr>
              <w:t>44</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11</w:t>
            </w:r>
            <w:r>
              <w:rPr>
                <w:lang w:eastAsia="en-US"/>
              </w:rPr>
              <w:t>,</w:t>
            </w:r>
            <w:r w:rsidR="00987A07">
              <w:rPr>
                <w:lang w:eastAsia="en-US"/>
              </w:rPr>
              <w:t>3</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w:t>
            </w:r>
            <w:proofErr w:type="gramStart"/>
            <w:r>
              <w:rPr>
                <w:lang w:eastAsia="en-US"/>
              </w:rPr>
              <w:t xml:space="preserve">spółki  </w:t>
            </w:r>
            <w:proofErr w:type="spellStart"/>
            <w:r>
              <w:rPr>
                <w:lang w:eastAsia="en-US"/>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5,</w:t>
            </w:r>
            <w:r w:rsidR="00987A07">
              <w:rPr>
                <w:lang w:eastAsia="en-US"/>
              </w:rPr>
              <w:t>80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59</w:t>
            </w:r>
            <w:r>
              <w:rPr>
                <w:lang w:eastAsia="en-US"/>
              </w:rPr>
              <w:t>,</w:t>
            </w:r>
            <w:r w:rsidR="00987A07">
              <w:rPr>
                <w:lang w:eastAsia="en-US"/>
              </w:rPr>
              <w:t>8</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6,</w:t>
            </w:r>
            <w:r w:rsidR="00987A07">
              <w:rPr>
                <w:lang w:eastAsia="en-US"/>
              </w:rPr>
              <w:t>45</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51</w:t>
            </w:r>
            <w:r>
              <w:rPr>
                <w:lang w:eastAsia="en-US"/>
              </w:rPr>
              <w:t>,</w:t>
            </w:r>
            <w:r w:rsidR="00987A07">
              <w:rPr>
                <w:lang w:eastAsia="en-US"/>
              </w:rPr>
              <w:t>8</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+3</w:t>
            </w:r>
            <w:r w:rsidR="00987A07">
              <w:rPr>
                <w:b/>
                <w:color w:val="FF0000"/>
                <w:lang w:eastAsia="en-US"/>
              </w:rPr>
              <w:t>4</w:t>
            </w:r>
            <w:r>
              <w:rPr>
                <w:b/>
                <w:color w:val="FF0000"/>
                <w:lang w:eastAsia="en-US"/>
              </w:rPr>
              <w:t>,</w:t>
            </w:r>
            <w:r w:rsidR="00987A07">
              <w:rPr>
                <w:b/>
                <w:color w:val="FF0000"/>
                <w:lang w:eastAsia="en-US"/>
              </w:rPr>
              <w:t>5</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F353CA">
            <w:pPr>
              <w:pStyle w:val="Bezodstpw"/>
              <w:jc w:val="center"/>
              <w:rPr>
                <w:lang w:eastAsia="en-US"/>
              </w:rPr>
            </w:pPr>
            <w:r>
              <w:rPr>
                <w:lang w:eastAsia="en-US"/>
              </w:rPr>
              <w:t>2 </w:t>
            </w:r>
            <w:r w:rsidR="00F353CA">
              <w:rPr>
                <w:lang w:eastAsia="en-US"/>
              </w:rPr>
              <w:t>333</w:t>
            </w:r>
            <w:r>
              <w:rPr>
                <w:lang w:eastAsia="en-US"/>
              </w:rPr>
              <w:t>,</w:t>
            </w:r>
            <w:r w:rsidR="00F353CA">
              <w:rPr>
                <w:lang w:eastAsia="en-US"/>
              </w:rPr>
              <w:t>82</w:t>
            </w:r>
            <w:r>
              <w:rPr>
                <w:lang w:eastAsia="en-US"/>
              </w:rPr>
              <w:t xml:space="preserve">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8</w:t>
            </w:r>
            <w:r>
              <w:rPr>
                <w:lang w:eastAsia="en-US"/>
              </w:rPr>
              <w:t>,</w:t>
            </w:r>
            <w:r w:rsidR="00987A07">
              <w:rPr>
                <w:lang w:eastAsia="en-US"/>
              </w:rPr>
              <w:t>2</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drugim numerze </w:t>
      </w:r>
      <w:proofErr w:type="gramStart"/>
      <w:r>
        <w:t>,,</w:t>
      </w:r>
      <w:proofErr w:type="gramEnd"/>
      <w:r>
        <w:t xml:space="preserve">Raportu Tygodniowego” z 15 września 2014 roku w rubryce ,,Wykres do przemyślenia” w okresie od 12 września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6,50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987A07" w:rsidP="00987A07">
            <w:pPr>
              <w:pStyle w:val="Bezodstpw"/>
              <w:jc w:val="center"/>
              <w:rPr>
                <w:lang w:eastAsia="en-US"/>
              </w:rPr>
            </w:pPr>
            <w:r>
              <w:rPr>
                <w:lang w:eastAsia="en-US"/>
              </w:rPr>
              <w:t>5</w:t>
            </w:r>
            <w:r w:rsidR="00B9122B">
              <w:rPr>
                <w:lang w:eastAsia="en-US"/>
              </w:rPr>
              <w:t>,</w:t>
            </w:r>
            <w:r>
              <w:rPr>
                <w:lang w:eastAsia="en-US"/>
              </w:rPr>
              <w:t>94</w:t>
            </w:r>
            <w:r w:rsidR="00B9122B">
              <w:rPr>
                <w:lang w:eastAsia="en-US"/>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8</w:t>
            </w:r>
            <w:r>
              <w:rPr>
                <w:lang w:eastAsia="en-US"/>
              </w:rPr>
              <w:t>,</w:t>
            </w:r>
            <w:r w:rsidR="00987A07">
              <w:rPr>
                <w:lang w:eastAsia="en-US"/>
              </w:rPr>
              <w:t>6</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w:t>
            </w:r>
            <w:r w:rsidR="00987A07">
              <w:rPr>
                <w:b/>
                <w:color w:val="FF0000"/>
                <w:lang w:eastAsia="en-US"/>
              </w:rPr>
              <w:t>8</w:t>
            </w:r>
            <w:r>
              <w:rPr>
                <w:b/>
                <w:color w:val="FF0000"/>
                <w:lang w:eastAsia="en-US"/>
              </w:rPr>
              <w:t>,</w:t>
            </w:r>
            <w:r w:rsidR="00987A07">
              <w:rPr>
                <w:b/>
                <w:color w:val="FF0000"/>
                <w:lang w:eastAsia="en-US"/>
              </w:rPr>
              <w:t>6</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6</w:t>
            </w:r>
            <w:r>
              <w:rPr>
                <w:lang w:eastAsia="en-US"/>
              </w:rPr>
              <w:t>,</w:t>
            </w:r>
            <w:r w:rsidR="00987A07">
              <w:rPr>
                <w:lang w:eastAsia="en-US"/>
              </w:rPr>
              <w:t>5</w:t>
            </w:r>
            <w:r>
              <w:rPr>
                <w:lang w:eastAsia="en-US"/>
              </w:rPr>
              <w:t xml:space="preserve"> %</w:t>
            </w:r>
          </w:p>
        </w:tc>
      </w:tr>
    </w:tbl>
    <w:p w:rsidR="00B9122B" w:rsidRDefault="00B9122B" w:rsidP="00B9122B">
      <w:pPr>
        <w:pStyle w:val="Bezodstpw"/>
        <w:jc w:val="both"/>
      </w:pPr>
      <w:r>
        <w:t xml:space="preserve">Tabela: Procentowa zmiana ceny akcji spółki, której akcje zostały umieszczone 16 września na stronie internetowej </w:t>
      </w:r>
      <w:hyperlink r:id="rId16" w:history="1">
        <w:r>
          <w:rPr>
            <w:rStyle w:val="Hipercze"/>
          </w:rPr>
          <w:t>www.analizy-rynkowe.pl</w:t>
        </w:r>
      </w:hyperlink>
      <w:r>
        <w:t xml:space="preserve"> w </w:t>
      </w:r>
      <w:proofErr w:type="gramStart"/>
      <w:r>
        <w:t>rubryce  ,,Wykres</w:t>
      </w:r>
      <w:proofErr w:type="gramEnd"/>
      <w:r>
        <w:t xml:space="preserve"> do przemyślenia” w okresie od 15 września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26,50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30,</w:t>
            </w:r>
            <w:r w:rsidR="00987A07">
              <w:rPr>
                <w:lang w:eastAsia="en-US"/>
              </w:rPr>
              <w:t>8</w:t>
            </w:r>
            <w:r>
              <w:rPr>
                <w:lang w:eastAsia="en-US"/>
              </w:rPr>
              <w:t>0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1</w:t>
            </w:r>
            <w:r w:rsidR="00987A07">
              <w:rPr>
                <w:lang w:eastAsia="en-US"/>
              </w:rPr>
              <w:t>6</w:t>
            </w:r>
            <w:r>
              <w:rPr>
                <w:lang w:eastAsia="en-US"/>
              </w:rPr>
              <w:t>,2 %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1</w:t>
            </w:r>
            <w:r w:rsidR="00987A07">
              <w:rPr>
                <w:b/>
                <w:color w:val="FF0000"/>
                <w:lang w:eastAsia="en-US"/>
              </w:rPr>
              <w:t>6</w:t>
            </w:r>
            <w:r>
              <w:rPr>
                <w:b/>
                <w:color w:val="FF0000"/>
                <w:lang w:eastAsia="en-US"/>
              </w:rPr>
              <w:t>,2 %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6</w:t>
            </w:r>
            <w:r>
              <w:rPr>
                <w:lang w:eastAsia="en-US"/>
              </w:rPr>
              <w:t>,</w:t>
            </w:r>
            <w:r w:rsidR="00987A07">
              <w:rPr>
                <w:lang w:eastAsia="en-US"/>
              </w:rPr>
              <w:t>3</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trzecim numerze </w:t>
      </w:r>
      <w:proofErr w:type="gramStart"/>
      <w:r>
        <w:t>,,</w:t>
      </w:r>
      <w:proofErr w:type="gramEnd"/>
      <w:r>
        <w:t xml:space="preserve">Raportu Tygodniowego” z 22 września 2014 roku w rubryce ,,Wykres do przemyślenia” w okresie od 19 września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1,32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1,0</w:t>
            </w:r>
            <w:r w:rsidR="00987A07">
              <w:rPr>
                <w:lang w:eastAsia="en-US"/>
              </w:rPr>
              <w:t>7</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w:t>
            </w:r>
            <w:r w:rsidR="00987A07">
              <w:rPr>
                <w:lang w:eastAsia="en-US"/>
              </w:rPr>
              <w:t>8</w:t>
            </w:r>
            <w:r>
              <w:rPr>
                <w:lang w:eastAsia="en-US"/>
              </w:rPr>
              <w:t>,</w:t>
            </w:r>
            <w:r w:rsidR="00987A07">
              <w:rPr>
                <w:lang w:eastAsia="en-US"/>
              </w:rPr>
              <w:t>9</w:t>
            </w:r>
            <w:r>
              <w:rPr>
                <w:lang w:eastAsia="en-US"/>
              </w:rPr>
              <w:t xml:space="preserve"> %</w:t>
            </w:r>
          </w:p>
        </w:tc>
      </w:tr>
      <w:tr w:rsidR="00B9122B" w:rsidTr="00B9122B">
        <w:trPr>
          <w:trHeight w:val="310"/>
        </w:trPr>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-1</w:t>
            </w:r>
            <w:r w:rsidR="00987A07">
              <w:rPr>
                <w:b/>
                <w:color w:val="FF0000"/>
                <w:lang w:eastAsia="en-US"/>
              </w:rPr>
              <w:t>8</w:t>
            </w:r>
            <w:r>
              <w:rPr>
                <w:b/>
                <w:color w:val="FF0000"/>
                <w:lang w:eastAsia="en-US"/>
              </w:rPr>
              <w:t>,</w:t>
            </w:r>
            <w:r w:rsidR="00987A07">
              <w:rPr>
                <w:b/>
                <w:color w:val="FF0000"/>
                <w:lang w:eastAsia="en-US"/>
              </w:rPr>
              <w:t>9</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w:t>
            </w:r>
            <w:r w:rsidR="00987A07">
              <w:rPr>
                <w:lang w:eastAsia="en-US"/>
              </w:rPr>
              <w:t>6</w:t>
            </w:r>
            <w:r>
              <w:rPr>
                <w:lang w:eastAsia="en-US"/>
              </w:rPr>
              <w:t>,</w:t>
            </w:r>
            <w:r w:rsidR="00987A07">
              <w:rPr>
                <w:lang w:eastAsia="en-US"/>
              </w:rPr>
              <w:t>5</w:t>
            </w:r>
            <w:r>
              <w:rPr>
                <w:lang w:eastAsia="en-US"/>
              </w:rPr>
              <w:t xml:space="preserve"> %</w:t>
            </w:r>
          </w:p>
        </w:tc>
      </w:tr>
    </w:tbl>
    <w:p w:rsidR="00B9122B" w:rsidRDefault="00B9122B" w:rsidP="00B9122B">
      <w:pPr>
        <w:pStyle w:val="Bezodstpw"/>
        <w:jc w:val="both"/>
      </w:pPr>
      <w:r>
        <w:lastRenderedPageBreak/>
        <w:t xml:space="preserve">Tabela: Procentowa zmiana ceny akcji spółki, której akcje zostały umieszczone 25 września na stronie internetowej </w:t>
      </w:r>
      <w:hyperlink r:id="rId17" w:history="1">
        <w:r>
          <w:rPr>
            <w:rStyle w:val="Hipercze"/>
          </w:rPr>
          <w:t>www.analizy-rynkowe.pl</w:t>
        </w:r>
      </w:hyperlink>
      <w:r>
        <w:t xml:space="preserve"> w </w:t>
      </w:r>
      <w:proofErr w:type="gramStart"/>
      <w:r>
        <w:t>rubryce  ,,Wykres</w:t>
      </w:r>
      <w:proofErr w:type="gramEnd"/>
      <w:r>
        <w:t xml:space="preserve"> do przemyślenia” w okresie od 24 września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1,85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2,</w:t>
            </w:r>
            <w:r w:rsidR="00987A07">
              <w:rPr>
                <w:lang w:eastAsia="en-US"/>
              </w:rPr>
              <w:t>53</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+3</w:t>
            </w:r>
            <w:r w:rsidR="00987A07">
              <w:rPr>
                <w:lang w:eastAsia="en-US"/>
              </w:rPr>
              <w:t>6</w:t>
            </w:r>
            <w:r>
              <w:rPr>
                <w:lang w:eastAsia="en-US"/>
              </w:rPr>
              <w:t>,</w:t>
            </w:r>
            <w:r w:rsidR="00987A07">
              <w:rPr>
                <w:lang w:eastAsia="en-US"/>
              </w:rPr>
              <w:t>8</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+3</w:t>
            </w:r>
            <w:r w:rsidR="00987A07">
              <w:rPr>
                <w:b/>
                <w:color w:val="FF0000"/>
                <w:lang w:eastAsia="en-US"/>
              </w:rPr>
              <w:t>6</w:t>
            </w:r>
            <w:r>
              <w:rPr>
                <w:b/>
                <w:color w:val="FF0000"/>
                <w:lang w:eastAsia="en-US"/>
              </w:rPr>
              <w:t>,</w:t>
            </w:r>
            <w:r w:rsidR="00987A07">
              <w:rPr>
                <w:b/>
                <w:color w:val="FF0000"/>
                <w:lang w:eastAsia="en-US"/>
              </w:rPr>
              <w:t>8</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6</w:t>
            </w:r>
            <w:r>
              <w:rPr>
                <w:lang w:eastAsia="en-US"/>
              </w:rPr>
              <w:t>,</w:t>
            </w:r>
            <w:r w:rsidR="00987A07">
              <w:rPr>
                <w:lang w:eastAsia="en-US"/>
              </w:rPr>
              <w:t>3</w:t>
            </w:r>
            <w:r>
              <w:rPr>
                <w:lang w:eastAsia="en-US"/>
              </w:rPr>
              <w:t xml:space="preserve"> %</w:t>
            </w:r>
          </w:p>
        </w:tc>
      </w:tr>
    </w:tbl>
    <w:p w:rsidR="00B9122B" w:rsidRDefault="00B9122B" w:rsidP="00B9122B">
      <w:pPr>
        <w:pStyle w:val="Bezodstpw"/>
        <w:jc w:val="both"/>
      </w:pPr>
    </w:p>
    <w:p w:rsidR="00B9122B" w:rsidRDefault="00B9122B" w:rsidP="00B9122B">
      <w:pPr>
        <w:pStyle w:val="Bezodstpw"/>
        <w:jc w:val="both"/>
      </w:pPr>
      <w:r>
        <w:t xml:space="preserve">Tabela: Procentowa zmiana cen akcji trzech spółek, których akcje zostały wymienione w czwartym numerze </w:t>
      </w:r>
      <w:proofErr w:type="gramStart"/>
      <w:r>
        <w:t>,,</w:t>
      </w:r>
      <w:proofErr w:type="gramEnd"/>
      <w:r>
        <w:t xml:space="preserve">Raportu Tygodniowego” z 29 września 2014 roku w rubryce ,,Wykres do przemyślenia” w okresie od 30 września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Asseco</w:t>
            </w:r>
            <w:proofErr w:type="spellEnd"/>
            <w:r>
              <w:rPr>
                <w:lang w:eastAsia="en-US"/>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5</w:t>
            </w:r>
            <w:r w:rsidR="00987A07">
              <w:rPr>
                <w:lang w:eastAsia="en-US"/>
              </w:rPr>
              <w:t>9</w:t>
            </w:r>
            <w:r>
              <w:rPr>
                <w:lang w:eastAsia="en-US"/>
              </w:rPr>
              <w:t>,</w:t>
            </w:r>
            <w:r w:rsidR="00987A07">
              <w:rPr>
                <w:lang w:eastAsia="en-US"/>
              </w:rPr>
              <w:t>00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+2</w:t>
            </w:r>
            <w:r w:rsidR="00987A07">
              <w:rPr>
                <w:lang w:eastAsia="en-US"/>
              </w:rPr>
              <w:t>9</w:t>
            </w:r>
            <w:r>
              <w:rPr>
                <w:lang w:eastAsia="en-US"/>
              </w:rPr>
              <w:t>,</w:t>
            </w:r>
            <w:r w:rsidR="00987A07">
              <w:rPr>
                <w:lang w:eastAsia="en-US"/>
              </w:rPr>
              <w:t>3</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w:t>
            </w:r>
            <w:proofErr w:type="gramStart"/>
            <w:r>
              <w:rPr>
                <w:lang w:eastAsia="en-US"/>
              </w:rPr>
              <w:t>spółki  CD</w:t>
            </w:r>
            <w:proofErr w:type="gramEnd"/>
            <w:r>
              <w:rPr>
                <w:lang w:eastAsia="en-US"/>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2</w:t>
            </w:r>
            <w:r w:rsidR="00987A07">
              <w:rPr>
                <w:lang w:eastAsia="en-US"/>
              </w:rPr>
              <w:t>4</w:t>
            </w:r>
            <w:r>
              <w:rPr>
                <w:lang w:eastAsia="en-US"/>
              </w:rPr>
              <w:t>,</w:t>
            </w:r>
            <w:r w:rsidR="00987A07">
              <w:rPr>
                <w:lang w:eastAsia="en-US"/>
              </w:rPr>
              <w:t>40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+4</w:t>
            </w:r>
            <w:r w:rsidR="00987A07">
              <w:rPr>
                <w:lang w:eastAsia="en-US"/>
              </w:rPr>
              <w:t>7</w:t>
            </w:r>
            <w:r>
              <w:rPr>
                <w:lang w:eastAsia="en-US"/>
              </w:rPr>
              <w:t>,</w:t>
            </w:r>
            <w:r w:rsidR="00987A07">
              <w:rPr>
                <w:lang w:eastAsia="en-US"/>
              </w:rPr>
              <w:t>1</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Sygnity</w:t>
            </w:r>
            <w:proofErr w:type="spellEnd"/>
            <w:r>
              <w:rPr>
                <w:lang w:eastAsia="en-US"/>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17,60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11,1</w:t>
            </w:r>
            <w:r w:rsidR="00987A07">
              <w:rPr>
                <w:lang w:eastAsia="en-US"/>
              </w:rPr>
              <w:t>6</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- 36,6 %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+1</w:t>
            </w:r>
            <w:r w:rsidR="00987A07">
              <w:rPr>
                <w:b/>
                <w:color w:val="FF0000"/>
                <w:lang w:eastAsia="en-US"/>
              </w:rPr>
              <w:t>3</w:t>
            </w:r>
            <w:r>
              <w:rPr>
                <w:b/>
                <w:color w:val="FF0000"/>
                <w:lang w:eastAsia="en-US"/>
              </w:rPr>
              <w:t>,</w:t>
            </w:r>
            <w:r w:rsidR="00987A07">
              <w:rPr>
                <w:b/>
                <w:color w:val="FF0000"/>
                <w:lang w:eastAsia="en-US"/>
              </w:rPr>
              <w:t>3</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 </w:t>
            </w:r>
            <w:r w:rsidR="00987A07">
              <w:rPr>
                <w:lang w:eastAsia="en-US"/>
              </w:rPr>
              <w:t>6</w:t>
            </w:r>
            <w:r>
              <w:rPr>
                <w:lang w:eastAsia="en-US"/>
              </w:rPr>
              <w:t>,</w:t>
            </w:r>
            <w:r w:rsidR="00987A07">
              <w:rPr>
                <w:lang w:eastAsia="en-US"/>
              </w:rPr>
              <w:t>0</w:t>
            </w:r>
            <w:r>
              <w:rPr>
                <w:lang w:eastAsia="en-US"/>
              </w:rPr>
              <w:t xml:space="preserve"> %</w:t>
            </w:r>
          </w:p>
        </w:tc>
      </w:tr>
    </w:tbl>
    <w:p w:rsidR="00B9122B" w:rsidRDefault="00B9122B" w:rsidP="00B9122B">
      <w:pPr>
        <w:pStyle w:val="Bezodstpw"/>
        <w:jc w:val="both"/>
      </w:pPr>
    </w:p>
    <w:p w:rsidR="00B9122B" w:rsidRDefault="00B9122B" w:rsidP="00B9122B">
      <w:pPr>
        <w:pStyle w:val="Bezodstpw"/>
        <w:jc w:val="both"/>
      </w:pPr>
      <w:r>
        <w:t xml:space="preserve">Tabela: Procentowa zmiana ceny akcji spółki, której akcje zostały wymienione w piątym numerze </w:t>
      </w:r>
      <w:proofErr w:type="gramStart"/>
      <w:r>
        <w:t>,,</w:t>
      </w:r>
      <w:proofErr w:type="gramEnd"/>
      <w:r>
        <w:t xml:space="preserve">Raportu Tygodniowego” z 6 października 2014 roku w rubryce ,,Wykres do przemyślenia” w okresie od 3 października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244,10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4</w:t>
            </w:r>
            <w:r w:rsidR="00987A07">
              <w:rPr>
                <w:lang w:eastAsia="en-US"/>
              </w:rPr>
              <w:t>72</w:t>
            </w:r>
            <w:r>
              <w:rPr>
                <w:lang w:eastAsia="en-US"/>
              </w:rPr>
              <w:t>,</w:t>
            </w:r>
            <w:r w:rsidR="00987A07">
              <w:rPr>
                <w:lang w:eastAsia="en-US"/>
              </w:rPr>
              <w:t>95</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w:t>
            </w:r>
            <w:r w:rsidR="00987A07">
              <w:rPr>
                <w:lang w:eastAsia="en-US"/>
              </w:rPr>
              <w:t>93</w:t>
            </w:r>
            <w:r>
              <w:rPr>
                <w:lang w:eastAsia="en-US"/>
              </w:rPr>
              <w:t>,</w:t>
            </w:r>
            <w:r w:rsidR="00987A07">
              <w:rPr>
                <w:lang w:eastAsia="en-US"/>
              </w:rPr>
              <w:t>8</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w:t>
            </w:r>
            <w:r w:rsidR="00987A07">
              <w:rPr>
                <w:b/>
                <w:color w:val="FF0000"/>
                <w:lang w:eastAsia="en-US"/>
              </w:rPr>
              <w:t>93</w:t>
            </w:r>
            <w:r>
              <w:rPr>
                <w:b/>
                <w:color w:val="FF0000"/>
                <w:lang w:eastAsia="en-US"/>
              </w:rPr>
              <w:t>,</w:t>
            </w:r>
            <w:r w:rsidR="00987A07">
              <w:rPr>
                <w:b/>
                <w:color w:val="FF0000"/>
                <w:lang w:eastAsia="en-US"/>
              </w:rPr>
              <w:t>8</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4</w:t>
            </w:r>
            <w:r>
              <w:rPr>
                <w:lang w:eastAsia="en-US"/>
              </w:rPr>
              <w:t>,</w:t>
            </w:r>
            <w:r w:rsidR="00987A07">
              <w:rPr>
                <w:lang w:eastAsia="en-US"/>
              </w:rPr>
              <w:t>5</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szóstym numerze </w:t>
      </w:r>
      <w:proofErr w:type="gramStart"/>
      <w:r>
        <w:t>,,</w:t>
      </w:r>
      <w:proofErr w:type="gramEnd"/>
      <w:r>
        <w:t xml:space="preserve">Raportu Tygodniowego” z 20 października 2014 roku w rubryce ,,Wykres do przemyślenia” w okresie od 17 września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Tauron</w:t>
            </w:r>
            <w:proofErr w:type="spellEnd"/>
            <w:r>
              <w:rPr>
                <w:lang w:eastAsia="en-US"/>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5,21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4,3</w:t>
            </w:r>
            <w:r w:rsidR="00987A07">
              <w:rPr>
                <w:lang w:eastAsia="en-US"/>
              </w:rPr>
              <w:t>5</w:t>
            </w:r>
            <w:r>
              <w:rPr>
                <w:lang w:eastAsia="en-US"/>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-1</w:t>
            </w:r>
            <w:r w:rsidR="00987A07">
              <w:rPr>
                <w:lang w:eastAsia="en-US"/>
              </w:rPr>
              <w:t>6</w:t>
            </w:r>
            <w:r>
              <w:rPr>
                <w:lang w:eastAsia="en-US"/>
              </w:rPr>
              <w:t>,</w:t>
            </w:r>
            <w:r w:rsidR="00987A07">
              <w:rPr>
                <w:lang w:eastAsia="en-US"/>
              </w:rPr>
              <w:t>5</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-1</w:t>
            </w:r>
            <w:r w:rsidR="00987A07">
              <w:rPr>
                <w:b/>
                <w:color w:val="FF0000"/>
                <w:lang w:eastAsia="en-US"/>
              </w:rPr>
              <w:t>6</w:t>
            </w:r>
            <w:r>
              <w:rPr>
                <w:b/>
                <w:color w:val="FF0000"/>
                <w:lang w:eastAsia="en-US"/>
              </w:rPr>
              <w:t>,</w:t>
            </w:r>
            <w:r w:rsidR="00987A07">
              <w:rPr>
                <w:b/>
                <w:color w:val="FF0000"/>
                <w:lang w:eastAsia="en-US"/>
              </w:rPr>
              <w:t>5</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2</w:t>
            </w:r>
            <w:r>
              <w:rPr>
                <w:lang w:eastAsia="en-US"/>
              </w:rPr>
              <w:t>,</w:t>
            </w:r>
            <w:r w:rsidR="00987A07">
              <w:rPr>
                <w:lang w:eastAsia="en-US"/>
              </w:rPr>
              <w:t>8</w:t>
            </w:r>
            <w:r>
              <w:rPr>
                <w:lang w:eastAsia="en-US"/>
              </w:rPr>
              <w:t xml:space="preserve"> %</w:t>
            </w:r>
          </w:p>
        </w:tc>
      </w:tr>
    </w:tbl>
    <w:p w:rsidR="00B9122B" w:rsidRDefault="00B9122B" w:rsidP="00B9122B">
      <w:pPr>
        <w:pStyle w:val="Bezodstpw"/>
        <w:jc w:val="both"/>
      </w:pPr>
      <w:r>
        <w:t xml:space="preserve">Tabela: Procentowa zmiana ceny akcji spółki, której akcje zostały umieszczone 22 października na stronie internetowej </w:t>
      </w:r>
      <w:hyperlink r:id="rId18" w:history="1">
        <w:r>
          <w:rPr>
            <w:rStyle w:val="Hipercze"/>
          </w:rPr>
          <w:t>www.analizy-rynkowe.pl</w:t>
        </w:r>
      </w:hyperlink>
      <w:r>
        <w:t xml:space="preserve"> w </w:t>
      </w:r>
      <w:proofErr w:type="gramStart"/>
      <w:r>
        <w:t>rubryce  ,,Wykres</w:t>
      </w:r>
      <w:proofErr w:type="gramEnd"/>
      <w:r>
        <w:t xml:space="preserve"> do przemyślenia” w okresie od 21 października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Elektrotim</w:t>
            </w:r>
            <w:proofErr w:type="spellEnd"/>
            <w:r>
              <w:rPr>
                <w:lang w:eastAsia="en-US"/>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8,70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12,</w:t>
            </w:r>
            <w:r w:rsidR="00987A07">
              <w:rPr>
                <w:lang w:eastAsia="en-US"/>
              </w:rPr>
              <w:t>30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+ 41,</w:t>
            </w:r>
            <w:r w:rsidR="00987A07">
              <w:rPr>
                <w:lang w:eastAsia="en-US"/>
              </w:rPr>
              <w:t>4</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lang w:eastAsia="en-US"/>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color w:val="000000" w:themeColor="text1"/>
                <w:lang w:eastAsia="en-US"/>
              </w:rPr>
            </w:pPr>
            <w:r>
              <w:rPr>
                <w:color w:val="000000" w:themeColor="text1"/>
                <w:lang w:eastAsia="en-US"/>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color w:val="000000" w:themeColor="text1"/>
                <w:lang w:eastAsia="en-US"/>
              </w:rPr>
            </w:pPr>
            <w:r>
              <w:rPr>
                <w:color w:val="000000" w:themeColor="text1"/>
                <w:lang w:eastAsia="en-US"/>
              </w:rPr>
              <w:t>6,</w:t>
            </w:r>
            <w:r w:rsidR="00987A07">
              <w:rPr>
                <w:color w:val="000000" w:themeColor="text1"/>
                <w:lang w:eastAsia="en-US"/>
              </w:rPr>
              <w:t>35</w:t>
            </w:r>
            <w:r>
              <w:rPr>
                <w:color w:val="000000" w:themeColor="text1"/>
                <w:lang w:eastAsia="en-US"/>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color w:val="000000" w:themeColor="text1"/>
                <w:lang w:eastAsia="en-US"/>
              </w:rPr>
            </w:pPr>
            <w:r>
              <w:rPr>
                <w:color w:val="000000" w:themeColor="text1"/>
                <w:lang w:eastAsia="en-US"/>
              </w:rPr>
              <w:t xml:space="preserve">   -</w:t>
            </w:r>
            <w:r w:rsidR="00987A07">
              <w:rPr>
                <w:color w:val="000000" w:themeColor="text1"/>
                <w:lang w:eastAsia="en-US"/>
              </w:rPr>
              <w:t>8</w:t>
            </w:r>
            <w:r>
              <w:rPr>
                <w:color w:val="000000" w:themeColor="text1"/>
                <w:lang w:eastAsia="en-US"/>
              </w:rPr>
              <w:t>,</w:t>
            </w:r>
            <w:r w:rsidR="00987A07">
              <w:rPr>
                <w:color w:val="000000" w:themeColor="text1"/>
                <w:lang w:eastAsia="en-US"/>
              </w:rPr>
              <w:t>4</w:t>
            </w:r>
            <w:r>
              <w:rPr>
                <w:color w:val="000000" w:themeColor="text1"/>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single" w:sz="4" w:space="0" w:color="auto"/>
            </w:tcBorders>
          </w:tcPr>
          <w:p w:rsidR="00B9122B" w:rsidRDefault="00B9122B">
            <w:pPr>
              <w:pStyle w:val="Bezodstpw"/>
              <w:jc w:val="center"/>
              <w:rPr>
                <w:lang w:eastAsia="en-US"/>
              </w:rPr>
            </w:pPr>
          </w:p>
        </w:tc>
        <w:tc>
          <w:tcPr>
            <w:tcW w:w="2303" w:type="dxa"/>
            <w:tcBorders>
              <w:top w:val="single" w:sz="4" w:space="0" w:color="auto"/>
              <w:left w:val="single" w:sz="4" w:space="0" w:color="auto"/>
              <w:bottom w:val="single" w:sz="4" w:space="0" w:color="auto"/>
              <w:right w:val="single" w:sz="4" w:space="0" w:color="auto"/>
            </w:tcBorders>
          </w:tcPr>
          <w:p w:rsidR="00B9122B" w:rsidRDefault="00B9122B">
            <w:pPr>
              <w:pStyle w:val="Bezodstpw"/>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+ 1</w:t>
            </w:r>
            <w:r w:rsidR="00987A07">
              <w:rPr>
                <w:b/>
                <w:color w:val="FF0000"/>
                <w:lang w:eastAsia="en-US"/>
              </w:rPr>
              <w:t>6</w:t>
            </w:r>
            <w:r>
              <w:rPr>
                <w:b/>
                <w:color w:val="FF0000"/>
                <w:lang w:eastAsia="en-US"/>
              </w:rPr>
              <w:t>,</w:t>
            </w:r>
            <w:r w:rsidR="00987A07">
              <w:rPr>
                <w:b/>
                <w:color w:val="FF0000"/>
                <w:lang w:eastAsia="en-US"/>
              </w:rPr>
              <w:t>5</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0 %</w:t>
            </w:r>
            <w:r>
              <w:rPr>
                <w:lang w:eastAsia="en-US"/>
              </w:rPr>
              <w:t xml:space="preserve"> </w:t>
            </w:r>
          </w:p>
        </w:tc>
      </w:tr>
    </w:tbl>
    <w:p w:rsidR="00B9122B" w:rsidRDefault="00B9122B" w:rsidP="00B9122B">
      <w:pPr>
        <w:pStyle w:val="Bezodstpw"/>
        <w:jc w:val="both"/>
      </w:pPr>
    </w:p>
    <w:p w:rsidR="00B9122B" w:rsidRDefault="00B9122B" w:rsidP="00B9122B">
      <w:pPr>
        <w:pStyle w:val="Bezodstpw"/>
        <w:jc w:val="both"/>
      </w:pPr>
    </w:p>
    <w:p w:rsidR="00B9122B" w:rsidRDefault="00B9122B" w:rsidP="00B9122B">
      <w:pPr>
        <w:pStyle w:val="Bezodstpw"/>
        <w:jc w:val="both"/>
      </w:pPr>
      <w:r>
        <w:lastRenderedPageBreak/>
        <w:t xml:space="preserve">Tabela: Procentowa zmiana ceny akcji spółki, której akcje zostały wymienione w siódmym numerze </w:t>
      </w:r>
      <w:proofErr w:type="gramStart"/>
      <w:r>
        <w:t>,,</w:t>
      </w:r>
      <w:proofErr w:type="gramEnd"/>
      <w:r>
        <w:t xml:space="preserve">Raportu Tygodniowego” z 27 października 2014 roku w rubryce ,,Wykres do przemyślenia” w okresie od 24 października 2014 roku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Tesgas</w:t>
            </w:r>
            <w:proofErr w:type="spellEnd"/>
            <w:r>
              <w:rPr>
                <w:lang w:eastAsia="en-US"/>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4,32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3,</w:t>
            </w:r>
            <w:r w:rsidR="00987A07">
              <w:rPr>
                <w:lang w:eastAsia="en-US"/>
              </w:rPr>
              <w:t>36</w:t>
            </w:r>
            <w:r>
              <w:rPr>
                <w:lang w:eastAsia="en-US"/>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-2</w:t>
            </w:r>
            <w:r w:rsidR="00987A07">
              <w:rPr>
                <w:lang w:eastAsia="en-US"/>
              </w:rPr>
              <w:t>2</w:t>
            </w:r>
            <w:r>
              <w:rPr>
                <w:lang w:eastAsia="en-US"/>
              </w:rPr>
              <w:t>,</w:t>
            </w:r>
            <w:r w:rsidR="00987A07">
              <w:rPr>
                <w:lang w:eastAsia="en-US"/>
              </w:rPr>
              <w:t>2</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-2</w:t>
            </w:r>
            <w:r w:rsidR="00987A07">
              <w:rPr>
                <w:b/>
                <w:color w:val="FF0000"/>
                <w:lang w:eastAsia="en-US"/>
              </w:rPr>
              <w:t>2</w:t>
            </w:r>
            <w:r>
              <w:rPr>
                <w:b/>
                <w:color w:val="FF0000"/>
                <w:lang w:eastAsia="en-US"/>
              </w:rPr>
              <w:t>,</w:t>
            </w:r>
            <w:r w:rsidR="00987A07">
              <w:rPr>
                <w:b/>
                <w:color w:val="FF0000"/>
                <w:lang w:eastAsia="en-US"/>
              </w:rPr>
              <w:t>2</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3</w:t>
            </w:r>
            <w:r>
              <w:rPr>
                <w:lang w:eastAsia="en-US"/>
              </w:rPr>
              <w:t>,</w:t>
            </w:r>
            <w:r w:rsidR="00987A07">
              <w:rPr>
                <w:lang w:eastAsia="en-US"/>
              </w:rPr>
              <w:t>8</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numerze </w:t>
      </w:r>
      <w:proofErr w:type="gramStart"/>
      <w:r>
        <w:t>,,</w:t>
      </w:r>
      <w:proofErr w:type="gramEnd"/>
      <w:r>
        <w:t xml:space="preserve">Raportu Tygodniowego” z 3 listopada 2014 roku w rubryce ,,Wykres do przemyślenia” w okresie od 31 października 2014 roku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16,00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15,</w:t>
            </w:r>
            <w:r w:rsidR="00987A07">
              <w:rPr>
                <w:lang w:eastAsia="en-US"/>
              </w:rPr>
              <w:t>85</w:t>
            </w:r>
            <w:r>
              <w:rPr>
                <w:lang w:eastAsia="en-US"/>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0</w:t>
            </w:r>
            <w:r>
              <w:rPr>
                <w:lang w:eastAsia="en-US"/>
              </w:rPr>
              <w:t>,</w:t>
            </w:r>
            <w:r w:rsidR="00987A07">
              <w:rPr>
                <w:lang w:eastAsia="en-US"/>
              </w:rPr>
              <w:t>9</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 xml:space="preserve">  -</w:t>
            </w:r>
            <w:r w:rsidR="00987A07">
              <w:rPr>
                <w:b/>
                <w:color w:val="FF0000"/>
                <w:lang w:eastAsia="en-US"/>
              </w:rPr>
              <w:t>0</w:t>
            </w:r>
            <w:r>
              <w:rPr>
                <w:b/>
                <w:color w:val="FF0000"/>
                <w:lang w:eastAsia="en-US"/>
              </w:rPr>
              <w:t>,</w:t>
            </w:r>
            <w:r w:rsidR="00987A07">
              <w:rPr>
                <w:b/>
                <w:color w:val="FF0000"/>
                <w:lang w:eastAsia="en-US"/>
              </w:rPr>
              <w:t>9</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 xml:space="preserve">  -</w:t>
            </w:r>
            <w:r w:rsidR="00987A07">
              <w:rPr>
                <w:lang w:eastAsia="en-US"/>
              </w:rPr>
              <w:t>5</w:t>
            </w:r>
            <w:r>
              <w:rPr>
                <w:lang w:eastAsia="en-US"/>
              </w:rPr>
              <w:t>,</w:t>
            </w:r>
            <w:r w:rsidR="00987A07">
              <w:rPr>
                <w:lang w:eastAsia="en-US"/>
              </w:rPr>
              <w:t>3</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numerze </w:t>
      </w:r>
      <w:proofErr w:type="gramStart"/>
      <w:r>
        <w:t>,,</w:t>
      </w:r>
      <w:proofErr w:type="gramEnd"/>
      <w:r>
        <w:t xml:space="preserve">Raportu Tygodniowego” z 1 grudnia 2014 roku w rubryce ,,Wykres do przemyślenia” w okresie od 28 listopada 2014 roku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1,06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2,2</w:t>
            </w:r>
            <w:r w:rsidR="00987A07">
              <w:rPr>
                <w:lang w:eastAsia="en-US"/>
              </w:rPr>
              <w:t>4</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+11</w:t>
            </w:r>
            <w:r w:rsidR="00987A07">
              <w:rPr>
                <w:lang w:eastAsia="en-US"/>
              </w:rPr>
              <w:t>1</w:t>
            </w:r>
            <w:r>
              <w:rPr>
                <w:lang w:eastAsia="en-US"/>
              </w:rPr>
              <w:t>,</w:t>
            </w:r>
            <w:r w:rsidR="00987A07">
              <w:rPr>
                <w:lang w:eastAsia="en-US"/>
              </w:rPr>
              <w:t>3</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b/>
                <w:color w:val="FF0000"/>
                <w:lang w:eastAsia="en-US"/>
              </w:rPr>
            </w:pPr>
            <w:r>
              <w:rPr>
                <w:b/>
                <w:color w:val="FF0000"/>
                <w:lang w:eastAsia="en-US"/>
              </w:rPr>
              <w:t>+11</w:t>
            </w:r>
            <w:r w:rsidR="00987A07">
              <w:rPr>
                <w:b/>
                <w:color w:val="FF0000"/>
                <w:lang w:eastAsia="en-US"/>
              </w:rPr>
              <w:t>1</w:t>
            </w:r>
            <w:r>
              <w:rPr>
                <w:b/>
                <w:color w:val="FF0000"/>
                <w:lang w:eastAsia="en-US"/>
              </w:rPr>
              <w:t>,</w:t>
            </w:r>
            <w:r w:rsidR="00987A07">
              <w:rPr>
                <w:b/>
                <w:color w:val="FF0000"/>
                <w:lang w:eastAsia="en-US"/>
              </w:rPr>
              <w:t>3</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w:t>
            </w:r>
            <w:r w:rsidR="00987A07">
              <w:rPr>
                <w:lang w:eastAsia="en-US"/>
              </w:rPr>
              <w:t>3</w:t>
            </w:r>
            <w:r>
              <w:rPr>
                <w:lang w:eastAsia="en-US"/>
              </w:rPr>
              <w:t>,</w:t>
            </w:r>
            <w:r w:rsidR="00987A07">
              <w:rPr>
                <w:lang w:eastAsia="en-US"/>
              </w:rPr>
              <w:t>4</w:t>
            </w:r>
            <w:r>
              <w:rPr>
                <w:lang w:eastAsia="en-US"/>
              </w:rPr>
              <w:t xml:space="preserve"> %</w:t>
            </w:r>
          </w:p>
        </w:tc>
      </w:tr>
    </w:tbl>
    <w:p w:rsidR="00B9122B" w:rsidRDefault="00B9122B" w:rsidP="00B9122B">
      <w:pPr>
        <w:pStyle w:val="Bezodstpw"/>
        <w:jc w:val="both"/>
      </w:pPr>
      <w:r>
        <w:t xml:space="preserve">Tabela: Procentowa zmiana ceny akcji spółki, której akcje zostały umieszczone 2 grudnia na stronie internetowej </w:t>
      </w:r>
      <w:hyperlink r:id="rId19" w:history="1">
        <w:r>
          <w:rPr>
            <w:rStyle w:val="Hipercze"/>
          </w:rPr>
          <w:t>www.analizy-rynkowe.pl</w:t>
        </w:r>
      </w:hyperlink>
      <w:r>
        <w:t xml:space="preserve"> w </w:t>
      </w:r>
      <w:proofErr w:type="gramStart"/>
      <w:r>
        <w:t>rubryce  ,,Wykres</w:t>
      </w:r>
      <w:proofErr w:type="gramEnd"/>
      <w:r>
        <w:t xml:space="preserve"> do przemyślenia” w okresie od 1 grudnia 2014 roku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37,65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987A07">
            <w:pPr>
              <w:pStyle w:val="Bezodstpw"/>
              <w:jc w:val="center"/>
              <w:rPr>
                <w:lang w:eastAsia="en-US"/>
              </w:rPr>
            </w:pPr>
            <w:r>
              <w:rPr>
                <w:lang w:eastAsia="en-US"/>
              </w:rPr>
              <w:t>3</w:t>
            </w:r>
            <w:r w:rsidR="00987A07">
              <w:rPr>
                <w:lang w:eastAsia="en-US"/>
              </w:rPr>
              <w:t>1</w:t>
            </w:r>
            <w:r>
              <w:rPr>
                <w:lang w:eastAsia="en-US"/>
              </w:rPr>
              <w:t>,</w:t>
            </w:r>
            <w:r w:rsidR="00987A07">
              <w:rPr>
                <w:lang w:eastAsia="en-US"/>
              </w:rPr>
              <w:t>50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-1</w:t>
            </w:r>
            <w:r w:rsidR="001B3E37">
              <w:rPr>
                <w:lang w:eastAsia="en-US"/>
              </w:rPr>
              <w:t>6</w:t>
            </w:r>
            <w:r>
              <w:rPr>
                <w:lang w:eastAsia="en-US"/>
              </w:rPr>
              <w:t>,</w:t>
            </w:r>
            <w:r w:rsidR="001B3E37">
              <w:rPr>
                <w:lang w:eastAsia="en-US"/>
              </w:rPr>
              <w:t>3</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-1</w:t>
            </w:r>
            <w:r w:rsidR="001B3E37">
              <w:rPr>
                <w:b/>
                <w:color w:val="FF0000"/>
                <w:lang w:eastAsia="en-US"/>
              </w:rPr>
              <w:t>6</w:t>
            </w:r>
            <w:r>
              <w:rPr>
                <w:b/>
                <w:color w:val="FF0000"/>
                <w:lang w:eastAsia="en-US"/>
              </w:rPr>
              <w:t>,</w:t>
            </w:r>
            <w:r w:rsidR="001B3E37">
              <w:rPr>
                <w:b/>
                <w:color w:val="FF0000"/>
                <w:lang w:eastAsia="en-US"/>
              </w:rPr>
              <w:t>3</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 xml:space="preserve">  -</w:t>
            </w:r>
            <w:r w:rsidR="001B3E37">
              <w:rPr>
                <w:lang w:eastAsia="en-US"/>
              </w:rPr>
              <w:t>3</w:t>
            </w:r>
            <w:r>
              <w:rPr>
                <w:lang w:eastAsia="en-US"/>
              </w:rPr>
              <w:t>,</w:t>
            </w:r>
            <w:r w:rsidR="001B3E37">
              <w:rPr>
                <w:lang w:eastAsia="en-US"/>
              </w:rPr>
              <w:t>4</w:t>
            </w:r>
            <w:r>
              <w:rPr>
                <w:lang w:eastAsia="en-US"/>
              </w:rPr>
              <w:t xml:space="preserve"> %</w:t>
            </w:r>
          </w:p>
        </w:tc>
      </w:tr>
    </w:tbl>
    <w:p w:rsidR="00B9122B" w:rsidRDefault="00B9122B" w:rsidP="00B9122B">
      <w:pPr>
        <w:pStyle w:val="Bezodstpw"/>
        <w:jc w:val="both"/>
      </w:pPr>
      <w:r>
        <w:t xml:space="preserve">Tabela: Procentowa zmiana ceny akcji spółki, której akcje zostały wymienione w numerze </w:t>
      </w:r>
      <w:proofErr w:type="gramStart"/>
      <w:r>
        <w:t>,,</w:t>
      </w:r>
      <w:proofErr w:type="gramEnd"/>
      <w:r>
        <w:t xml:space="preserve">Raportu Tygodniowego” z 15 grudnia 2014 roku w rubryce ,,Wykres do przemyślenia” w okresie od 12 grudnia 2014 roku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Mercor</w:t>
            </w:r>
            <w:proofErr w:type="spellEnd"/>
            <w:r>
              <w:rPr>
                <w:lang w:eastAsia="en-US"/>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8,14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10,00 zł. </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  +22,9 %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 xml:space="preserve">  +22,9 %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 xml:space="preserve"> -  </w:t>
            </w:r>
            <w:r w:rsidR="001B3E37">
              <w:rPr>
                <w:lang w:eastAsia="en-US"/>
              </w:rPr>
              <w:t>1</w:t>
            </w:r>
            <w:r>
              <w:rPr>
                <w:lang w:eastAsia="en-US"/>
              </w:rPr>
              <w:t>,</w:t>
            </w:r>
            <w:r w:rsidR="001B3E37">
              <w:rPr>
                <w:lang w:eastAsia="en-US"/>
              </w:rPr>
              <w:t>1</w:t>
            </w:r>
            <w:r>
              <w:rPr>
                <w:lang w:eastAsia="en-US"/>
              </w:rPr>
              <w:t xml:space="preserve"> %</w:t>
            </w:r>
          </w:p>
        </w:tc>
      </w:tr>
    </w:tbl>
    <w:p w:rsidR="00B9122B" w:rsidRDefault="00B9122B" w:rsidP="00B9122B">
      <w:pPr>
        <w:pStyle w:val="Bezodstpw"/>
        <w:jc w:val="both"/>
      </w:pPr>
      <w:r>
        <w:t xml:space="preserve">Tabela: Procentowa zmiana ceny akcji spółki, której akcje zostały umieszczone 2 stycznia 2015 roku </w:t>
      </w:r>
      <w:proofErr w:type="gramStart"/>
      <w:r>
        <w:t>na  stronie</w:t>
      </w:r>
      <w:proofErr w:type="gramEnd"/>
      <w:r>
        <w:t xml:space="preserve"> internetowej </w:t>
      </w:r>
      <w:hyperlink r:id="rId20" w:history="1">
        <w:r>
          <w:rPr>
            <w:rStyle w:val="Hipercze"/>
          </w:rPr>
          <w:t>www.analizy-rynkowe.pl</w:t>
        </w:r>
      </w:hyperlink>
      <w:r>
        <w:t xml:space="preserve"> w </w:t>
      </w:r>
      <w:proofErr w:type="gramStart"/>
      <w:r>
        <w:t>rubryce  ,,Wykres</w:t>
      </w:r>
      <w:proofErr w:type="gramEnd"/>
      <w:r>
        <w:t xml:space="preserve"> do przemyślenia” w okresie od 1 grudnia do 19 czerwca 2015 roku oraz procentowa zmiana indeksu WIG 20 w tym okresie. </w:t>
      </w: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 xml:space="preserve">Poziom – </w:t>
            </w:r>
            <w:r w:rsidR="001B3E37">
              <w:rPr>
                <w:lang w:eastAsia="en-US"/>
              </w:rPr>
              <w:t>30</w:t>
            </w:r>
            <w:r>
              <w:rPr>
                <w:lang w:eastAsia="en-US"/>
              </w:rPr>
              <w:t>.12.2014</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115,50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13</w:t>
            </w:r>
            <w:r w:rsidR="001B3E37">
              <w:rPr>
                <w:lang w:eastAsia="en-US"/>
              </w:rPr>
              <w:t>5</w:t>
            </w:r>
            <w:r>
              <w:rPr>
                <w:lang w:eastAsia="en-US"/>
              </w:rPr>
              <w:t>,</w:t>
            </w:r>
            <w:r w:rsidR="001B3E37">
              <w:rPr>
                <w:lang w:eastAsia="en-US"/>
              </w:rPr>
              <w:t>40</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+17,</w:t>
            </w:r>
            <w:r w:rsidR="001B3E37">
              <w:rPr>
                <w:lang w:eastAsia="en-US"/>
              </w:rPr>
              <w:t>2</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+17</w:t>
            </w:r>
            <w:r w:rsidR="001B3E37">
              <w:rPr>
                <w:b/>
                <w:color w:val="FF0000"/>
                <w:lang w:eastAsia="en-US"/>
              </w:rPr>
              <w:t>,2</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2 </w:t>
            </w:r>
            <w:r w:rsidR="001B3E37">
              <w:rPr>
                <w:lang w:eastAsia="en-US"/>
              </w:rPr>
              <w:t>315</w:t>
            </w:r>
            <w:r>
              <w:rPr>
                <w:lang w:eastAsia="en-US"/>
              </w:rPr>
              <w:t>,</w:t>
            </w:r>
            <w:r w:rsidR="001B3E37">
              <w:rPr>
                <w:lang w:eastAsia="en-US"/>
              </w:rPr>
              <w:t>94</w:t>
            </w:r>
            <w:r>
              <w:rPr>
                <w:lang w:eastAsia="en-US"/>
              </w:rPr>
              <w:t xml:space="preserve">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 xml:space="preserve">  </w:t>
            </w:r>
            <w:r w:rsidR="001B3E37">
              <w:rPr>
                <w:lang w:eastAsia="en-US"/>
              </w:rPr>
              <w:t xml:space="preserve">0,8 </w:t>
            </w:r>
            <w:r>
              <w:rPr>
                <w:lang w:eastAsia="en-US"/>
              </w:rPr>
              <w:t>%</w:t>
            </w:r>
          </w:p>
        </w:tc>
      </w:tr>
    </w:tbl>
    <w:p w:rsidR="00B9122B" w:rsidRDefault="00B9122B" w:rsidP="00B9122B">
      <w:pPr>
        <w:pStyle w:val="Bezodstpw"/>
        <w:jc w:val="both"/>
      </w:pPr>
      <w:r>
        <w:lastRenderedPageBreak/>
        <w:t xml:space="preserve">Tabela: Procentowa zmiana ceny akcji spółki, której akcje zostały umieszczone 12 stycznia 2015 roku </w:t>
      </w:r>
      <w:proofErr w:type="gramStart"/>
      <w:r>
        <w:t>na  stronie</w:t>
      </w:r>
      <w:proofErr w:type="gramEnd"/>
      <w:r>
        <w:t xml:space="preserve"> internetowej </w:t>
      </w:r>
      <w:hyperlink r:id="rId21" w:history="1">
        <w:r>
          <w:rPr>
            <w:rStyle w:val="Hipercze"/>
          </w:rPr>
          <w:t>www.analizy-rynkowe.pl</w:t>
        </w:r>
      </w:hyperlink>
      <w:r>
        <w:t xml:space="preserve"> w </w:t>
      </w:r>
      <w:proofErr w:type="gramStart"/>
      <w:r>
        <w:t>rubryce  ,,Wykres</w:t>
      </w:r>
      <w:proofErr w:type="gramEnd"/>
      <w:r>
        <w:t xml:space="preserve"> do przemyślenia” w okresie od 9 stycznia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3,34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3,6</w:t>
            </w:r>
            <w:r w:rsidR="001B3E37">
              <w:rPr>
                <w:lang w:eastAsia="en-US"/>
              </w:rPr>
              <w:t>1</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8</w:t>
            </w:r>
            <w:r>
              <w:rPr>
                <w:lang w:eastAsia="en-US"/>
              </w:rPr>
              <w:t>,</w:t>
            </w:r>
            <w:r w:rsidR="001B3E37">
              <w:rPr>
                <w:lang w:eastAsia="en-US"/>
              </w:rPr>
              <w:t>1</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w:t>
            </w:r>
            <w:r w:rsidR="001B3E37">
              <w:rPr>
                <w:b/>
                <w:color w:val="FF0000"/>
                <w:lang w:eastAsia="en-US"/>
              </w:rPr>
              <w:t>8</w:t>
            </w:r>
            <w:r>
              <w:rPr>
                <w:b/>
                <w:color w:val="FF0000"/>
                <w:lang w:eastAsia="en-US"/>
              </w:rPr>
              <w:t>,</w:t>
            </w:r>
            <w:r w:rsidR="001B3E37">
              <w:rPr>
                <w:b/>
                <w:color w:val="FF0000"/>
                <w:lang w:eastAsia="en-US"/>
              </w:rPr>
              <w:t>1</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3</w:t>
            </w:r>
            <w:r>
              <w:rPr>
                <w:lang w:eastAsia="en-US"/>
              </w:rPr>
              <w:t>,</w:t>
            </w:r>
            <w:r w:rsidR="001B3E37">
              <w:rPr>
                <w:lang w:eastAsia="en-US"/>
              </w:rPr>
              <w:t>4</w:t>
            </w:r>
            <w:r>
              <w:rPr>
                <w:lang w:eastAsia="en-US"/>
              </w:rPr>
              <w:t xml:space="preserve"> %</w:t>
            </w:r>
          </w:p>
        </w:tc>
      </w:tr>
    </w:tbl>
    <w:p w:rsidR="00B9122B" w:rsidRDefault="00B9122B" w:rsidP="00B9122B">
      <w:pPr>
        <w:pStyle w:val="Bezodstpw"/>
        <w:jc w:val="both"/>
      </w:pPr>
    </w:p>
    <w:p w:rsidR="00B9122B" w:rsidRDefault="00B9122B" w:rsidP="00B9122B">
      <w:pPr>
        <w:pStyle w:val="Bezodstpw"/>
        <w:jc w:val="both"/>
      </w:pPr>
      <w:r>
        <w:t xml:space="preserve">Tabela: Procentowa zmiana ceny akcji spółki, której akcje zostały umieszczone 30 stycznia 2015 roku </w:t>
      </w:r>
      <w:proofErr w:type="gramStart"/>
      <w:r>
        <w:t>na  stronie</w:t>
      </w:r>
      <w:proofErr w:type="gramEnd"/>
      <w:r>
        <w:t xml:space="preserve"> internetowej </w:t>
      </w:r>
      <w:hyperlink r:id="rId22" w:history="1">
        <w:r>
          <w:rPr>
            <w:rStyle w:val="Hipercze"/>
          </w:rPr>
          <w:t>www.analizy-rynkowe.pl</w:t>
        </w:r>
      </w:hyperlink>
      <w:r>
        <w:t xml:space="preserve"> w </w:t>
      </w:r>
      <w:proofErr w:type="gramStart"/>
      <w:r>
        <w:t>rubryce  ,,Wykres</w:t>
      </w:r>
      <w:proofErr w:type="gramEnd"/>
      <w:r>
        <w:t xml:space="preserve"> do przemyślenia” w okresie od 29 stycznia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1,11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1,1</w:t>
            </w:r>
            <w:r w:rsidR="001B3E37">
              <w:rPr>
                <w:lang w:eastAsia="en-US"/>
              </w:rPr>
              <w:t>5</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3</w:t>
            </w:r>
            <w:r>
              <w:rPr>
                <w:lang w:eastAsia="en-US"/>
              </w:rPr>
              <w:t>,</w:t>
            </w:r>
            <w:r w:rsidR="001B3E37">
              <w:rPr>
                <w:lang w:eastAsia="en-US"/>
              </w:rPr>
              <w:t>6</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w:t>
            </w:r>
            <w:r w:rsidR="001B3E37">
              <w:rPr>
                <w:b/>
                <w:color w:val="FF0000"/>
                <w:lang w:eastAsia="en-US"/>
              </w:rPr>
              <w:t>3</w:t>
            </w:r>
            <w:r>
              <w:rPr>
                <w:b/>
                <w:color w:val="FF0000"/>
                <w:lang w:eastAsia="en-US"/>
              </w:rPr>
              <w:t>,</w:t>
            </w:r>
            <w:r w:rsidR="001B3E37">
              <w:rPr>
                <w:b/>
                <w:color w:val="FF0000"/>
                <w:lang w:eastAsia="en-US"/>
              </w:rPr>
              <w:t>6</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3</w:t>
            </w:r>
            <w:r>
              <w:rPr>
                <w:lang w:eastAsia="en-US"/>
              </w:rPr>
              <w:t>,</w:t>
            </w:r>
            <w:r w:rsidR="001B3E37">
              <w:rPr>
                <w:lang w:eastAsia="en-US"/>
              </w:rPr>
              <w:t>4</w:t>
            </w:r>
            <w:r>
              <w:rPr>
                <w:lang w:eastAsia="en-US"/>
              </w:rPr>
              <w:t xml:space="preserve"> %</w:t>
            </w:r>
          </w:p>
        </w:tc>
      </w:tr>
    </w:tbl>
    <w:p w:rsidR="00B9122B" w:rsidRDefault="00B9122B" w:rsidP="00B9122B">
      <w:pPr>
        <w:pStyle w:val="Bezodstpw"/>
        <w:jc w:val="both"/>
        <w:rPr>
          <w:b/>
          <w:u w:val="single"/>
        </w:rPr>
      </w:pPr>
    </w:p>
    <w:p w:rsidR="00B9122B" w:rsidRDefault="00B9122B" w:rsidP="00B9122B">
      <w:pPr>
        <w:pStyle w:val="Bezodstpw"/>
        <w:jc w:val="both"/>
      </w:pPr>
      <w:r>
        <w:t xml:space="preserve">Tabela: Procentowa zmiana ceny akcji spółki, której akcje zostały umieszczone 10 lutego 2015 roku </w:t>
      </w:r>
      <w:proofErr w:type="gramStart"/>
      <w:r>
        <w:t>na  stronie</w:t>
      </w:r>
      <w:proofErr w:type="gramEnd"/>
      <w:r>
        <w:t xml:space="preserve"> internetowej </w:t>
      </w:r>
      <w:hyperlink r:id="rId23" w:history="1">
        <w:r>
          <w:rPr>
            <w:rStyle w:val="Hipercze"/>
          </w:rPr>
          <w:t>www.analizy-rynkowe.pl</w:t>
        </w:r>
      </w:hyperlink>
      <w:r>
        <w:t xml:space="preserve"> w </w:t>
      </w:r>
      <w:proofErr w:type="gramStart"/>
      <w:r>
        <w:t>rubryce  ,,Wykres</w:t>
      </w:r>
      <w:proofErr w:type="gramEnd"/>
      <w:r>
        <w:t xml:space="preserve"> do przemyślenia” w okresie od 9 lutego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Akcja spółki </w:t>
            </w:r>
            <w:proofErr w:type="spellStart"/>
            <w:r>
              <w:rPr>
                <w:lang w:eastAsia="en-US"/>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4,50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6,</w:t>
            </w:r>
            <w:r w:rsidR="001B3E37">
              <w:rPr>
                <w:lang w:eastAsia="en-US"/>
              </w:rPr>
              <w:t>06</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34</w:t>
            </w:r>
            <w:r>
              <w:rPr>
                <w:lang w:eastAsia="en-US"/>
              </w:rPr>
              <w:t>,7 %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w:t>
            </w:r>
            <w:r w:rsidR="001B3E37">
              <w:rPr>
                <w:b/>
                <w:color w:val="FF0000"/>
                <w:lang w:eastAsia="en-US"/>
              </w:rPr>
              <w:t>34</w:t>
            </w:r>
            <w:r>
              <w:rPr>
                <w:b/>
                <w:color w:val="FF0000"/>
                <w:lang w:eastAsia="en-US"/>
              </w:rPr>
              <w:t>,7 %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0</w:t>
            </w:r>
            <w:r>
              <w:rPr>
                <w:lang w:eastAsia="en-US"/>
              </w:rPr>
              <w:t>,</w:t>
            </w:r>
            <w:r w:rsidR="001B3E37">
              <w:rPr>
                <w:lang w:eastAsia="en-US"/>
              </w:rPr>
              <w:t>3</w:t>
            </w:r>
            <w:r>
              <w:rPr>
                <w:lang w:eastAsia="en-US"/>
              </w:rPr>
              <w:t xml:space="preserve"> %</w:t>
            </w:r>
          </w:p>
        </w:tc>
      </w:tr>
    </w:tbl>
    <w:p w:rsidR="00B9122B" w:rsidRDefault="00B9122B" w:rsidP="00B9122B">
      <w:pPr>
        <w:pStyle w:val="Bezodstpw"/>
        <w:jc w:val="both"/>
        <w:rPr>
          <w:b/>
        </w:rPr>
      </w:pPr>
    </w:p>
    <w:p w:rsidR="00B9122B" w:rsidRDefault="00B9122B" w:rsidP="00B9122B">
      <w:pPr>
        <w:pStyle w:val="Bezodstpw"/>
        <w:jc w:val="both"/>
      </w:pPr>
      <w:r>
        <w:t xml:space="preserve">Tabela: Procentowa zmiana ceny akcji spółki, której akcje zostały umieszczone 3 marca 2015 roku </w:t>
      </w:r>
      <w:proofErr w:type="gramStart"/>
      <w:r>
        <w:t>na  stronie</w:t>
      </w:r>
      <w:proofErr w:type="gramEnd"/>
      <w:r>
        <w:t xml:space="preserve"> internetowej </w:t>
      </w:r>
      <w:hyperlink r:id="rId24" w:history="1">
        <w:r>
          <w:rPr>
            <w:rStyle w:val="Hipercze"/>
          </w:rPr>
          <w:t>www.analizy-rynkowe.pl</w:t>
        </w:r>
      </w:hyperlink>
      <w:r>
        <w:t xml:space="preserve"> w </w:t>
      </w:r>
      <w:proofErr w:type="gramStart"/>
      <w:r>
        <w:t>rubryce  ,,Wykres</w:t>
      </w:r>
      <w:proofErr w:type="gramEnd"/>
      <w:r>
        <w:t xml:space="preserve"> do przemyślenia” w okresie od 2 marca do 19 czerwca 2015 roku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7,57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1B3E37" w:rsidP="001B3E37">
            <w:pPr>
              <w:pStyle w:val="Bezodstpw"/>
              <w:jc w:val="center"/>
              <w:rPr>
                <w:lang w:eastAsia="en-US"/>
              </w:rPr>
            </w:pPr>
            <w:r>
              <w:rPr>
                <w:lang w:eastAsia="en-US"/>
              </w:rPr>
              <w:t>10</w:t>
            </w:r>
            <w:r w:rsidR="00B9122B">
              <w:rPr>
                <w:lang w:eastAsia="en-US"/>
              </w:rPr>
              <w:t>,</w:t>
            </w:r>
            <w:r>
              <w:rPr>
                <w:lang w:eastAsia="en-US"/>
              </w:rPr>
              <w:t>00</w:t>
            </w:r>
            <w:r w:rsidR="00B9122B">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+3</w:t>
            </w:r>
            <w:r w:rsidR="001B3E37">
              <w:rPr>
                <w:lang w:eastAsia="en-US"/>
              </w:rPr>
              <w:t>2</w:t>
            </w:r>
            <w:r>
              <w:rPr>
                <w:lang w:eastAsia="en-US"/>
              </w:rPr>
              <w:t>,</w:t>
            </w:r>
            <w:r w:rsidR="001B3E37">
              <w:rPr>
                <w:lang w:eastAsia="en-US"/>
              </w:rPr>
              <w:t>1</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+3</w:t>
            </w:r>
            <w:r w:rsidR="001B3E37">
              <w:rPr>
                <w:b/>
                <w:color w:val="FF0000"/>
                <w:lang w:eastAsia="en-US"/>
              </w:rPr>
              <w:t>2</w:t>
            </w:r>
            <w:r>
              <w:rPr>
                <w:b/>
                <w:color w:val="FF0000"/>
                <w:lang w:eastAsia="en-US"/>
              </w:rPr>
              <w:t>,</w:t>
            </w:r>
            <w:r w:rsidR="001B3E37">
              <w:rPr>
                <w:b/>
                <w:color w:val="FF0000"/>
                <w:lang w:eastAsia="en-US"/>
              </w:rPr>
              <w:t>1</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2 </w:t>
            </w:r>
            <w:r w:rsidR="001B3E37">
              <w:rPr>
                <w:lang w:eastAsia="en-US"/>
              </w:rPr>
              <w:t>358</w:t>
            </w:r>
            <w:r>
              <w:rPr>
                <w:lang w:eastAsia="en-US"/>
              </w:rPr>
              <w:t>,</w:t>
            </w:r>
            <w:r w:rsidR="001B3E37">
              <w:rPr>
                <w:lang w:eastAsia="en-US"/>
              </w:rPr>
              <w:t>25</w:t>
            </w:r>
            <w:r>
              <w:rPr>
                <w:lang w:eastAsia="en-US"/>
              </w:rPr>
              <w:t xml:space="preserve">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1</w:t>
            </w:r>
            <w:r>
              <w:rPr>
                <w:lang w:eastAsia="en-US"/>
              </w:rPr>
              <w:t>,</w:t>
            </w:r>
            <w:r w:rsidR="001B3E37">
              <w:rPr>
                <w:lang w:eastAsia="en-US"/>
              </w:rPr>
              <w:t>0</w:t>
            </w:r>
            <w:r>
              <w:rPr>
                <w:lang w:eastAsia="en-US"/>
              </w:rPr>
              <w:t xml:space="preserve"> %</w:t>
            </w:r>
          </w:p>
        </w:tc>
      </w:tr>
    </w:tbl>
    <w:p w:rsidR="00B9122B" w:rsidRDefault="00B9122B" w:rsidP="00B9122B">
      <w:pPr>
        <w:pStyle w:val="Bezodstpw"/>
        <w:jc w:val="both"/>
        <w:rPr>
          <w:b/>
        </w:rPr>
      </w:pPr>
    </w:p>
    <w:p w:rsidR="00B9122B" w:rsidRDefault="00B9122B" w:rsidP="00B9122B">
      <w:pPr>
        <w:pStyle w:val="Bezodstpw"/>
        <w:jc w:val="both"/>
      </w:pPr>
      <w:r>
        <w:t xml:space="preserve">Tabela: Procentowa zmiana ceny akcji spółki, której akcje zostały umieszczone 9 kwietnia 2015 roku </w:t>
      </w:r>
      <w:proofErr w:type="gramStart"/>
      <w:r>
        <w:t>na  stronie</w:t>
      </w:r>
      <w:proofErr w:type="gramEnd"/>
      <w:r>
        <w:t xml:space="preserve"> internetowej </w:t>
      </w:r>
      <w:hyperlink r:id="rId25" w:history="1">
        <w:r>
          <w:rPr>
            <w:rStyle w:val="Hipercze"/>
          </w:rPr>
          <w:t>www.analizy-rynkowe.pl</w:t>
        </w:r>
      </w:hyperlink>
      <w:r>
        <w:t xml:space="preserve"> w </w:t>
      </w:r>
      <w:proofErr w:type="gramStart"/>
      <w:r>
        <w:t>rubryce  ,,Wykres</w:t>
      </w:r>
      <w:proofErr w:type="gramEnd"/>
      <w:r>
        <w:t xml:space="preserve"> do przemyślenia” w okresie od 8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1,25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1,3</w:t>
            </w:r>
            <w:r w:rsidR="001B3E37">
              <w:rPr>
                <w:lang w:eastAsia="en-US"/>
              </w:rPr>
              <w:t>2</w:t>
            </w:r>
            <w:r>
              <w:rPr>
                <w:lang w:eastAsia="en-US"/>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 xml:space="preserve">+ </w:t>
            </w:r>
            <w:r w:rsidR="001B3E37">
              <w:rPr>
                <w:lang w:eastAsia="en-US"/>
              </w:rPr>
              <w:t>5</w:t>
            </w:r>
            <w:r>
              <w:rPr>
                <w:lang w:eastAsia="en-US"/>
              </w:rPr>
              <w:t>,</w:t>
            </w:r>
            <w:r w:rsidR="001B3E37">
              <w:rPr>
                <w:lang w:eastAsia="en-US"/>
              </w:rPr>
              <w:t>6</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 xml:space="preserve">+ </w:t>
            </w:r>
            <w:r w:rsidR="001B3E37">
              <w:rPr>
                <w:b/>
                <w:color w:val="FF0000"/>
                <w:lang w:eastAsia="en-US"/>
              </w:rPr>
              <w:t>5</w:t>
            </w:r>
            <w:r>
              <w:rPr>
                <w:b/>
                <w:color w:val="FF0000"/>
                <w:lang w:eastAsia="en-US"/>
              </w:rPr>
              <w:t>,</w:t>
            </w:r>
            <w:r w:rsidR="001B3E37">
              <w:rPr>
                <w:b/>
                <w:color w:val="FF0000"/>
                <w:lang w:eastAsia="en-US"/>
              </w:rPr>
              <w:t>6</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3</w:t>
            </w:r>
            <w:r>
              <w:rPr>
                <w:lang w:eastAsia="en-US"/>
              </w:rPr>
              <w:t>,</w:t>
            </w:r>
            <w:r w:rsidR="001B3E37">
              <w:rPr>
                <w:lang w:eastAsia="en-US"/>
              </w:rPr>
              <w:t>8</w:t>
            </w:r>
            <w:r>
              <w:rPr>
                <w:lang w:eastAsia="en-US"/>
              </w:rPr>
              <w:t>%</w:t>
            </w:r>
          </w:p>
        </w:tc>
      </w:tr>
    </w:tbl>
    <w:p w:rsidR="00B9122B" w:rsidRDefault="00B9122B" w:rsidP="00B9122B">
      <w:pPr>
        <w:pStyle w:val="Bezodstpw"/>
        <w:jc w:val="both"/>
        <w:rPr>
          <w:sz w:val="34"/>
          <w:szCs w:val="34"/>
        </w:rPr>
      </w:pPr>
    </w:p>
    <w:p w:rsidR="00B9122B" w:rsidRDefault="00B9122B" w:rsidP="00B9122B">
      <w:pPr>
        <w:pStyle w:val="Bezodstpw"/>
        <w:jc w:val="both"/>
      </w:pPr>
      <w:r>
        <w:lastRenderedPageBreak/>
        <w:t xml:space="preserve">Tabela: Procentowa zmiana ceny akcji spółki, której akcje zostały umieszczone 5 maja 2015 roku </w:t>
      </w:r>
      <w:proofErr w:type="gramStart"/>
      <w:r>
        <w:t>na  stronie</w:t>
      </w:r>
      <w:proofErr w:type="gramEnd"/>
      <w:r>
        <w:t xml:space="preserve"> internetowej </w:t>
      </w:r>
      <w:hyperlink r:id="rId26" w:history="1">
        <w:r>
          <w:rPr>
            <w:rStyle w:val="Hipercze"/>
          </w:rPr>
          <w:t>www.analizy-rynkowe.pl</w:t>
        </w:r>
      </w:hyperlink>
      <w:r>
        <w:t xml:space="preserve"> w </w:t>
      </w:r>
      <w:proofErr w:type="gramStart"/>
      <w:r>
        <w:t>rubryce  ,,Wykres</w:t>
      </w:r>
      <w:proofErr w:type="gramEnd"/>
      <w:r>
        <w:t xml:space="preserve"> do przemyślenia” w okresie od 4 do 19 czerwca 2015 roku oraz procentowa zmiana indeksu WIG 20 w tym okresie. </w:t>
      </w:r>
    </w:p>
    <w:p w:rsidR="00B9122B" w:rsidRDefault="00B9122B" w:rsidP="00B9122B">
      <w:pPr>
        <w:pStyle w:val="Bezodstpw"/>
        <w:jc w:val="both"/>
      </w:pPr>
    </w:p>
    <w:tbl>
      <w:tblPr>
        <w:tblStyle w:val="Tabela-Siatka"/>
        <w:tblW w:w="0" w:type="auto"/>
        <w:tblLook w:val="04A0" w:firstRow="1" w:lastRow="0" w:firstColumn="1" w:lastColumn="0" w:noHBand="0" w:noVBand="1"/>
      </w:tblPr>
      <w:tblGrid>
        <w:gridCol w:w="3402"/>
        <w:gridCol w:w="2302"/>
        <w:gridCol w:w="2303"/>
        <w:gridCol w:w="1134"/>
      </w:tblGrid>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3964EB">
            <w:pPr>
              <w:pStyle w:val="Bezodstpw"/>
              <w:jc w:val="center"/>
              <w:rPr>
                <w:lang w:eastAsia="en-US"/>
              </w:rPr>
            </w:pPr>
            <w:r>
              <w:rPr>
                <w:lang w:eastAsia="en-US"/>
              </w:rPr>
              <w:t>Poziom – 26.06.2015</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Zmiana (w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11,10 zł.</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8,</w:t>
            </w:r>
            <w:r w:rsidR="001B3E37">
              <w:rPr>
                <w:lang w:eastAsia="en-US"/>
              </w:rPr>
              <w:t>9</w:t>
            </w:r>
            <w:r>
              <w:rPr>
                <w:lang w:eastAsia="en-US"/>
              </w:rPr>
              <w:t>0 zł.</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19</w:t>
            </w:r>
            <w:r>
              <w:rPr>
                <w:lang w:eastAsia="en-US"/>
              </w:rPr>
              <w:t>,</w:t>
            </w:r>
            <w:r w:rsidR="001B3E37">
              <w:rPr>
                <w:lang w:eastAsia="en-US"/>
              </w:rPr>
              <w:t>8</w:t>
            </w:r>
            <w:r>
              <w:rPr>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b/>
                <w:color w:val="FF0000"/>
                <w:lang w:eastAsia="en-US"/>
              </w:rPr>
            </w:pPr>
            <w:r>
              <w:rPr>
                <w:b/>
                <w:color w:val="FF0000"/>
                <w:lang w:eastAsia="en-US"/>
              </w:rPr>
              <w:t>Średnio</w:t>
            </w:r>
          </w:p>
        </w:tc>
        <w:tc>
          <w:tcPr>
            <w:tcW w:w="2302" w:type="dxa"/>
            <w:tcBorders>
              <w:top w:val="single" w:sz="4" w:space="0" w:color="auto"/>
              <w:left w:val="single" w:sz="4" w:space="0" w:color="auto"/>
              <w:bottom w:val="single" w:sz="4" w:space="0" w:color="auto"/>
              <w:right w:val="nil"/>
            </w:tcBorders>
          </w:tcPr>
          <w:p w:rsidR="00B9122B" w:rsidRDefault="00B9122B">
            <w:pPr>
              <w:pStyle w:val="Bezodstpw"/>
              <w:jc w:val="center"/>
              <w:rPr>
                <w:b/>
                <w:color w:val="FF0000"/>
                <w:lang w:eastAsia="en-US"/>
              </w:rPr>
            </w:pPr>
          </w:p>
        </w:tc>
        <w:tc>
          <w:tcPr>
            <w:tcW w:w="2303" w:type="dxa"/>
            <w:tcBorders>
              <w:top w:val="single" w:sz="4" w:space="0" w:color="auto"/>
              <w:left w:val="nil"/>
              <w:bottom w:val="single" w:sz="4" w:space="0" w:color="auto"/>
              <w:right w:val="single" w:sz="4" w:space="0" w:color="auto"/>
            </w:tcBorders>
          </w:tcPr>
          <w:p w:rsidR="00B9122B" w:rsidRDefault="00B9122B">
            <w:pPr>
              <w:pStyle w:val="Bezodstpw"/>
              <w:jc w:val="center"/>
              <w:rPr>
                <w:b/>
                <w:color w:val="FF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b/>
                <w:color w:val="FF0000"/>
                <w:lang w:eastAsia="en-US"/>
              </w:rPr>
            </w:pPr>
            <w:r>
              <w:rPr>
                <w:b/>
                <w:color w:val="FF0000"/>
                <w:lang w:eastAsia="en-US"/>
              </w:rPr>
              <w:t>-</w:t>
            </w:r>
            <w:r w:rsidR="001B3E37">
              <w:rPr>
                <w:b/>
                <w:color w:val="FF0000"/>
                <w:lang w:eastAsia="en-US"/>
              </w:rPr>
              <w:t>19</w:t>
            </w:r>
            <w:r>
              <w:rPr>
                <w:b/>
                <w:color w:val="FF0000"/>
                <w:lang w:eastAsia="en-US"/>
              </w:rPr>
              <w:t>,</w:t>
            </w:r>
            <w:r w:rsidR="001B3E37">
              <w:rPr>
                <w:b/>
                <w:color w:val="FF0000"/>
                <w:lang w:eastAsia="en-US"/>
              </w:rPr>
              <w:t>8</w:t>
            </w:r>
            <w:r>
              <w:rPr>
                <w:b/>
                <w:color w:val="FF0000"/>
                <w:lang w:eastAsia="en-US"/>
              </w:rPr>
              <w:t xml:space="preserve"> %</w:t>
            </w:r>
          </w:p>
        </w:tc>
      </w:tr>
      <w:tr w:rsidR="00B9122B" w:rsidTr="00B9122B">
        <w:tc>
          <w:tcPr>
            <w:tcW w:w="34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WIG 20</w:t>
            </w:r>
          </w:p>
        </w:tc>
        <w:tc>
          <w:tcPr>
            <w:tcW w:w="2302" w:type="dxa"/>
            <w:tcBorders>
              <w:top w:val="single" w:sz="4" w:space="0" w:color="auto"/>
              <w:left w:val="single" w:sz="4" w:space="0" w:color="auto"/>
              <w:bottom w:val="single" w:sz="4" w:space="0" w:color="auto"/>
              <w:right w:val="single" w:sz="4" w:space="0" w:color="auto"/>
            </w:tcBorders>
            <w:hideMark/>
          </w:tcPr>
          <w:p w:rsidR="00B9122B" w:rsidRDefault="00B9122B">
            <w:pPr>
              <w:pStyle w:val="Bezodstpw"/>
              <w:jc w:val="center"/>
              <w:rPr>
                <w:lang w:eastAsia="en-US"/>
              </w:rPr>
            </w:pPr>
            <w:r>
              <w:rPr>
                <w:lang w:eastAsia="en-US"/>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B9122B" w:rsidRDefault="00F353CA">
            <w:pPr>
              <w:pStyle w:val="Bezodstpw"/>
              <w:jc w:val="center"/>
              <w:rPr>
                <w:lang w:eastAsia="en-US"/>
              </w:rPr>
            </w:pPr>
            <w:r>
              <w:rPr>
                <w:lang w:eastAsia="en-US"/>
              </w:rPr>
              <w:t>2 333,82 pkt.</w:t>
            </w:r>
          </w:p>
        </w:tc>
        <w:tc>
          <w:tcPr>
            <w:tcW w:w="1134" w:type="dxa"/>
            <w:tcBorders>
              <w:top w:val="single" w:sz="4" w:space="0" w:color="auto"/>
              <w:left w:val="single" w:sz="4" w:space="0" w:color="auto"/>
              <w:bottom w:val="single" w:sz="4" w:space="0" w:color="auto"/>
              <w:right w:val="single" w:sz="4" w:space="0" w:color="auto"/>
            </w:tcBorders>
            <w:hideMark/>
          </w:tcPr>
          <w:p w:rsidR="00B9122B" w:rsidRDefault="00B9122B" w:rsidP="001B3E37">
            <w:pPr>
              <w:pStyle w:val="Bezodstpw"/>
              <w:jc w:val="center"/>
              <w:rPr>
                <w:lang w:eastAsia="en-US"/>
              </w:rPr>
            </w:pPr>
            <w:r>
              <w:rPr>
                <w:lang w:eastAsia="en-US"/>
              </w:rPr>
              <w:t>-</w:t>
            </w:r>
            <w:r w:rsidR="001B3E37">
              <w:rPr>
                <w:lang w:eastAsia="en-US"/>
              </w:rPr>
              <w:t>7</w:t>
            </w:r>
            <w:r>
              <w:rPr>
                <w:lang w:eastAsia="en-US"/>
              </w:rPr>
              <w:t>,</w:t>
            </w:r>
            <w:r w:rsidR="001B3E37">
              <w:rPr>
                <w:lang w:eastAsia="en-US"/>
              </w:rPr>
              <w:t>5</w:t>
            </w:r>
            <w:r>
              <w:rPr>
                <w:lang w:eastAsia="en-US"/>
              </w:rPr>
              <w:t xml:space="preserve"> %</w:t>
            </w:r>
          </w:p>
        </w:tc>
      </w:tr>
    </w:tbl>
    <w:p w:rsidR="00B9122B" w:rsidRDefault="00B9122B" w:rsidP="00B9122B">
      <w:pPr>
        <w:pStyle w:val="Bezodstpw"/>
        <w:jc w:val="both"/>
        <w:rPr>
          <w:sz w:val="34"/>
          <w:szCs w:val="34"/>
        </w:rPr>
      </w:pPr>
    </w:p>
    <w:p w:rsidR="00B9122B" w:rsidRDefault="00B9122B" w:rsidP="00B9122B">
      <w:pPr>
        <w:pStyle w:val="Bezodstpw"/>
        <w:jc w:val="both"/>
        <w:rPr>
          <w:b/>
          <w:sz w:val="32"/>
          <w:szCs w:val="32"/>
          <w:u w:val="single"/>
        </w:rPr>
      </w:pPr>
      <w:r>
        <w:rPr>
          <w:sz w:val="32"/>
          <w:szCs w:val="32"/>
        </w:rPr>
        <w:t xml:space="preserve">Warto zauważyć, że </w:t>
      </w:r>
      <w:r>
        <w:rPr>
          <w:b/>
          <w:color w:val="FF0000"/>
          <w:sz w:val="32"/>
          <w:szCs w:val="32"/>
        </w:rPr>
        <w:t>spośród</w:t>
      </w:r>
      <w:r>
        <w:rPr>
          <w:b/>
          <w:sz w:val="32"/>
          <w:szCs w:val="32"/>
        </w:rPr>
        <w:t xml:space="preserve"> </w:t>
      </w:r>
      <w:r>
        <w:rPr>
          <w:b/>
          <w:color w:val="FF0000"/>
          <w:sz w:val="32"/>
          <w:szCs w:val="32"/>
        </w:rPr>
        <w:t>27 spółek</w:t>
      </w:r>
      <w:r>
        <w:rPr>
          <w:b/>
          <w:sz w:val="32"/>
          <w:szCs w:val="32"/>
        </w:rPr>
        <w:t xml:space="preserve">, których akcje zakwalifikowane zostały do rubryki </w:t>
      </w:r>
      <w:proofErr w:type="gramStart"/>
      <w:r>
        <w:rPr>
          <w:b/>
          <w:sz w:val="32"/>
          <w:szCs w:val="32"/>
        </w:rPr>
        <w:t>,,</w:t>
      </w:r>
      <w:proofErr w:type="gramEnd"/>
      <w:r>
        <w:rPr>
          <w:b/>
          <w:sz w:val="32"/>
          <w:szCs w:val="32"/>
        </w:rPr>
        <w:t>Wykres do przemyślenia”</w:t>
      </w:r>
      <w:r>
        <w:rPr>
          <w:sz w:val="32"/>
          <w:szCs w:val="32"/>
        </w:rPr>
        <w:t xml:space="preserve"> (gdyż wybiły się już z formacji podwójnego dna) </w:t>
      </w:r>
      <w:r>
        <w:rPr>
          <w:b/>
          <w:sz w:val="32"/>
          <w:szCs w:val="32"/>
        </w:rPr>
        <w:t xml:space="preserve">kursy akcji </w:t>
      </w:r>
      <w:r>
        <w:rPr>
          <w:b/>
          <w:color w:val="FF0000"/>
          <w:sz w:val="32"/>
          <w:szCs w:val="32"/>
        </w:rPr>
        <w:t>2</w:t>
      </w:r>
      <w:r w:rsidR="001B3E37">
        <w:rPr>
          <w:b/>
          <w:color w:val="FF0000"/>
          <w:sz w:val="32"/>
          <w:szCs w:val="32"/>
        </w:rPr>
        <w:t>0</w:t>
      </w:r>
      <w:r>
        <w:rPr>
          <w:b/>
          <w:color w:val="FF0000"/>
          <w:sz w:val="32"/>
          <w:szCs w:val="32"/>
        </w:rPr>
        <w:t xml:space="preserve"> spółek</w:t>
      </w:r>
      <w:r>
        <w:rPr>
          <w:sz w:val="32"/>
          <w:szCs w:val="32"/>
        </w:rPr>
        <w:t xml:space="preserve"> od momentu owego zakwalifikowania do tej rubryki do dnia </w:t>
      </w:r>
      <w:r w:rsidR="001B3E37">
        <w:rPr>
          <w:sz w:val="32"/>
          <w:szCs w:val="32"/>
        </w:rPr>
        <w:t>26</w:t>
      </w:r>
      <w:r>
        <w:rPr>
          <w:sz w:val="32"/>
          <w:szCs w:val="32"/>
        </w:rPr>
        <w:t xml:space="preserve"> czerwca 2015 roku zachowywały się </w:t>
      </w:r>
      <w:r>
        <w:rPr>
          <w:b/>
          <w:color w:val="FF0000"/>
          <w:sz w:val="32"/>
          <w:szCs w:val="32"/>
          <w:u w:val="single"/>
        </w:rPr>
        <w:t>lepiej</w:t>
      </w:r>
      <w:r>
        <w:rPr>
          <w:b/>
          <w:color w:val="FF0000"/>
          <w:sz w:val="32"/>
          <w:szCs w:val="32"/>
        </w:rPr>
        <w:t xml:space="preserve"> od indeksu WIG20</w:t>
      </w:r>
      <w:r>
        <w:rPr>
          <w:b/>
          <w:sz w:val="32"/>
          <w:szCs w:val="32"/>
        </w:rPr>
        <w:t xml:space="preserve"> a </w:t>
      </w:r>
      <w:r w:rsidR="001B3E37">
        <w:rPr>
          <w:b/>
          <w:sz w:val="32"/>
          <w:szCs w:val="32"/>
        </w:rPr>
        <w:t>7</w:t>
      </w:r>
      <w:r>
        <w:rPr>
          <w:b/>
          <w:sz w:val="32"/>
          <w:szCs w:val="32"/>
        </w:rPr>
        <w:t xml:space="preserve"> </w:t>
      </w:r>
      <w:r>
        <w:rPr>
          <w:b/>
          <w:sz w:val="32"/>
          <w:szCs w:val="32"/>
          <w:u w:val="single"/>
        </w:rPr>
        <w:t xml:space="preserve">gorzej </w:t>
      </w:r>
      <w:r>
        <w:rPr>
          <w:b/>
          <w:sz w:val="32"/>
          <w:szCs w:val="32"/>
        </w:rPr>
        <w:t>od indeksu WIG20.</w:t>
      </w:r>
      <w:r>
        <w:rPr>
          <w:b/>
          <w:sz w:val="32"/>
          <w:szCs w:val="32"/>
          <w:u w:val="single"/>
        </w:rPr>
        <w:t xml:space="preserve"> </w:t>
      </w:r>
    </w:p>
    <w:p w:rsidR="00B9122B" w:rsidRDefault="00B9122B" w:rsidP="00B9122B">
      <w:pPr>
        <w:pStyle w:val="Bezodstpw"/>
        <w:jc w:val="both"/>
        <w:rPr>
          <w:b/>
          <w:sz w:val="32"/>
          <w:szCs w:val="32"/>
          <w:u w:val="single"/>
        </w:rPr>
      </w:pPr>
    </w:p>
    <w:p w:rsidR="00B9122B" w:rsidRPr="00B9122B" w:rsidRDefault="00B9122B" w:rsidP="00B9122B">
      <w:pPr>
        <w:pStyle w:val="Bezodstpw"/>
        <w:jc w:val="center"/>
        <w:rPr>
          <w:b/>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122B">
        <w:rPr>
          <w:b/>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Porównanie</w:t>
      </w:r>
    </w:p>
    <w:p w:rsidR="00B9122B" w:rsidRDefault="00B9122B" w:rsidP="00B9122B">
      <w:pPr>
        <w:pStyle w:val="Bezodstpw"/>
        <w:jc w:val="both"/>
        <w:rPr>
          <w:sz w:val="32"/>
          <w:szCs w:val="32"/>
        </w:rPr>
      </w:pPr>
      <w:r>
        <w:rPr>
          <w:sz w:val="32"/>
          <w:szCs w:val="32"/>
        </w:rPr>
        <w:t xml:space="preserve">Wykres: </w:t>
      </w:r>
      <w:r>
        <w:rPr>
          <w:color w:val="000000" w:themeColor="text1"/>
          <w:sz w:val="32"/>
          <w:szCs w:val="32"/>
        </w:rPr>
        <w:t xml:space="preserve">Średnia procentowa zmiana kursu akcji spółki po wprowadzeniu jej do rubryki </w:t>
      </w:r>
      <w:proofErr w:type="gramStart"/>
      <w:r>
        <w:rPr>
          <w:color w:val="000000" w:themeColor="text1"/>
          <w:sz w:val="32"/>
          <w:szCs w:val="32"/>
        </w:rPr>
        <w:t>,,</w:t>
      </w:r>
      <w:proofErr w:type="gramEnd"/>
      <w:r>
        <w:rPr>
          <w:color w:val="000000" w:themeColor="text1"/>
          <w:sz w:val="32"/>
          <w:szCs w:val="32"/>
        </w:rPr>
        <w:t>Wykres do przemyślenia”</w:t>
      </w:r>
      <w:r>
        <w:rPr>
          <w:b/>
          <w:color w:val="FF0000"/>
          <w:sz w:val="32"/>
          <w:szCs w:val="32"/>
        </w:rPr>
        <w:t xml:space="preserve"> w okresie 6 miesięcy</w:t>
      </w:r>
      <w:r>
        <w:rPr>
          <w:sz w:val="32"/>
          <w:szCs w:val="32"/>
        </w:rPr>
        <w:t xml:space="preserve"> po jej wprowadzeniu do tej rubryki wynosiła </w:t>
      </w:r>
      <w:r>
        <w:rPr>
          <w:b/>
          <w:color w:val="FF0000"/>
          <w:sz w:val="32"/>
          <w:szCs w:val="32"/>
        </w:rPr>
        <w:t>plus 21,2 %</w:t>
      </w:r>
      <w:r>
        <w:rPr>
          <w:sz w:val="32"/>
          <w:szCs w:val="32"/>
        </w:rPr>
        <w:t xml:space="preserve"> a średnia procentowa zmiana indeksu WIG20 wynosiła w tym okresie minus 2,5 % (</w:t>
      </w:r>
      <w:r>
        <w:rPr>
          <w:sz w:val="32"/>
          <w:szCs w:val="32"/>
          <w:u w:val="single"/>
        </w:rPr>
        <w:t xml:space="preserve">obliczenia według stanu na </w:t>
      </w:r>
      <w:r w:rsidR="00F0008C">
        <w:rPr>
          <w:sz w:val="32"/>
          <w:szCs w:val="32"/>
          <w:u w:val="single"/>
        </w:rPr>
        <w:t>26</w:t>
      </w:r>
      <w:r>
        <w:rPr>
          <w:sz w:val="32"/>
          <w:szCs w:val="32"/>
          <w:u w:val="single"/>
        </w:rPr>
        <w:t xml:space="preserve"> czerwca 2015 roku</w:t>
      </w:r>
      <w:r>
        <w:rPr>
          <w:sz w:val="32"/>
          <w:szCs w:val="32"/>
        </w:rPr>
        <w:t xml:space="preserve">). Dane o procentowej zmianie kursu dla okresu 6-miesięcznego można było obliczyć dla akcji 20 spółek. </w:t>
      </w:r>
    </w:p>
    <w:p w:rsidR="00B9122B" w:rsidRDefault="00B9122B" w:rsidP="00B9122B">
      <w:pPr>
        <w:pStyle w:val="Bezodstpw"/>
        <w:jc w:val="both"/>
        <w:rPr>
          <w:sz w:val="28"/>
          <w:szCs w:val="28"/>
        </w:rPr>
      </w:pPr>
    </w:p>
    <w:p w:rsidR="00B9122B" w:rsidRDefault="00B9122B" w:rsidP="00B9122B">
      <w:pPr>
        <w:pStyle w:val="Bezodstpw"/>
        <w:jc w:val="both"/>
      </w:pPr>
      <w:r>
        <w:rPr>
          <w:noProof/>
          <w:bdr w:val="single" w:sz="24" w:space="0" w:color="00B050" w:frame="1"/>
        </w:rPr>
        <w:drawing>
          <wp:inline distT="0" distB="0" distL="0" distR="0">
            <wp:extent cx="4171950" cy="2105025"/>
            <wp:effectExtent l="0" t="0" r="19050"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122B" w:rsidRDefault="00B9122B" w:rsidP="00B9122B">
      <w:pPr>
        <w:pStyle w:val="Bezodstpw"/>
        <w:jc w:val="both"/>
      </w:pPr>
    </w:p>
    <w:p w:rsidR="00B9122B" w:rsidRDefault="00B9122B" w:rsidP="00B9122B">
      <w:pPr>
        <w:pStyle w:val="Bezodstpw"/>
        <w:jc w:val="both"/>
        <w:rPr>
          <w:sz w:val="24"/>
          <w:szCs w:val="24"/>
        </w:rPr>
      </w:pPr>
      <w:r>
        <w:rPr>
          <w:sz w:val="24"/>
          <w:szCs w:val="24"/>
        </w:rPr>
        <w:t xml:space="preserve">Z powyższego porównania wynika, że </w:t>
      </w:r>
      <w:r>
        <w:rPr>
          <w:b/>
          <w:sz w:val="24"/>
          <w:szCs w:val="24"/>
        </w:rPr>
        <w:t>wybicie kursu akcji spółki z formacji podwójnego dna</w:t>
      </w:r>
      <w:r>
        <w:rPr>
          <w:sz w:val="24"/>
          <w:szCs w:val="24"/>
        </w:rPr>
        <w:t xml:space="preserve"> będące </w:t>
      </w:r>
      <w:r>
        <w:rPr>
          <w:b/>
          <w:color w:val="000000" w:themeColor="text1"/>
          <w:sz w:val="24"/>
          <w:szCs w:val="24"/>
        </w:rPr>
        <w:t>niezbędnym kryterium kwalifikującym</w:t>
      </w:r>
      <w:r>
        <w:rPr>
          <w:sz w:val="24"/>
          <w:szCs w:val="24"/>
        </w:rPr>
        <w:t xml:space="preserve"> do wprowadzenie spółki do rubryki </w:t>
      </w:r>
      <w:proofErr w:type="gramStart"/>
      <w:r>
        <w:rPr>
          <w:sz w:val="24"/>
          <w:szCs w:val="24"/>
        </w:rPr>
        <w:t>,,</w:t>
      </w:r>
      <w:proofErr w:type="gramEnd"/>
      <w:r>
        <w:rPr>
          <w:sz w:val="24"/>
          <w:szCs w:val="24"/>
        </w:rPr>
        <w:t>Wykres do przemyślenia” sprzyja relatywnie mocnemu zachowaniu kursu akcji tej spółki w okresie pierwszych 6 miesięcy po wprowadzeniu spółki do tej rubryki.</w:t>
      </w:r>
    </w:p>
    <w:p w:rsidR="00B9122B" w:rsidRDefault="00B9122B" w:rsidP="00B9122B">
      <w:pPr>
        <w:pStyle w:val="Bezodstpw"/>
        <w:jc w:val="both"/>
        <w:rPr>
          <w:b/>
        </w:rPr>
      </w:pPr>
      <w:r>
        <w:rPr>
          <w:b/>
        </w:rPr>
        <w:lastRenderedPageBreak/>
        <w:t>Wnioski końcowe</w:t>
      </w:r>
    </w:p>
    <w:p w:rsidR="00B9122B" w:rsidRDefault="00B9122B" w:rsidP="00B9122B">
      <w:pPr>
        <w:pStyle w:val="Bezodstpw"/>
        <w:jc w:val="both"/>
      </w:pPr>
    </w:p>
    <w:p w:rsidR="00B9122B" w:rsidRDefault="00B9122B" w:rsidP="00B9122B">
      <w:pPr>
        <w:pStyle w:val="Bezodstpw"/>
        <w:numPr>
          <w:ilvl w:val="0"/>
          <w:numId w:val="1"/>
        </w:numPr>
        <w:jc w:val="both"/>
        <w:rPr>
          <w:color w:val="000000" w:themeColor="text1"/>
        </w:rPr>
      </w:pPr>
      <w:r>
        <w:rPr>
          <w:b/>
          <w:color w:val="000000" w:themeColor="text1"/>
        </w:rPr>
        <w:t>Kurs dolara amerykańskiego (w złotych)</w:t>
      </w:r>
      <w:r>
        <w:rPr>
          <w:color w:val="000000" w:themeColor="text1"/>
        </w:rPr>
        <w:t xml:space="preserve"> spadł poniżej bardzo ważnego oporu na poziomie 3,9130 zł. </w:t>
      </w:r>
      <w:proofErr w:type="gramStart"/>
      <w:r>
        <w:rPr>
          <w:color w:val="000000" w:themeColor="text1"/>
        </w:rPr>
        <w:t>z</w:t>
      </w:r>
      <w:proofErr w:type="gramEnd"/>
      <w:r>
        <w:rPr>
          <w:color w:val="000000" w:themeColor="text1"/>
        </w:rPr>
        <w:t xml:space="preserve"> lutego 2009 roku. W tej sytuacji można oczekiwać rozpoczęcia się fali spadków w kierunku linii trendu wzrostowego poprowadzonej przez dołki z lipca 2008 roku oraz czerwca 2014 roku, która aktualnie przebiega na poziomie </w:t>
      </w:r>
      <w:r>
        <w:rPr>
          <w:b/>
          <w:color w:val="FF0000"/>
        </w:rPr>
        <w:t>3,10</w:t>
      </w:r>
      <w:r>
        <w:rPr>
          <w:color w:val="000000" w:themeColor="text1"/>
        </w:rPr>
        <w:t xml:space="preserve">. Osłabienie kursu dolara amerykańskiego (w złotych) może być związane z napływem kapitału zagranicznego na polski rynek akcji, czemu towarzyszyć może także osłabienie kursów innych walut zagranicznych (w tym jena japońskiego złotych). Mark </w:t>
      </w:r>
      <w:proofErr w:type="spellStart"/>
      <w:r>
        <w:rPr>
          <w:color w:val="000000" w:themeColor="text1"/>
        </w:rPr>
        <w:t>Mobius</w:t>
      </w:r>
      <w:proofErr w:type="spellEnd"/>
      <w:r>
        <w:rPr>
          <w:color w:val="000000" w:themeColor="text1"/>
        </w:rPr>
        <w:t xml:space="preserve">, szef </w:t>
      </w:r>
      <w:proofErr w:type="spellStart"/>
      <w:r>
        <w:rPr>
          <w:color w:val="000000" w:themeColor="text1"/>
        </w:rPr>
        <w:t>Templeton</w:t>
      </w:r>
      <w:proofErr w:type="spellEnd"/>
      <w:r>
        <w:rPr>
          <w:color w:val="000000" w:themeColor="text1"/>
        </w:rPr>
        <w:t xml:space="preserve"> </w:t>
      </w:r>
      <w:proofErr w:type="spellStart"/>
      <w:r>
        <w:rPr>
          <w:color w:val="000000" w:themeColor="text1"/>
        </w:rPr>
        <w:t>Emerging</w:t>
      </w:r>
      <w:proofErr w:type="spellEnd"/>
      <w:r>
        <w:rPr>
          <w:color w:val="000000" w:themeColor="text1"/>
        </w:rPr>
        <w:t xml:space="preserve"> </w:t>
      </w:r>
      <w:proofErr w:type="spellStart"/>
      <w:r>
        <w:rPr>
          <w:color w:val="000000" w:themeColor="text1"/>
        </w:rPr>
        <w:t>Markets</w:t>
      </w:r>
      <w:proofErr w:type="spellEnd"/>
      <w:r>
        <w:rPr>
          <w:color w:val="000000" w:themeColor="text1"/>
        </w:rPr>
        <w:t xml:space="preserve"> </w:t>
      </w:r>
      <w:proofErr w:type="spellStart"/>
      <w:r>
        <w:rPr>
          <w:color w:val="000000" w:themeColor="text1"/>
        </w:rPr>
        <w:t>Group</w:t>
      </w:r>
      <w:proofErr w:type="spellEnd"/>
      <w:r>
        <w:rPr>
          <w:color w:val="000000" w:themeColor="text1"/>
        </w:rPr>
        <w:t xml:space="preserve"> powiedział niedawno: </w:t>
      </w:r>
      <w:proofErr w:type="gramStart"/>
      <w:r>
        <w:rPr>
          <w:color w:val="000000" w:themeColor="text1"/>
        </w:rPr>
        <w:t>,,</w:t>
      </w:r>
      <w:proofErr w:type="gramEnd"/>
      <w:r>
        <w:rPr>
          <w:b/>
          <w:color w:val="000000" w:themeColor="text1"/>
        </w:rPr>
        <w:t>nadszedł czas, aby inwestorzy zaczęli przenosić się z drogiego amerykańskiego rynku akcji na rynki akcji gospodarek wschodzących</w:t>
      </w:r>
      <w:r>
        <w:rPr>
          <w:color w:val="000000" w:themeColor="text1"/>
        </w:rPr>
        <w:t>”</w:t>
      </w:r>
    </w:p>
    <w:p w:rsidR="00B9122B" w:rsidRDefault="00B9122B" w:rsidP="00B9122B">
      <w:pPr>
        <w:pStyle w:val="Bezodstpw"/>
        <w:jc w:val="both"/>
        <w:rPr>
          <w:color w:val="000000" w:themeColor="text1"/>
        </w:rPr>
      </w:pPr>
    </w:p>
    <w:p w:rsidR="00B9122B" w:rsidRDefault="00B9122B" w:rsidP="00B9122B">
      <w:pPr>
        <w:pStyle w:val="Bezodstpw"/>
        <w:numPr>
          <w:ilvl w:val="0"/>
          <w:numId w:val="1"/>
        </w:numPr>
        <w:jc w:val="both"/>
        <w:rPr>
          <w:color w:val="000000" w:themeColor="text1"/>
        </w:rPr>
      </w:pPr>
      <w:r>
        <w:rPr>
          <w:color w:val="000000" w:themeColor="text1"/>
        </w:rPr>
        <w:t xml:space="preserve">W przypadku </w:t>
      </w:r>
      <w:r>
        <w:rPr>
          <w:b/>
          <w:color w:val="000000" w:themeColor="text1"/>
        </w:rPr>
        <w:t>kursu euro (w złotych)</w:t>
      </w:r>
      <w:r>
        <w:rPr>
          <w:color w:val="000000" w:themeColor="text1"/>
        </w:rPr>
        <w:t xml:space="preserve"> bardzo ważnym poziomem oporu jest poziom 4,3668 (szczyt z czerwca 2013 roku). Po dojściu do tego oporu rozpoczęła się fala spadków w kierunku ważnego wsparcia, którym był dołek z 6 czerwca 2014 roku przebiegający na poziomie  4,092. Najbliższym ważnym wsparciem jest poziom </w:t>
      </w:r>
      <w:r>
        <w:rPr>
          <w:b/>
          <w:color w:val="FF0000"/>
        </w:rPr>
        <w:t>3,8932 zł</w:t>
      </w:r>
      <w:r>
        <w:rPr>
          <w:color w:val="000000" w:themeColor="text1"/>
        </w:rPr>
        <w:t xml:space="preserve"> (dołek z maja 2011 roku).</w:t>
      </w:r>
    </w:p>
    <w:p w:rsidR="00B9122B" w:rsidRDefault="00B9122B" w:rsidP="00B9122B">
      <w:pPr>
        <w:pStyle w:val="Bezodstpw"/>
        <w:ind w:left="720"/>
        <w:jc w:val="both"/>
        <w:rPr>
          <w:color w:val="000000" w:themeColor="text1"/>
        </w:rPr>
      </w:pPr>
    </w:p>
    <w:p w:rsidR="00B9122B" w:rsidRDefault="00B9122B" w:rsidP="00B9122B">
      <w:pPr>
        <w:pStyle w:val="Bezodstpw"/>
        <w:numPr>
          <w:ilvl w:val="0"/>
          <w:numId w:val="1"/>
        </w:numPr>
        <w:jc w:val="both"/>
        <w:rPr>
          <w:color w:val="000000" w:themeColor="text1"/>
        </w:rPr>
      </w:pPr>
      <w:r>
        <w:rPr>
          <w:color w:val="000000" w:themeColor="text1"/>
        </w:rPr>
        <w:t xml:space="preserve">Z fundamentalnego punktu widzenia przewidywane w 2015 roku wzrosty indeksów giełdowych opisujących sytuację na polskim rynku akcji mogą być przejawem </w:t>
      </w:r>
      <w:r>
        <w:rPr>
          <w:b/>
          <w:color w:val="000000" w:themeColor="text1"/>
        </w:rPr>
        <w:t>dyskontowania przez uczestników polskiego rynku akcji ożywienia gospodarczego w Polsce, które</w:t>
      </w:r>
      <w:r>
        <w:rPr>
          <w:color w:val="000000" w:themeColor="text1"/>
        </w:rPr>
        <w:t xml:space="preserve"> (zgodnie z np. prognozami analityków NBP, Instytutu Badań nad Gospodarką Rynkową, czy też np. banku inwestycyjnego Morgan Stanley) </w:t>
      </w:r>
      <w:r>
        <w:rPr>
          <w:b/>
          <w:color w:val="000000" w:themeColor="text1"/>
        </w:rPr>
        <w:t xml:space="preserve">powinno nastąpić w 2016 </w:t>
      </w:r>
      <w:proofErr w:type="gramStart"/>
      <w:r>
        <w:rPr>
          <w:b/>
          <w:color w:val="000000" w:themeColor="text1"/>
        </w:rPr>
        <w:t>roku</w:t>
      </w:r>
      <w:r>
        <w:rPr>
          <w:color w:val="000000" w:themeColor="text1"/>
        </w:rPr>
        <w:t xml:space="preserve"> (kiedy</w:t>
      </w:r>
      <w:proofErr w:type="gramEnd"/>
      <w:r>
        <w:rPr>
          <w:color w:val="000000" w:themeColor="text1"/>
        </w:rPr>
        <w:t xml:space="preserve"> to zdaniem, wyżej wymienionych analityków można oczekiwać, wedle wyżej wymienionych prognoz przyspieszenia realnego wzrostu PKB. </w:t>
      </w:r>
    </w:p>
    <w:p w:rsidR="00B9122B" w:rsidRDefault="00B9122B" w:rsidP="00B9122B">
      <w:pPr>
        <w:pStyle w:val="Bezodstpw"/>
        <w:jc w:val="both"/>
        <w:rPr>
          <w:color w:val="000000" w:themeColor="text1"/>
        </w:rPr>
      </w:pPr>
    </w:p>
    <w:p w:rsidR="00B9122B" w:rsidRPr="007C067F" w:rsidRDefault="007C067F" w:rsidP="00B9122B">
      <w:pPr>
        <w:pStyle w:val="Bezodstpw"/>
        <w:numPr>
          <w:ilvl w:val="0"/>
          <w:numId w:val="1"/>
        </w:numPr>
        <w:jc w:val="both"/>
      </w:pPr>
      <w:r>
        <w:rPr>
          <w:color w:val="000000" w:themeColor="text1"/>
        </w:rPr>
        <w:t xml:space="preserve">Lekko wzrostowa </w:t>
      </w:r>
      <w:r w:rsidR="00B9122B">
        <w:rPr>
          <w:color w:val="000000" w:themeColor="text1"/>
        </w:rPr>
        <w:t>li</w:t>
      </w:r>
      <w:r>
        <w:rPr>
          <w:color w:val="000000" w:themeColor="text1"/>
        </w:rPr>
        <w:t>nii trendu poprowadzona</w:t>
      </w:r>
      <w:r w:rsidR="00B9122B">
        <w:rPr>
          <w:color w:val="000000" w:themeColor="text1"/>
        </w:rPr>
        <w:t xml:space="preserve"> przez dołki z czerwca 2012 roku oraz stycznia 2015 roku</w:t>
      </w:r>
      <w:r>
        <w:rPr>
          <w:color w:val="000000" w:themeColor="text1"/>
        </w:rPr>
        <w:t xml:space="preserve"> </w:t>
      </w:r>
      <w:r w:rsidR="00B9122B">
        <w:rPr>
          <w:color w:val="000000" w:themeColor="text1"/>
        </w:rPr>
        <w:t xml:space="preserve">przebiega na poziomie </w:t>
      </w:r>
      <w:r w:rsidR="00B9122B">
        <w:rPr>
          <w:b/>
          <w:color w:val="FF0000"/>
        </w:rPr>
        <w:t>2 280 punktów</w:t>
      </w:r>
      <w:r w:rsidR="00B9122B">
        <w:rPr>
          <w:b/>
        </w:rPr>
        <w:t>.</w:t>
      </w:r>
      <w:r w:rsidR="00B9122B">
        <w:t xml:space="preserve"> Trwające spadki indeksu WIG 20 można (moim zdaniem) </w:t>
      </w:r>
      <w:proofErr w:type="gramStart"/>
      <w:r w:rsidR="00B9122B">
        <w:t>traktować jako</w:t>
      </w:r>
      <w:proofErr w:type="gramEnd"/>
      <w:r w:rsidR="00B9122B">
        <w:t xml:space="preserve"> korektę spadkową, po zakończeniu której powinny powrócić wzrosty. Przekonuje mnie do tego 2 argumenty. Po pierwsze: znajdujemy </w:t>
      </w:r>
      <w:r w:rsidR="00B9122B">
        <w:rPr>
          <w:b/>
        </w:rPr>
        <w:t>się w bardzo korzystnym zazwyczaj roku przedwyborczym z punktu widzenia 4-letniego amerykańskiego cyklu prezydenckiego</w:t>
      </w:r>
      <w:r w:rsidR="00B9122B">
        <w:t xml:space="preserve">. Po drugie: </w:t>
      </w:r>
      <w:r w:rsidR="00B9122B">
        <w:rPr>
          <w:b/>
        </w:rPr>
        <w:t>stosunkowo wysoki odsetek pesymistów</w:t>
      </w:r>
      <w:r w:rsidR="00B9122B">
        <w:t xml:space="preserve"> uwidoczniony w badaniu Stowarzyszenia Inwestorów Indywidualnych wskazuje na zbliżanie się dogodnej okazji do kupna, zważywszy na regułę </w:t>
      </w:r>
      <w:proofErr w:type="gramStart"/>
      <w:r w:rsidR="00B9122B">
        <w:rPr>
          <w:b/>
        </w:rPr>
        <w:t>,,</w:t>
      </w:r>
      <w:proofErr w:type="gramEnd"/>
      <w:r w:rsidR="00B9122B">
        <w:rPr>
          <w:b/>
        </w:rPr>
        <w:t>kupuj</w:t>
      </w:r>
      <w:r>
        <w:rPr>
          <w:b/>
        </w:rPr>
        <w:t xml:space="preserve"> pesymizm, sprzedawaj optymizm”. </w:t>
      </w:r>
      <w:r w:rsidRPr="007C067F">
        <w:t xml:space="preserve">Spoglądając na zachowanie indeksów branżowych na przestrzeni ostatniego miesiąca można zauważyć, że stosunkowo mocno zachowały się indeksy branż: </w:t>
      </w:r>
      <w:r w:rsidRPr="007C067F">
        <w:rPr>
          <w:b/>
        </w:rPr>
        <w:t>budowalnej, medialnej oraz informatycznej,</w:t>
      </w:r>
      <w:r w:rsidRPr="007C067F">
        <w:t xml:space="preserve"> co stwarza przed posiadaczami akcji spółek z tych indeksów stosunkowo dobre perspektywy. </w:t>
      </w:r>
    </w:p>
    <w:p w:rsidR="00B9122B" w:rsidRDefault="00B9122B" w:rsidP="00B9122B">
      <w:pPr>
        <w:pStyle w:val="Bezodstpw"/>
        <w:ind w:left="720"/>
        <w:jc w:val="both"/>
      </w:pPr>
    </w:p>
    <w:p w:rsidR="00B9122B" w:rsidRDefault="00B9122B" w:rsidP="00B9122B">
      <w:pPr>
        <w:pStyle w:val="Bezodstpw"/>
        <w:jc w:val="both"/>
      </w:pPr>
      <w:r>
        <w:t>Opracował: Sławomir Kłusek, 2</w:t>
      </w:r>
      <w:r w:rsidR="007C067F">
        <w:t>9</w:t>
      </w:r>
      <w:r>
        <w:t xml:space="preserve"> czerwca 2015 r.</w:t>
      </w:r>
    </w:p>
    <w:p w:rsidR="00B9122B" w:rsidRDefault="00B9122B" w:rsidP="00B9122B">
      <w:pPr>
        <w:pStyle w:val="Bezodstpw"/>
        <w:ind w:left="720"/>
        <w:jc w:val="both"/>
      </w:pPr>
    </w:p>
    <w:p w:rsidR="00B9122B" w:rsidRDefault="00B9122B" w:rsidP="00B9122B">
      <w:pPr>
        <w:pStyle w:val="Bezodstpw"/>
        <w:jc w:val="both"/>
      </w:pPr>
      <w:r>
        <w:t xml:space="preserve">Powyższy raport stanowi wyłącznie wyraz osobistych opinii autora. </w:t>
      </w:r>
    </w:p>
    <w:p w:rsidR="00B9122B" w:rsidRDefault="00B9122B" w:rsidP="00B9122B">
      <w:pPr>
        <w:pStyle w:val="Bezodstpw"/>
        <w:jc w:val="both"/>
      </w:pPr>
    </w:p>
    <w:p w:rsidR="00B9122B" w:rsidRDefault="00B9122B" w:rsidP="00B9122B">
      <w:pPr>
        <w:pStyle w:val="Bezodstpw"/>
        <w:jc w:val="both"/>
      </w:pPr>
      <w:r>
        <w:t xml:space="preserve">Treści zawarte na stronie internetowej </w:t>
      </w:r>
      <w:hyperlink r:id="rId28" w:history="1">
        <w:r>
          <w:rPr>
            <w:rStyle w:val="Hipercze"/>
          </w:rPr>
          <w:t>www.analizy-rynkowe.pl</w:t>
        </w:r>
      </w:hyperlink>
      <w:r>
        <w:t xml:space="preserve"> nie stanowią "rekomendacji" w rozumieniu przepisów Rozporządzenia Ministra Finansów z dnia 19 października 2005 r. w sprawie informacji stanowiących rekomendacje dotyczące instrumentów finansowych, lub ich emitentów (</w:t>
      </w:r>
      <w:proofErr w:type="spellStart"/>
      <w:r>
        <w:t>Dz.U</w:t>
      </w:r>
      <w:proofErr w:type="spellEnd"/>
      <w:r>
        <w:t xml:space="preserve">. </w:t>
      </w:r>
      <w:proofErr w:type="gramStart"/>
      <w:r>
        <w:t>z</w:t>
      </w:r>
      <w:proofErr w:type="gramEnd"/>
      <w:r>
        <w:t xml:space="preserve"> 2005 r. Nr 206, poz. 1715).</w:t>
      </w:r>
    </w:p>
    <w:p w:rsidR="00B9122B" w:rsidRDefault="00B9122B" w:rsidP="00B9122B">
      <w:pPr>
        <w:pStyle w:val="Bezodstpw"/>
        <w:jc w:val="both"/>
      </w:pPr>
    </w:p>
    <w:p w:rsidR="00B9122B" w:rsidRDefault="00B9122B" w:rsidP="00B9122B">
      <w:pPr>
        <w:pStyle w:val="Bezodstpw"/>
        <w:jc w:val="both"/>
      </w:pPr>
      <w:r>
        <w:t xml:space="preserve">Autor nie ponosi odpowiedzialności za jakiekolwiek decyzje inwestycyjne podjęte na podstawie treści zawartych na stronie internetowej </w:t>
      </w:r>
      <w:hyperlink r:id="rId29" w:history="1">
        <w:r>
          <w:rPr>
            <w:rStyle w:val="Hipercze"/>
          </w:rPr>
          <w:t>www.analizy-rynkowe.pl</w:t>
        </w:r>
      </w:hyperlink>
    </w:p>
    <w:sectPr w:rsidR="00B9122B">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11" w:rsidRDefault="00996711" w:rsidP="00723AC4">
      <w:pPr>
        <w:spacing w:after="0" w:line="240" w:lineRule="auto"/>
      </w:pPr>
      <w:r>
        <w:separator/>
      </w:r>
    </w:p>
  </w:endnote>
  <w:endnote w:type="continuationSeparator" w:id="0">
    <w:p w:rsidR="00996711" w:rsidRDefault="00996711" w:rsidP="0072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55083376"/>
      <w:docPartObj>
        <w:docPartGallery w:val="Page Numbers (Bottom of Page)"/>
        <w:docPartUnique/>
      </w:docPartObj>
    </w:sdtPr>
    <w:sdtContent>
      <w:p w:rsidR="00723AC4" w:rsidRDefault="00723AC4">
        <w:pPr>
          <w:pStyle w:val="Stopka"/>
          <w:jc w:val="right"/>
          <w:rPr>
            <w:rFonts w:asciiTheme="majorHAnsi" w:eastAsiaTheme="majorEastAsia" w:hAnsiTheme="majorHAnsi" w:cstheme="majorBidi"/>
            <w:sz w:val="28"/>
            <w:szCs w:val="28"/>
          </w:rPr>
        </w:pPr>
        <w:proofErr w:type="gramStart"/>
        <w:r>
          <w:rPr>
            <w:rFonts w:asciiTheme="majorHAnsi" w:eastAsiaTheme="majorEastAsia" w:hAnsiTheme="majorHAnsi" w:cstheme="majorBidi"/>
            <w:sz w:val="28"/>
            <w:szCs w:val="28"/>
          </w:rPr>
          <w:t>str</w:t>
        </w:r>
        <w:proofErr w:type="gramEnd"/>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Pr="00723AC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723AC4" w:rsidRDefault="00723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11" w:rsidRDefault="00996711" w:rsidP="00723AC4">
      <w:pPr>
        <w:spacing w:after="0" w:line="240" w:lineRule="auto"/>
      </w:pPr>
      <w:r>
        <w:separator/>
      </w:r>
    </w:p>
  </w:footnote>
  <w:footnote w:type="continuationSeparator" w:id="0">
    <w:p w:rsidR="00996711" w:rsidRDefault="00996711" w:rsidP="00723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B"/>
    <w:rsid w:val="001B3E37"/>
    <w:rsid w:val="00313D8B"/>
    <w:rsid w:val="003964EB"/>
    <w:rsid w:val="004F2FB1"/>
    <w:rsid w:val="00544142"/>
    <w:rsid w:val="00690BED"/>
    <w:rsid w:val="00712ED0"/>
    <w:rsid w:val="00723AC4"/>
    <w:rsid w:val="0073192E"/>
    <w:rsid w:val="007C067F"/>
    <w:rsid w:val="00876E0A"/>
    <w:rsid w:val="00900221"/>
    <w:rsid w:val="00987A07"/>
    <w:rsid w:val="00996711"/>
    <w:rsid w:val="009B4BCA"/>
    <w:rsid w:val="00A70C52"/>
    <w:rsid w:val="00B0566C"/>
    <w:rsid w:val="00B57096"/>
    <w:rsid w:val="00B9122B"/>
    <w:rsid w:val="00D04FC9"/>
    <w:rsid w:val="00D51105"/>
    <w:rsid w:val="00DE31A2"/>
    <w:rsid w:val="00EF7398"/>
    <w:rsid w:val="00F0008C"/>
    <w:rsid w:val="00F353CA"/>
    <w:rsid w:val="00F5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22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22B"/>
    <w:rPr>
      <w:color w:val="0000FF" w:themeColor="hyperlink"/>
      <w:u w:val="single"/>
    </w:rPr>
  </w:style>
  <w:style w:type="paragraph" w:styleId="Bezodstpw">
    <w:name w:val="No Spacing"/>
    <w:uiPriority w:val="1"/>
    <w:qFormat/>
    <w:rsid w:val="00B9122B"/>
    <w:pPr>
      <w:spacing w:after="0" w:line="240" w:lineRule="auto"/>
    </w:pPr>
    <w:rPr>
      <w:rFonts w:eastAsiaTheme="minorEastAsia"/>
      <w:lang w:eastAsia="pl-PL"/>
    </w:rPr>
  </w:style>
  <w:style w:type="table" w:styleId="Tabela-Siatka">
    <w:name w:val="Table Grid"/>
    <w:basedOn w:val="Standardowy"/>
    <w:uiPriority w:val="59"/>
    <w:rsid w:val="00B9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91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22B"/>
    <w:rPr>
      <w:rFonts w:ascii="Tahoma" w:eastAsiaTheme="minorEastAsia" w:hAnsi="Tahoma" w:cs="Tahoma"/>
      <w:sz w:val="16"/>
      <w:szCs w:val="16"/>
      <w:lang w:eastAsia="pl-PL"/>
    </w:rPr>
  </w:style>
  <w:style w:type="paragraph" w:styleId="Nagwek">
    <w:name w:val="header"/>
    <w:basedOn w:val="Normalny"/>
    <w:link w:val="NagwekZnak"/>
    <w:uiPriority w:val="99"/>
    <w:unhideWhenUsed/>
    <w:rsid w:val="00723A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C4"/>
    <w:rPr>
      <w:rFonts w:eastAsiaTheme="minorEastAsia"/>
      <w:lang w:eastAsia="pl-PL"/>
    </w:rPr>
  </w:style>
  <w:style w:type="paragraph" w:styleId="Stopka">
    <w:name w:val="footer"/>
    <w:basedOn w:val="Normalny"/>
    <w:link w:val="StopkaZnak"/>
    <w:uiPriority w:val="99"/>
    <w:unhideWhenUsed/>
    <w:rsid w:val="00723A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AC4"/>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22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22B"/>
    <w:rPr>
      <w:color w:val="0000FF" w:themeColor="hyperlink"/>
      <w:u w:val="single"/>
    </w:rPr>
  </w:style>
  <w:style w:type="paragraph" w:styleId="Bezodstpw">
    <w:name w:val="No Spacing"/>
    <w:uiPriority w:val="1"/>
    <w:qFormat/>
    <w:rsid w:val="00B9122B"/>
    <w:pPr>
      <w:spacing w:after="0" w:line="240" w:lineRule="auto"/>
    </w:pPr>
    <w:rPr>
      <w:rFonts w:eastAsiaTheme="minorEastAsia"/>
      <w:lang w:eastAsia="pl-PL"/>
    </w:rPr>
  </w:style>
  <w:style w:type="table" w:styleId="Tabela-Siatka">
    <w:name w:val="Table Grid"/>
    <w:basedOn w:val="Standardowy"/>
    <w:uiPriority w:val="59"/>
    <w:rsid w:val="00B9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91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22B"/>
    <w:rPr>
      <w:rFonts w:ascii="Tahoma" w:eastAsiaTheme="minorEastAsia" w:hAnsi="Tahoma" w:cs="Tahoma"/>
      <w:sz w:val="16"/>
      <w:szCs w:val="16"/>
      <w:lang w:eastAsia="pl-PL"/>
    </w:rPr>
  </w:style>
  <w:style w:type="paragraph" w:styleId="Nagwek">
    <w:name w:val="header"/>
    <w:basedOn w:val="Normalny"/>
    <w:link w:val="NagwekZnak"/>
    <w:uiPriority w:val="99"/>
    <w:unhideWhenUsed/>
    <w:rsid w:val="00723A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C4"/>
    <w:rPr>
      <w:rFonts w:eastAsiaTheme="minorEastAsia"/>
      <w:lang w:eastAsia="pl-PL"/>
    </w:rPr>
  </w:style>
  <w:style w:type="paragraph" w:styleId="Stopka">
    <w:name w:val="footer"/>
    <w:basedOn w:val="Normalny"/>
    <w:link w:val="StopkaZnak"/>
    <w:uiPriority w:val="99"/>
    <w:unhideWhenUsed/>
    <w:rsid w:val="00723A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AC4"/>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oq.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7" Type="http://schemas.openxmlformats.org/officeDocument/2006/relationships/endnotes" Target="endnotes.xml"/><Relationship Id="rId12" Type="http://schemas.openxmlformats.org/officeDocument/2006/relationships/hyperlink" Target="http://www.sii.org.pl/3438/edukacja-i-analizy/indeks-nastrojow-inwestorow.html"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nalizy-rynkow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alizy-rynkowe.pl/co-laczy-budowlanke-media-oraz-informatyke-optymistyczny-pek-srednich/"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10" Type="http://schemas.openxmlformats.org/officeDocument/2006/relationships/image" Target="media/image3.png"/><Relationship Id="rId19" Type="http://schemas.openxmlformats.org/officeDocument/2006/relationships/hyperlink" Target="http://www.analizy-rynkow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nalizy-rynkowe.pl/" TargetMode="External"/><Relationship Id="rId22" Type="http://schemas.openxmlformats.org/officeDocument/2006/relationships/hyperlink" Target="http://www.analizy-rynkowe.pl" TargetMode="External"/><Relationship Id="rId27" Type="http://schemas.openxmlformats.org/officeDocument/2006/relationships/chart" Target="charts/chart1.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pl-PL"/>
              <a:t>Porównanie</a:t>
            </a:r>
            <a:endParaRPr lang="en-US"/>
          </a:p>
        </c:rich>
      </c:tx>
      <c:overlay val="0"/>
    </c:title>
    <c:autoTitleDeleted val="0"/>
    <c:plotArea>
      <c:layout/>
      <c:barChart>
        <c:barDir val="col"/>
        <c:grouping val="clustered"/>
        <c:varyColors val="0"/>
        <c:ser>
          <c:idx val="0"/>
          <c:order val="0"/>
          <c:tx>
            <c:strRef>
              <c:f>Arkusz1!$A$1</c:f>
              <c:strCache>
                <c:ptCount val="1"/>
                <c:pt idx="0">
                  <c:v>Wykres do przemyślenia</c:v>
                </c:pt>
              </c:strCache>
            </c:strRef>
          </c:tx>
          <c:invertIfNegative val="0"/>
          <c:val>
            <c:numRef>
              <c:f>Arkusz1!$B$1</c:f>
              <c:numCache>
                <c:formatCode>0.0</c:formatCode>
                <c:ptCount val="1"/>
                <c:pt idx="0">
                  <c:v>21.2</c:v>
                </c:pt>
              </c:numCache>
            </c:numRef>
          </c:val>
        </c:ser>
        <c:ser>
          <c:idx val="1"/>
          <c:order val="1"/>
          <c:tx>
            <c:strRef>
              <c:f>Arkusz1!$A$2</c:f>
              <c:strCache>
                <c:ptCount val="1"/>
                <c:pt idx="0">
                  <c:v>WIG20</c:v>
                </c:pt>
              </c:strCache>
            </c:strRef>
          </c:tx>
          <c:invertIfNegative val="0"/>
          <c:val>
            <c:numRef>
              <c:f>Arkusz1!$B$2</c:f>
              <c:numCache>
                <c:formatCode>0.0</c:formatCode>
                <c:ptCount val="1"/>
                <c:pt idx="0">
                  <c:v>-2.5</c:v>
                </c:pt>
              </c:numCache>
            </c:numRef>
          </c:val>
        </c:ser>
        <c:dLbls>
          <c:showLegendKey val="0"/>
          <c:showVal val="1"/>
          <c:showCatName val="0"/>
          <c:showSerName val="0"/>
          <c:showPercent val="0"/>
          <c:showBubbleSize val="0"/>
        </c:dLbls>
        <c:gapWidth val="150"/>
        <c:overlap val="-25"/>
        <c:axId val="159847168"/>
        <c:axId val="159848704"/>
      </c:barChart>
      <c:catAx>
        <c:axId val="159847168"/>
        <c:scaling>
          <c:orientation val="minMax"/>
        </c:scaling>
        <c:delete val="1"/>
        <c:axPos val="b"/>
        <c:numFmt formatCode="General" sourceLinked="1"/>
        <c:majorTickMark val="none"/>
        <c:minorTickMark val="none"/>
        <c:tickLblPos val="none"/>
        <c:crossAx val="159848704"/>
        <c:crosses val="autoZero"/>
        <c:auto val="1"/>
        <c:lblAlgn val="ctr"/>
        <c:lblOffset val="100"/>
        <c:noMultiLvlLbl val="0"/>
      </c:catAx>
      <c:valAx>
        <c:axId val="159848704"/>
        <c:scaling>
          <c:orientation val="minMax"/>
        </c:scaling>
        <c:delete val="1"/>
        <c:axPos val="l"/>
        <c:numFmt formatCode="0.0" sourceLinked="1"/>
        <c:majorTickMark val="none"/>
        <c:minorTickMark val="none"/>
        <c:tickLblPos val="none"/>
        <c:crossAx val="15984716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2883</Words>
  <Characters>17298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23</cp:revision>
  <dcterms:created xsi:type="dcterms:W3CDTF">2015-06-28T14:08:00Z</dcterms:created>
  <dcterms:modified xsi:type="dcterms:W3CDTF">2015-06-29T05:54:00Z</dcterms:modified>
</cp:coreProperties>
</file>