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43" w:rsidRPr="00C16D3A" w:rsidRDefault="00962B43" w:rsidP="00962B43">
      <w:pPr>
        <w:pStyle w:val="Bezodstpw"/>
        <w:jc w:val="center"/>
        <w:rPr>
          <w:shadow/>
          <w:color w:val="FF0000"/>
          <w:sz w:val="180"/>
          <w:szCs w:val="180"/>
        </w:rPr>
      </w:pPr>
      <w:r w:rsidRPr="00C16D3A">
        <w:rPr>
          <w:shadow/>
          <w:color w:val="FF0000"/>
          <w:sz w:val="180"/>
          <w:szCs w:val="180"/>
        </w:rPr>
        <w:t>Raport</w:t>
      </w:r>
    </w:p>
    <w:p w:rsidR="00962B43" w:rsidRDefault="00962B43" w:rsidP="00962B43">
      <w:pPr>
        <w:pStyle w:val="Bezodstpw"/>
        <w:jc w:val="center"/>
        <w:rPr>
          <w:shadow/>
          <w:color w:val="FF0000"/>
          <w:sz w:val="180"/>
          <w:szCs w:val="180"/>
        </w:rPr>
      </w:pPr>
      <w:r w:rsidRPr="00C16D3A">
        <w:rPr>
          <w:shadow/>
          <w:color w:val="FF0000"/>
          <w:sz w:val="180"/>
          <w:szCs w:val="180"/>
        </w:rPr>
        <w:t>Tygodniowy</w:t>
      </w:r>
    </w:p>
    <w:p w:rsidR="00962B43" w:rsidRPr="00BB2EC3" w:rsidRDefault="00962B43" w:rsidP="00962B43">
      <w:pPr>
        <w:pStyle w:val="Bezodstpw"/>
        <w:jc w:val="center"/>
        <w:rPr>
          <w:shadow/>
          <w:color w:val="FF0000"/>
          <w:sz w:val="100"/>
          <w:szCs w:val="100"/>
        </w:rPr>
      </w:pPr>
      <w:r w:rsidRPr="00BB2EC3">
        <w:rPr>
          <w:shadow/>
          <w:color w:val="FF0000"/>
          <w:sz w:val="100"/>
          <w:szCs w:val="100"/>
        </w:rPr>
        <w:t>o sytuacji na</w:t>
      </w:r>
    </w:p>
    <w:p w:rsidR="00962B43" w:rsidRPr="00BB2EC3" w:rsidRDefault="00962B43" w:rsidP="00962B43">
      <w:pPr>
        <w:pStyle w:val="Bezodstpw"/>
        <w:jc w:val="center"/>
        <w:rPr>
          <w:shadow/>
          <w:color w:val="FF0000"/>
          <w:sz w:val="100"/>
          <w:szCs w:val="100"/>
        </w:rPr>
      </w:pPr>
      <w:r w:rsidRPr="00BB2EC3">
        <w:rPr>
          <w:shadow/>
          <w:color w:val="FF0000"/>
          <w:sz w:val="100"/>
          <w:szCs w:val="100"/>
        </w:rPr>
        <w:t>rynkach finansowych</w:t>
      </w:r>
    </w:p>
    <w:p w:rsidR="00962B43" w:rsidRPr="00400806" w:rsidRDefault="00962B43" w:rsidP="00962B43">
      <w:pPr>
        <w:pStyle w:val="Bezodstpw"/>
        <w:jc w:val="center"/>
        <w:rPr>
          <w:sz w:val="48"/>
          <w:szCs w:val="48"/>
        </w:rPr>
      </w:pPr>
    </w:p>
    <w:p w:rsidR="00962B43" w:rsidRDefault="00962B43" w:rsidP="00962B43">
      <w:pPr>
        <w:pStyle w:val="Bezodstpw"/>
        <w:jc w:val="center"/>
        <w:rPr>
          <w:sz w:val="48"/>
          <w:szCs w:val="48"/>
        </w:rPr>
      </w:pPr>
    </w:p>
    <w:p w:rsidR="00962B43" w:rsidRPr="009A4255" w:rsidRDefault="00962B43" w:rsidP="00962B43">
      <w:pPr>
        <w:pStyle w:val="Bezodstpw"/>
        <w:jc w:val="center"/>
        <w:rPr>
          <w:shadow/>
          <w:sz w:val="100"/>
          <w:szCs w:val="100"/>
          <w:u w:val="single"/>
        </w:rPr>
      </w:pPr>
      <w:r w:rsidRPr="009A4255">
        <w:rPr>
          <w:shadow/>
          <w:sz w:val="100"/>
          <w:szCs w:val="100"/>
          <w:u w:val="single"/>
        </w:rPr>
        <w:t>Rynek walutowy</w:t>
      </w:r>
    </w:p>
    <w:p w:rsidR="00962B43" w:rsidRPr="009A4255" w:rsidRDefault="00962B43" w:rsidP="00962B43">
      <w:pPr>
        <w:pStyle w:val="Bezodstpw"/>
        <w:jc w:val="center"/>
        <w:rPr>
          <w:shadow/>
          <w:sz w:val="100"/>
          <w:szCs w:val="100"/>
        </w:rPr>
      </w:pPr>
    </w:p>
    <w:p w:rsidR="00962B43" w:rsidRPr="009A4255" w:rsidRDefault="00962B43" w:rsidP="00962B43">
      <w:pPr>
        <w:pStyle w:val="Bezodstpw"/>
        <w:jc w:val="center"/>
        <w:rPr>
          <w:shadow/>
          <w:sz w:val="100"/>
          <w:szCs w:val="100"/>
          <w:u w:val="single"/>
        </w:rPr>
      </w:pPr>
      <w:r w:rsidRPr="009A4255">
        <w:rPr>
          <w:shadow/>
          <w:sz w:val="100"/>
          <w:szCs w:val="100"/>
          <w:u w:val="single"/>
        </w:rPr>
        <w:t>Rynek akcji</w:t>
      </w:r>
    </w:p>
    <w:p w:rsidR="00962B43" w:rsidRDefault="00962B43" w:rsidP="00962B43">
      <w:pPr>
        <w:pStyle w:val="Bezodstpw"/>
        <w:jc w:val="both"/>
      </w:pPr>
    </w:p>
    <w:p w:rsidR="00962B43" w:rsidRDefault="00962B43" w:rsidP="00962B43">
      <w:pPr>
        <w:pStyle w:val="Bezodstpw"/>
        <w:jc w:val="both"/>
      </w:pPr>
    </w:p>
    <w:p w:rsidR="00962B43" w:rsidRDefault="00962B43" w:rsidP="00962B43">
      <w:pPr>
        <w:pStyle w:val="Bezodstpw"/>
        <w:jc w:val="both"/>
      </w:pPr>
    </w:p>
    <w:p w:rsidR="00962B43" w:rsidRDefault="00962B43" w:rsidP="00962B43">
      <w:pPr>
        <w:pStyle w:val="Bezodstpw"/>
        <w:jc w:val="both"/>
      </w:pPr>
    </w:p>
    <w:p w:rsidR="00962B43" w:rsidRDefault="00962B43" w:rsidP="00962B43">
      <w:pPr>
        <w:pStyle w:val="Bezodstpw"/>
        <w:jc w:val="both"/>
      </w:pPr>
    </w:p>
    <w:p w:rsidR="00962B43" w:rsidRDefault="00962B43" w:rsidP="00962B43">
      <w:pPr>
        <w:pStyle w:val="Bezodstpw"/>
        <w:jc w:val="both"/>
      </w:pPr>
    </w:p>
    <w:p w:rsidR="00962B43" w:rsidRDefault="00962B43" w:rsidP="00962B43">
      <w:pPr>
        <w:pStyle w:val="Bezodstpw"/>
        <w:jc w:val="both"/>
      </w:pPr>
    </w:p>
    <w:p w:rsidR="00962B43" w:rsidRDefault="00962B43" w:rsidP="00962B43">
      <w:pPr>
        <w:pStyle w:val="Bezodstpw"/>
        <w:jc w:val="both"/>
      </w:pPr>
    </w:p>
    <w:p w:rsidR="00962B43" w:rsidRDefault="00962B43" w:rsidP="00962B43">
      <w:pPr>
        <w:pStyle w:val="Bezodstpw"/>
        <w:jc w:val="both"/>
        <w:rPr>
          <w:shadow/>
          <w:sz w:val="24"/>
          <w:szCs w:val="24"/>
        </w:rPr>
      </w:pPr>
      <w:r w:rsidRPr="00D72F94">
        <w:rPr>
          <w:shadow/>
          <w:sz w:val="24"/>
          <w:szCs w:val="24"/>
        </w:rPr>
        <w:lastRenderedPageBreak/>
        <w:t xml:space="preserve">Poniedziałek, </w:t>
      </w:r>
      <w:r>
        <w:rPr>
          <w:shadow/>
          <w:sz w:val="24"/>
          <w:szCs w:val="24"/>
        </w:rPr>
        <w:t xml:space="preserve">15 czerwca </w:t>
      </w:r>
      <w:r w:rsidRPr="00D72F94">
        <w:rPr>
          <w:shadow/>
          <w:sz w:val="24"/>
          <w:szCs w:val="24"/>
        </w:rPr>
        <w:t>201</w:t>
      </w:r>
      <w:r>
        <w:rPr>
          <w:shadow/>
          <w:sz w:val="24"/>
          <w:szCs w:val="24"/>
        </w:rPr>
        <w:t>5</w:t>
      </w:r>
      <w:r w:rsidRPr="00D72F94">
        <w:rPr>
          <w:shadow/>
          <w:sz w:val="24"/>
          <w:szCs w:val="24"/>
        </w:rPr>
        <w:t xml:space="preserve"> roku</w:t>
      </w:r>
    </w:p>
    <w:p w:rsidR="00962B43" w:rsidRPr="00D72F94" w:rsidRDefault="00962B43" w:rsidP="00962B43">
      <w:pPr>
        <w:pStyle w:val="Bezodstpw"/>
        <w:jc w:val="both"/>
        <w:rPr>
          <w:shadow/>
          <w:sz w:val="24"/>
          <w:szCs w:val="24"/>
        </w:rPr>
      </w:pPr>
    </w:p>
    <w:p w:rsidR="00962B43" w:rsidRDefault="00962B43" w:rsidP="00962B43">
      <w:pPr>
        <w:pStyle w:val="Bezodstpw"/>
        <w:pBdr>
          <w:top w:val="single" w:sz="4" w:space="1" w:color="auto"/>
          <w:left w:val="single" w:sz="4" w:space="4" w:color="auto"/>
          <w:bottom w:val="single" w:sz="4" w:space="1" w:color="auto"/>
          <w:right w:val="single" w:sz="4" w:space="4" w:color="auto"/>
        </w:pBdr>
        <w:jc w:val="center"/>
      </w:pPr>
      <w:r>
        <w:t>Kurs USD/PLN – perspektywa długoterminowa, kurs z 12 czerwca 2015 roku = 3,6770</w:t>
      </w:r>
    </w:p>
    <w:p w:rsidR="00962B43" w:rsidRDefault="00962B43" w:rsidP="00962B43">
      <w:pPr>
        <w:pStyle w:val="Bezodstpw"/>
        <w:jc w:val="both"/>
      </w:pPr>
    </w:p>
    <w:p w:rsidR="00962B43" w:rsidRDefault="00962B43" w:rsidP="00962B43">
      <w:pPr>
        <w:pStyle w:val="Bezodstpw"/>
        <w:jc w:val="both"/>
      </w:pPr>
      <w:r>
        <w:rPr>
          <w:noProof/>
        </w:rPr>
        <w:drawing>
          <wp:inline distT="0" distB="0" distL="0" distR="0">
            <wp:extent cx="4829175" cy="2905125"/>
            <wp:effectExtent l="19050" t="0" r="9525" b="0"/>
            <wp:docPr id="2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829175" cy="2905125"/>
                    </a:xfrm>
                    <a:prstGeom prst="rect">
                      <a:avLst/>
                    </a:prstGeom>
                    <a:noFill/>
                  </pic:spPr>
                </pic:pic>
              </a:graphicData>
            </a:graphic>
          </wp:inline>
        </w:drawing>
      </w:r>
    </w:p>
    <w:p w:rsidR="00962B43" w:rsidRDefault="00962B43" w:rsidP="00962B43">
      <w:pPr>
        <w:pStyle w:val="Bezodstpw"/>
        <w:jc w:val="both"/>
      </w:pPr>
    </w:p>
    <w:p w:rsidR="00962B43" w:rsidRDefault="00962B43" w:rsidP="00962B43">
      <w:pPr>
        <w:pStyle w:val="Bezodstpw"/>
        <w:jc w:val="both"/>
      </w:pPr>
      <w:r>
        <w:t xml:space="preserve">Kurs spadł </w:t>
      </w:r>
      <w:r w:rsidRPr="006D27DC">
        <w:rPr>
          <w:b/>
          <w:color w:val="FF0000"/>
        </w:rPr>
        <w:t>poniżej bardzo ważnego oporu</w:t>
      </w:r>
      <w:r>
        <w:t xml:space="preserve"> na poziomie 3,9130 zł. z lutego 2009 roku. </w:t>
      </w:r>
      <w:r w:rsidRPr="004505AC">
        <w:rPr>
          <w:u w:val="single"/>
        </w:rPr>
        <w:t xml:space="preserve">W tej sytuacji </w:t>
      </w:r>
      <w:r>
        <w:t>m</w:t>
      </w:r>
      <w:r w:rsidRPr="006E1995">
        <w:t>ożna</w:t>
      </w:r>
      <w:r w:rsidRPr="006E1995">
        <w:rPr>
          <w:u w:val="single"/>
        </w:rPr>
        <w:t xml:space="preserve"> </w:t>
      </w:r>
      <w:r w:rsidRPr="00220F89">
        <w:rPr>
          <w:b/>
          <w:u w:val="single"/>
        </w:rPr>
        <w:t>oczekiwać rozpoczęcia</w:t>
      </w:r>
      <w:r>
        <w:rPr>
          <w:b/>
          <w:u w:val="single"/>
        </w:rPr>
        <w:t xml:space="preserve"> się fali</w:t>
      </w:r>
      <w:r w:rsidRPr="00F1241D">
        <w:rPr>
          <w:b/>
          <w:u w:val="single"/>
        </w:rPr>
        <w:t xml:space="preserve"> spadków</w:t>
      </w:r>
      <w:r>
        <w:t xml:space="preserve"> w kierunku linii trendu wzrostowego poprowadzonej przez dołki z lipca 2008 roku oraz czerwca 2014 roku, która aktualnie przebiega na poziomie </w:t>
      </w:r>
      <w:r w:rsidRPr="00550E2A">
        <w:rPr>
          <w:b/>
          <w:color w:val="FF0000"/>
        </w:rPr>
        <w:t>3,10.</w:t>
      </w:r>
      <w:r>
        <w:t xml:space="preserve"> </w:t>
      </w:r>
    </w:p>
    <w:p w:rsidR="00962B43" w:rsidRDefault="00962B43" w:rsidP="00962B43">
      <w:pPr>
        <w:pStyle w:val="Bezodstpw"/>
        <w:jc w:val="both"/>
      </w:pPr>
    </w:p>
    <w:p w:rsidR="00962B43" w:rsidRDefault="00962B43" w:rsidP="00962B43">
      <w:pPr>
        <w:pStyle w:val="Bezodstpw"/>
        <w:pBdr>
          <w:top w:val="single" w:sz="4" w:space="1" w:color="auto"/>
          <w:left w:val="single" w:sz="4" w:space="4" w:color="auto"/>
          <w:bottom w:val="single" w:sz="4" w:space="1" w:color="auto"/>
          <w:right w:val="single" w:sz="4" w:space="4" w:color="auto"/>
        </w:pBdr>
        <w:jc w:val="center"/>
      </w:pPr>
      <w:r>
        <w:t>Kurs EUR/PLN – perspektywa długoterminowa, kurs z 12 czerwca 2015 roku = 4,1381</w:t>
      </w:r>
    </w:p>
    <w:p w:rsidR="00962B43" w:rsidRDefault="00962B43" w:rsidP="00962B43">
      <w:pPr>
        <w:pStyle w:val="Bezodstpw"/>
        <w:jc w:val="both"/>
      </w:pPr>
    </w:p>
    <w:p w:rsidR="00962B43" w:rsidRDefault="00962B43" w:rsidP="00962B43">
      <w:pPr>
        <w:pStyle w:val="Bezodstpw"/>
        <w:jc w:val="both"/>
      </w:pPr>
      <w:r>
        <w:rPr>
          <w:noProof/>
        </w:rPr>
        <w:drawing>
          <wp:inline distT="0" distB="0" distL="0" distR="0">
            <wp:extent cx="4829175" cy="2905125"/>
            <wp:effectExtent l="19050" t="0" r="9525" b="0"/>
            <wp:docPr id="2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829175" cy="2905125"/>
                    </a:xfrm>
                    <a:prstGeom prst="rect">
                      <a:avLst/>
                    </a:prstGeom>
                    <a:noFill/>
                  </pic:spPr>
                </pic:pic>
              </a:graphicData>
            </a:graphic>
          </wp:inline>
        </w:drawing>
      </w:r>
    </w:p>
    <w:p w:rsidR="00962B43" w:rsidRDefault="00962B43" w:rsidP="00962B43">
      <w:pPr>
        <w:pStyle w:val="Bezodstpw"/>
        <w:jc w:val="both"/>
      </w:pPr>
    </w:p>
    <w:p w:rsidR="00962B43" w:rsidRDefault="00962B43" w:rsidP="00962B43">
      <w:pPr>
        <w:pStyle w:val="Bezodstpw"/>
        <w:jc w:val="both"/>
      </w:pPr>
      <w:r>
        <w:t xml:space="preserve">Aktywność strony podażowej doprowadziła do przebicia od góry spadkowej linii trendu poprowadzonej przez szczyty z lutego 2009 roku oraz grudnia 2011 roku. Bardzo ważnym poziomem oporu był poziom </w:t>
      </w:r>
      <w:r w:rsidRPr="00411E48">
        <w:rPr>
          <w:b/>
          <w:color w:val="000000" w:themeColor="text1"/>
        </w:rPr>
        <w:t>4,3668</w:t>
      </w:r>
      <w:r>
        <w:t xml:space="preserve"> (szczyt z czerwca 2013 roku). Po dojściu do tego oporu </w:t>
      </w:r>
      <w:r w:rsidRPr="00220F89">
        <w:rPr>
          <w:b/>
          <w:u w:val="single"/>
        </w:rPr>
        <w:t>rozpoczęła się</w:t>
      </w:r>
      <w:r>
        <w:t xml:space="preserve"> </w:t>
      </w:r>
      <w:r>
        <w:rPr>
          <w:b/>
          <w:u w:val="single"/>
        </w:rPr>
        <w:t>fala</w:t>
      </w:r>
      <w:r w:rsidRPr="00F1241D">
        <w:rPr>
          <w:b/>
          <w:u w:val="single"/>
        </w:rPr>
        <w:t xml:space="preserve"> spadków</w:t>
      </w:r>
      <w:r>
        <w:t xml:space="preserve">. Najbliższym ważnym </w:t>
      </w:r>
      <w:r>
        <w:rPr>
          <w:color w:val="000000" w:themeColor="text1"/>
        </w:rPr>
        <w:t xml:space="preserve">wsparciem jest poziom </w:t>
      </w:r>
      <w:r w:rsidRPr="009D3063">
        <w:rPr>
          <w:b/>
          <w:color w:val="FF0000"/>
        </w:rPr>
        <w:t>3,8932 zł</w:t>
      </w:r>
      <w:r>
        <w:rPr>
          <w:color w:val="000000" w:themeColor="text1"/>
        </w:rPr>
        <w:t xml:space="preserve"> (dołek z maja 2011 roku). </w:t>
      </w:r>
    </w:p>
    <w:p w:rsidR="00962B43" w:rsidRDefault="00962B43" w:rsidP="00962B43">
      <w:pPr>
        <w:pStyle w:val="Bezodstpw"/>
        <w:jc w:val="both"/>
        <w:rPr>
          <w:noProof/>
        </w:rPr>
      </w:pPr>
    </w:p>
    <w:p w:rsidR="00962B43" w:rsidRDefault="00962B43" w:rsidP="00962B43">
      <w:pPr>
        <w:pStyle w:val="Bezodstpw"/>
        <w:jc w:val="both"/>
      </w:pPr>
    </w:p>
    <w:p w:rsidR="00962B43" w:rsidRDefault="00962B43" w:rsidP="00962B43">
      <w:pPr>
        <w:pStyle w:val="Bezodstpw"/>
        <w:pBdr>
          <w:top w:val="single" w:sz="4" w:space="1" w:color="auto"/>
          <w:left w:val="single" w:sz="4" w:space="4" w:color="auto"/>
          <w:bottom w:val="single" w:sz="4" w:space="1" w:color="auto"/>
          <w:right w:val="single" w:sz="4" w:space="4" w:color="auto"/>
        </w:pBdr>
        <w:jc w:val="center"/>
      </w:pPr>
      <w:r>
        <w:t>WIG 20 - gdzie jest wsparcie ?</w:t>
      </w:r>
    </w:p>
    <w:p w:rsidR="00962B43" w:rsidRDefault="00962B43" w:rsidP="00962B43">
      <w:pPr>
        <w:pStyle w:val="Bezodstpw"/>
        <w:jc w:val="both"/>
      </w:pPr>
    </w:p>
    <w:p w:rsidR="00962B43" w:rsidRDefault="00962B43" w:rsidP="00962B43">
      <w:pPr>
        <w:pStyle w:val="Bezodstpw"/>
        <w:jc w:val="both"/>
      </w:pPr>
      <w:r>
        <w:t>W poprzednim ty</w:t>
      </w:r>
      <w:r w:rsidR="00D7323B">
        <w:t xml:space="preserve">godniu WIG 20 stracił minimalnie </w:t>
      </w:r>
      <w:r>
        <w:t xml:space="preserve">na wartości. Jedną z przyczyn spadków tego indeksu były </w:t>
      </w:r>
      <w:r w:rsidRPr="00D7323B">
        <w:rPr>
          <w:b/>
          <w:u w:val="single"/>
        </w:rPr>
        <w:t>spadki cen surowców</w:t>
      </w:r>
      <w:r>
        <w:t xml:space="preserve"> odnotowane w dniach: 11 oraz 12 czerwca. Spadły miedzy innymi ceny kontraktów terminowych na miedź. Spadki na rynków cen surowców (a precyzyjniej mówiąc cen kontraktów terminowych na surowce) są zazwyczaj negatywnie przyjmowana na wschodzących rynkach akcji. Warto przypomnieć wykres cen kontraktów terminowych na miedź. Obecnie (czyli według stanu na 12 czerwca 2015 roku) można powiedzieć, że potencjał spadkowy wynikający z niewypełnionej formacji nietypowego podwójnego szczytu wynosi 11,6 %. </w:t>
      </w:r>
    </w:p>
    <w:p w:rsidR="00962B43" w:rsidRDefault="00962B43" w:rsidP="00962B43">
      <w:pPr>
        <w:pStyle w:val="Bezodstpw"/>
        <w:jc w:val="both"/>
      </w:pPr>
    </w:p>
    <w:p w:rsidR="00962B43" w:rsidRPr="00990093" w:rsidRDefault="00962B43" w:rsidP="00962B43">
      <w:pPr>
        <w:pStyle w:val="Bezodstpw"/>
        <w:jc w:val="both"/>
        <w:rPr>
          <w:b/>
          <w:u w:val="single"/>
        </w:rPr>
      </w:pPr>
      <w:r w:rsidRPr="00990093">
        <w:rPr>
          <w:b/>
          <w:u w:val="single"/>
        </w:rPr>
        <w:t xml:space="preserve">MIEDŹ </w:t>
      </w:r>
    </w:p>
    <w:p w:rsidR="00962B43" w:rsidRDefault="00962B43" w:rsidP="00962B43">
      <w:pPr>
        <w:pStyle w:val="Bezodstpw"/>
        <w:jc w:val="both"/>
      </w:pPr>
      <w:r w:rsidRPr="00990093">
        <w:rPr>
          <w:noProof/>
        </w:rPr>
        <w:drawing>
          <wp:inline distT="0" distB="0" distL="0" distR="0">
            <wp:extent cx="4829175" cy="2905125"/>
            <wp:effectExtent l="19050" t="0" r="9525" b="0"/>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29175" cy="2905125"/>
                    </a:xfrm>
                    <a:prstGeom prst="rect">
                      <a:avLst/>
                    </a:prstGeom>
                    <a:noFill/>
                  </pic:spPr>
                </pic:pic>
              </a:graphicData>
            </a:graphic>
          </wp:inline>
        </w:drawing>
      </w:r>
    </w:p>
    <w:p w:rsidR="00962B43" w:rsidRDefault="00962B43" w:rsidP="00962B43">
      <w:pPr>
        <w:pStyle w:val="Bezodstpw"/>
        <w:jc w:val="both"/>
        <w:rPr>
          <w:noProof/>
        </w:rPr>
      </w:pPr>
    </w:p>
    <w:p w:rsidR="00962B43" w:rsidRDefault="00962B43" w:rsidP="00962B43">
      <w:pPr>
        <w:pStyle w:val="Bezodstpw"/>
        <w:jc w:val="both"/>
        <w:rPr>
          <w:noProof/>
        </w:rPr>
      </w:pPr>
      <w:r>
        <w:rPr>
          <w:noProof/>
        </w:rPr>
        <w:t xml:space="preserve">Gdzie można zaobserwować wsparcie na wykresie indeksu WIG 20 ?. To oczywiście jest kwestią dyskusyjną. Generalnie jednak można powiedzieć, że można je wyznaczyć na poziomie lekko wzrostowej linii trendu poprowadzonej przez dołki z czerwca 2012 roku oraz stycznia 2015 roku. Aktualnie linia ta przebiega na poziomie </w:t>
      </w:r>
      <w:r w:rsidRPr="000D68F5">
        <w:rPr>
          <w:b/>
          <w:noProof/>
          <w:color w:val="FF0000"/>
        </w:rPr>
        <w:t>2 280 punktów</w:t>
      </w:r>
      <w:r>
        <w:rPr>
          <w:noProof/>
        </w:rPr>
        <w:t xml:space="preserve">. </w:t>
      </w:r>
    </w:p>
    <w:p w:rsidR="00962B43" w:rsidRDefault="00962B43" w:rsidP="00962B43">
      <w:pPr>
        <w:pStyle w:val="Bezodstpw"/>
        <w:jc w:val="both"/>
        <w:rPr>
          <w:noProof/>
        </w:rPr>
      </w:pPr>
    </w:p>
    <w:p w:rsidR="00962B43" w:rsidRDefault="00962B43" w:rsidP="00962B43">
      <w:pPr>
        <w:pStyle w:val="Bezodstpw"/>
        <w:jc w:val="both"/>
        <w:rPr>
          <w:b/>
          <w:noProof/>
          <w:u w:val="single"/>
        </w:rPr>
      </w:pPr>
      <w:r w:rsidRPr="00990093">
        <w:rPr>
          <w:b/>
          <w:noProof/>
          <w:u w:val="single"/>
        </w:rPr>
        <w:t>WIG20</w:t>
      </w:r>
    </w:p>
    <w:p w:rsidR="00962B43" w:rsidRPr="00990093" w:rsidRDefault="00962B43" w:rsidP="00962B43">
      <w:pPr>
        <w:pStyle w:val="Bezodstpw"/>
        <w:jc w:val="both"/>
        <w:rPr>
          <w:b/>
          <w:noProof/>
          <w:u w:val="single"/>
        </w:rPr>
      </w:pPr>
    </w:p>
    <w:p w:rsidR="00962B43" w:rsidRDefault="00962B43" w:rsidP="00962B43">
      <w:pPr>
        <w:pStyle w:val="Bezodstpw"/>
        <w:jc w:val="both"/>
        <w:rPr>
          <w:noProof/>
        </w:rPr>
      </w:pPr>
      <w:r>
        <w:rPr>
          <w:noProof/>
        </w:rPr>
        <w:t xml:space="preserve"> </w:t>
      </w:r>
      <w:r>
        <w:rPr>
          <w:noProof/>
        </w:rPr>
        <w:drawing>
          <wp:inline distT="0" distB="0" distL="0" distR="0">
            <wp:extent cx="4219575" cy="2533650"/>
            <wp:effectExtent l="19050" t="0" r="9525" b="0"/>
            <wp:docPr id="1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19575" cy="2533650"/>
                    </a:xfrm>
                    <a:prstGeom prst="rect">
                      <a:avLst/>
                    </a:prstGeom>
                    <a:noFill/>
                  </pic:spPr>
                </pic:pic>
              </a:graphicData>
            </a:graphic>
          </wp:inline>
        </w:drawing>
      </w:r>
    </w:p>
    <w:p w:rsidR="00962B43" w:rsidRDefault="00962B43" w:rsidP="00962B43">
      <w:pPr>
        <w:pStyle w:val="Bezodstpw"/>
        <w:pBdr>
          <w:top w:val="single" w:sz="4" w:space="1" w:color="auto"/>
          <w:left w:val="single" w:sz="4" w:space="4" w:color="auto"/>
          <w:bottom w:val="single" w:sz="4" w:space="1" w:color="auto"/>
          <w:right w:val="single" w:sz="4" w:space="4" w:color="auto"/>
        </w:pBdr>
        <w:jc w:val="center"/>
        <w:rPr>
          <w:noProof/>
        </w:rPr>
      </w:pPr>
      <w:r>
        <w:rPr>
          <w:noProof/>
        </w:rPr>
        <w:lastRenderedPageBreak/>
        <w:t xml:space="preserve">,,Spółka atrakcyjna fundamentalnie” </w:t>
      </w:r>
    </w:p>
    <w:p w:rsidR="00962B43" w:rsidRDefault="00962B43" w:rsidP="00962B43">
      <w:pPr>
        <w:pStyle w:val="Bezodstpw"/>
        <w:jc w:val="both"/>
        <w:rPr>
          <w:noProof/>
        </w:rPr>
      </w:pPr>
    </w:p>
    <w:p w:rsidR="00962B43" w:rsidRPr="00BE3174" w:rsidRDefault="00962B43" w:rsidP="00962B43">
      <w:pPr>
        <w:pStyle w:val="Bezodstpw"/>
        <w:jc w:val="both"/>
        <w:rPr>
          <w:b/>
          <w:noProof/>
        </w:rPr>
      </w:pPr>
      <w:r>
        <w:rPr>
          <w:noProof/>
        </w:rPr>
        <w:t xml:space="preserve">22 lutego 2015 roku opublikowałem tekst zatytułowany </w:t>
      </w:r>
      <w:r w:rsidRPr="00BE3174">
        <w:rPr>
          <w:b/>
          <w:noProof/>
        </w:rPr>
        <w:t xml:space="preserve">,,Co to właściwie znaczy, że spółka jest ,,atrakcyjna fundamentalnie ?”. </w:t>
      </w:r>
    </w:p>
    <w:p w:rsidR="00962B43" w:rsidRDefault="00962B43" w:rsidP="00962B43">
      <w:pPr>
        <w:pStyle w:val="Bezodstpw"/>
        <w:jc w:val="both"/>
        <w:rPr>
          <w:noProof/>
        </w:rPr>
      </w:pPr>
    </w:p>
    <w:p w:rsidR="00962B43" w:rsidRDefault="00962B43" w:rsidP="00962B43">
      <w:pPr>
        <w:pStyle w:val="Bezodstpw"/>
        <w:jc w:val="both"/>
        <w:rPr>
          <w:noProof/>
        </w:rPr>
      </w:pPr>
      <w:r>
        <w:rPr>
          <w:noProof/>
        </w:rPr>
        <w:t xml:space="preserve">W tekście tym opublikowałem listę 6 spółek, które z punktu widzenie stosowanej przeze mnie metody można uznać za właśnie ,,atrakcyjne fundamentalnie”. </w:t>
      </w:r>
    </w:p>
    <w:p w:rsidR="00962B43" w:rsidRDefault="00962B43" w:rsidP="00962B43">
      <w:pPr>
        <w:pStyle w:val="Bezodstpw"/>
        <w:jc w:val="both"/>
        <w:rPr>
          <w:noProof/>
        </w:rPr>
      </w:pPr>
    </w:p>
    <w:p w:rsidR="00962B43" w:rsidRDefault="00962B43" w:rsidP="00962B43">
      <w:pPr>
        <w:pStyle w:val="Bezodstpw"/>
        <w:jc w:val="both"/>
        <w:rPr>
          <w:noProof/>
        </w:rPr>
      </w:pPr>
      <w:hyperlink r:id="rId9" w:history="1">
        <w:r w:rsidRPr="004D4AB1">
          <w:rPr>
            <w:rStyle w:val="Hipercze"/>
            <w:noProof/>
          </w:rPr>
          <w:t>http://analizy-rynkowe.pl/znaczy-wlasciwie-znaczy-spolka-atrakcyjna-fundamentalnie-proba-refleksji/</w:t>
        </w:r>
      </w:hyperlink>
    </w:p>
    <w:p w:rsidR="00962B43" w:rsidRDefault="00962B43" w:rsidP="00962B43">
      <w:pPr>
        <w:pStyle w:val="Bezodstpw"/>
        <w:jc w:val="both"/>
        <w:rPr>
          <w:noProof/>
        </w:rPr>
      </w:pPr>
    </w:p>
    <w:p w:rsidR="00962B43" w:rsidRDefault="00962B43" w:rsidP="00962B43">
      <w:pPr>
        <w:pStyle w:val="Bezodstpw"/>
        <w:jc w:val="both"/>
        <w:rPr>
          <w:noProof/>
        </w:rPr>
      </w:pPr>
      <w:r>
        <w:rPr>
          <w:noProof/>
        </w:rPr>
        <w:t xml:space="preserve">Były to wyłącznie takie spółki, które znalazły się do momentu owej publikacji w rubryce ,,Wykres do przemyślenia” a zarazem (!) spełniały pewne, opisane we wspomnianym opracowaniu 3 kryteria fundamentalne. </w:t>
      </w:r>
    </w:p>
    <w:p w:rsidR="00962B43" w:rsidRDefault="00962B43" w:rsidP="00962B43">
      <w:pPr>
        <w:pStyle w:val="Bezodstpw"/>
        <w:jc w:val="both"/>
        <w:rPr>
          <w:noProof/>
        </w:rPr>
      </w:pPr>
    </w:p>
    <w:p w:rsidR="00962B43" w:rsidRDefault="00962B43" w:rsidP="00962B43">
      <w:pPr>
        <w:pStyle w:val="Bezodstpw"/>
        <w:jc w:val="both"/>
        <w:rPr>
          <w:noProof/>
        </w:rPr>
      </w:pPr>
      <w:r>
        <w:rPr>
          <w:noProof/>
        </w:rPr>
        <w:t xml:space="preserve">Były to </w:t>
      </w:r>
    </w:p>
    <w:p w:rsidR="00962B43" w:rsidRDefault="00962B43" w:rsidP="00962B43">
      <w:pPr>
        <w:pStyle w:val="Bezodstpw"/>
        <w:jc w:val="both"/>
        <w:rPr>
          <w:noProof/>
        </w:rPr>
      </w:pPr>
    </w:p>
    <w:p w:rsidR="00962B43" w:rsidRPr="000D3998" w:rsidRDefault="00962B43" w:rsidP="00962B43">
      <w:pPr>
        <w:pStyle w:val="Bezodstpw"/>
        <w:jc w:val="both"/>
        <w:rPr>
          <w:b/>
          <w:noProof/>
        </w:rPr>
      </w:pPr>
      <w:r w:rsidRPr="000D3998">
        <w:rPr>
          <w:b/>
          <w:noProof/>
        </w:rPr>
        <w:t xml:space="preserve">Atrem </w:t>
      </w:r>
    </w:p>
    <w:p w:rsidR="00962B43" w:rsidRPr="000D3998" w:rsidRDefault="00962B43" w:rsidP="00962B43">
      <w:pPr>
        <w:pStyle w:val="Bezodstpw"/>
        <w:jc w:val="both"/>
        <w:rPr>
          <w:b/>
          <w:noProof/>
        </w:rPr>
      </w:pPr>
      <w:r w:rsidRPr="000D3998">
        <w:rPr>
          <w:b/>
          <w:noProof/>
        </w:rPr>
        <w:t xml:space="preserve">Muza </w:t>
      </w:r>
    </w:p>
    <w:p w:rsidR="00962B43" w:rsidRPr="000D3998" w:rsidRDefault="00962B43" w:rsidP="00962B43">
      <w:pPr>
        <w:pStyle w:val="Bezodstpw"/>
        <w:jc w:val="both"/>
        <w:rPr>
          <w:b/>
          <w:noProof/>
        </w:rPr>
      </w:pPr>
      <w:r w:rsidRPr="000D3998">
        <w:rPr>
          <w:b/>
          <w:noProof/>
        </w:rPr>
        <w:t xml:space="preserve">Netmedia </w:t>
      </w:r>
    </w:p>
    <w:p w:rsidR="00962B43" w:rsidRPr="000D3998" w:rsidRDefault="00962B43" w:rsidP="00962B43">
      <w:pPr>
        <w:pStyle w:val="Bezodstpw"/>
        <w:jc w:val="both"/>
        <w:rPr>
          <w:b/>
          <w:noProof/>
        </w:rPr>
      </w:pPr>
      <w:r w:rsidRPr="000D3998">
        <w:rPr>
          <w:b/>
          <w:noProof/>
        </w:rPr>
        <w:t xml:space="preserve">Procad </w:t>
      </w:r>
    </w:p>
    <w:p w:rsidR="00962B43" w:rsidRPr="000D3998" w:rsidRDefault="00962B43" w:rsidP="00962B43">
      <w:pPr>
        <w:pStyle w:val="Bezodstpw"/>
        <w:jc w:val="both"/>
        <w:rPr>
          <w:b/>
          <w:noProof/>
        </w:rPr>
      </w:pPr>
      <w:r w:rsidRPr="000D3998">
        <w:rPr>
          <w:b/>
          <w:noProof/>
        </w:rPr>
        <w:t xml:space="preserve">Relpol </w:t>
      </w:r>
    </w:p>
    <w:p w:rsidR="00962B43" w:rsidRPr="000D3998" w:rsidRDefault="00962B43" w:rsidP="00962B43">
      <w:pPr>
        <w:pStyle w:val="Bezodstpw"/>
        <w:jc w:val="both"/>
        <w:rPr>
          <w:b/>
          <w:noProof/>
        </w:rPr>
      </w:pPr>
      <w:r w:rsidRPr="000D3998">
        <w:rPr>
          <w:b/>
          <w:noProof/>
        </w:rPr>
        <w:t xml:space="preserve">Tesgas </w:t>
      </w:r>
    </w:p>
    <w:p w:rsidR="00962B43" w:rsidRDefault="00962B43" w:rsidP="00962B43">
      <w:pPr>
        <w:pStyle w:val="Bezodstpw"/>
        <w:jc w:val="both"/>
        <w:rPr>
          <w:noProof/>
        </w:rPr>
      </w:pPr>
    </w:p>
    <w:p w:rsidR="00962B43" w:rsidRPr="00D7323B" w:rsidRDefault="00962B43" w:rsidP="00D7323B">
      <w:pPr>
        <w:pStyle w:val="Bezodstpw"/>
        <w:tabs>
          <w:tab w:val="left" w:pos="1134"/>
        </w:tabs>
        <w:jc w:val="both"/>
        <w:rPr>
          <w:i/>
          <w:noProof/>
          <w:u w:val="single"/>
        </w:rPr>
      </w:pPr>
      <w:r>
        <w:rPr>
          <w:noProof/>
        </w:rPr>
        <w:t xml:space="preserve">Jedno ze zdań tego opracowania brzmi </w:t>
      </w:r>
      <w:r w:rsidRPr="00D7323B">
        <w:rPr>
          <w:i/>
          <w:noProof/>
          <w:u w:val="single"/>
        </w:rPr>
        <w:t xml:space="preserve">,,Przyznam, że jestem ciekaw, jak zachowają się akcje wyżej wymienionych spółek na przestrzeni najbliższych 12 miesięcy…” </w:t>
      </w:r>
    </w:p>
    <w:p w:rsidR="00962B43" w:rsidRDefault="00962B43" w:rsidP="00962B43">
      <w:pPr>
        <w:pStyle w:val="Bezodstpw"/>
        <w:jc w:val="both"/>
        <w:rPr>
          <w:noProof/>
        </w:rPr>
      </w:pPr>
    </w:p>
    <w:p w:rsidR="00962B43" w:rsidRDefault="00962B43" w:rsidP="00962B43">
      <w:pPr>
        <w:pStyle w:val="Bezodstpw"/>
        <w:jc w:val="both"/>
        <w:rPr>
          <w:noProof/>
        </w:rPr>
      </w:pPr>
      <w:r>
        <w:rPr>
          <w:noProof/>
        </w:rPr>
        <w:t xml:space="preserve">Dlaczego zachęcam do lektury tego akurat tekstu ? Otóż wyrażam w nim swe poglądy na temat tego właśnie, czym jest ,,spółka atrakcyjna fundamentalnie”. Nie zawsze są to poglądy zgodne z powszechnym sposobem myślenia…. </w:t>
      </w:r>
    </w:p>
    <w:p w:rsidR="00962B43" w:rsidRDefault="00962B43" w:rsidP="00962B43">
      <w:pPr>
        <w:pStyle w:val="Bezodstpw"/>
        <w:jc w:val="both"/>
        <w:rPr>
          <w:noProof/>
        </w:rPr>
      </w:pPr>
    </w:p>
    <w:p w:rsidR="00962B43" w:rsidRDefault="00962B43" w:rsidP="00962B43">
      <w:pPr>
        <w:pStyle w:val="Bezodstpw"/>
        <w:jc w:val="both"/>
        <w:rPr>
          <w:noProof/>
        </w:rPr>
      </w:pPr>
      <w:r>
        <w:rPr>
          <w:noProof/>
        </w:rPr>
        <w:t>Postanowiłem sprawdzić jak zachowywały się kursy akcji 6 wyżej wymienionych spółek od dnia 20 lutego 2015 roku (czyli dnia sesyjnego bezpośrednio poprzedzającego dzień publikacji tego opracowania) do dnia 12 czerwca 2015 roku.</w:t>
      </w:r>
    </w:p>
    <w:p w:rsidR="00962B43" w:rsidRDefault="00962B43" w:rsidP="00962B43">
      <w:pPr>
        <w:pStyle w:val="Bezodstpw"/>
        <w:jc w:val="both"/>
        <w:rPr>
          <w:noProof/>
        </w:rPr>
      </w:pPr>
    </w:p>
    <w:tbl>
      <w:tblPr>
        <w:tblW w:w="5440" w:type="dxa"/>
        <w:tblInd w:w="55" w:type="dxa"/>
        <w:tblCellMar>
          <w:left w:w="70" w:type="dxa"/>
          <w:right w:w="70" w:type="dxa"/>
        </w:tblCellMar>
        <w:tblLook w:val="04A0"/>
      </w:tblPr>
      <w:tblGrid>
        <w:gridCol w:w="1860"/>
        <w:gridCol w:w="1242"/>
        <w:gridCol w:w="1260"/>
        <w:gridCol w:w="1080"/>
      </w:tblGrid>
      <w:tr w:rsidR="00962B43" w:rsidRPr="00B06E00" w:rsidTr="00BC4C8B">
        <w:trPr>
          <w:trHeight w:val="285"/>
        </w:trPr>
        <w:tc>
          <w:tcPr>
            <w:tcW w:w="1860" w:type="dxa"/>
            <w:tcBorders>
              <w:top w:val="nil"/>
              <w:left w:val="nil"/>
              <w:bottom w:val="nil"/>
              <w:right w:val="nil"/>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Data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Data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zmi</w:t>
            </w:r>
            <w:r>
              <w:rPr>
                <w:rFonts w:ascii="Arial" w:eastAsia="Times New Roman" w:hAnsi="Arial" w:cs="Arial"/>
                <w:color w:val="000000"/>
              </w:rPr>
              <w:t>a</w:t>
            </w:r>
            <w:r w:rsidRPr="00B06E00">
              <w:rPr>
                <w:rFonts w:ascii="Arial" w:eastAsia="Times New Roman" w:hAnsi="Arial" w:cs="Arial"/>
                <w:color w:val="000000"/>
              </w:rPr>
              <w:t xml:space="preserve">na </w:t>
            </w:r>
          </w:p>
        </w:tc>
      </w:tr>
      <w:tr w:rsidR="00962B43" w:rsidRPr="00B06E00" w:rsidTr="00BC4C8B">
        <w:trPr>
          <w:trHeight w:val="285"/>
        </w:trPr>
        <w:tc>
          <w:tcPr>
            <w:tcW w:w="1860" w:type="dxa"/>
            <w:tcBorders>
              <w:top w:val="nil"/>
              <w:left w:val="nil"/>
              <w:bottom w:val="nil"/>
              <w:right w:val="nil"/>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20.02.2015</w:t>
            </w:r>
          </w:p>
        </w:tc>
        <w:tc>
          <w:tcPr>
            <w:tcW w:w="126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12.06.2015</w:t>
            </w:r>
          </w:p>
        </w:tc>
        <w:tc>
          <w:tcPr>
            <w:tcW w:w="108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kursu</w:t>
            </w:r>
          </w:p>
        </w:tc>
      </w:tr>
      <w:tr w:rsidR="00962B43" w:rsidRPr="00B06E00" w:rsidTr="00BC4C8B">
        <w:trPr>
          <w:trHeight w:val="285"/>
        </w:trPr>
        <w:tc>
          <w:tcPr>
            <w:tcW w:w="1860" w:type="dxa"/>
            <w:tcBorders>
              <w:top w:val="nil"/>
              <w:left w:val="nil"/>
              <w:bottom w:val="nil"/>
              <w:right w:val="nil"/>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Kurs w zł.</w:t>
            </w:r>
          </w:p>
        </w:tc>
        <w:tc>
          <w:tcPr>
            <w:tcW w:w="126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Kurs zł.</w:t>
            </w:r>
          </w:p>
        </w:tc>
        <w:tc>
          <w:tcPr>
            <w:tcW w:w="108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w %</w:t>
            </w:r>
          </w:p>
        </w:tc>
      </w:tr>
      <w:tr w:rsidR="00962B43" w:rsidRPr="00B06E00" w:rsidTr="00BC4C8B">
        <w:trPr>
          <w:trHeight w:val="28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proofErr w:type="spellStart"/>
            <w:r w:rsidRPr="00B06E00">
              <w:rPr>
                <w:rFonts w:ascii="Arial" w:eastAsia="Times New Roman" w:hAnsi="Arial" w:cs="Arial"/>
                <w:color w:val="000000"/>
              </w:rPr>
              <w:t>Atrem</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4,89</w:t>
            </w:r>
          </w:p>
        </w:tc>
        <w:tc>
          <w:tcPr>
            <w:tcW w:w="126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6,12</w:t>
            </w:r>
          </w:p>
        </w:tc>
        <w:tc>
          <w:tcPr>
            <w:tcW w:w="108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right"/>
              <w:rPr>
                <w:rFonts w:ascii="Arial" w:eastAsia="Times New Roman" w:hAnsi="Arial" w:cs="Arial"/>
                <w:color w:val="000000"/>
              </w:rPr>
            </w:pPr>
            <w:r w:rsidRPr="00B06E00">
              <w:rPr>
                <w:rFonts w:ascii="Arial" w:eastAsia="Times New Roman" w:hAnsi="Arial" w:cs="Arial"/>
                <w:color w:val="000000"/>
              </w:rPr>
              <w:t>25,2</w:t>
            </w:r>
          </w:p>
        </w:tc>
      </w:tr>
      <w:tr w:rsidR="00962B43" w:rsidRPr="00B06E00" w:rsidTr="00BC4C8B">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Muza</w:t>
            </w:r>
          </w:p>
        </w:tc>
        <w:tc>
          <w:tcPr>
            <w:tcW w:w="124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3,31</w:t>
            </w:r>
          </w:p>
        </w:tc>
        <w:tc>
          <w:tcPr>
            <w:tcW w:w="126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3,60</w:t>
            </w:r>
          </w:p>
        </w:tc>
        <w:tc>
          <w:tcPr>
            <w:tcW w:w="108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right"/>
              <w:rPr>
                <w:rFonts w:ascii="Arial" w:eastAsia="Times New Roman" w:hAnsi="Arial" w:cs="Arial"/>
                <w:color w:val="000000"/>
              </w:rPr>
            </w:pPr>
            <w:r w:rsidRPr="00B06E00">
              <w:rPr>
                <w:rFonts w:ascii="Arial" w:eastAsia="Times New Roman" w:hAnsi="Arial" w:cs="Arial"/>
                <w:color w:val="000000"/>
              </w:rPr>
              <w:t>8,8</w:t>
            </w:r>
          </w:p>
        </w:tc>
      </w:tr>
      <w:tr w:rsidR="00962B43" w:rsidRPr="00B06E00" w:rsidTr="00BC4C8B">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proofErr w:type="spellStart"/>
            <w:r w:rsidRPr="00B06E00">
              <w:rPr>
                <w:rFonts w:ascii="Arial" w:eastAsia="Times New Roman" w:hAnsi="Arial" w:cs="Arial"/>
                <w:color w:val="000000"/>
              </w:rPr>
              <w:t>Netmedia</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4,71</w:t>
            </w:r>
          </w:p>
        </w:tc>
        <w:tc>
          <w:tcPr>
            <w:tcW w:w="126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6,15</w:t>
            </w:r>
          </w:p>
        </w:tc>
        <w:tc>
          <w:tcPr>
            <w:tcW w:w="108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right"/>
              <w:rPr>
                <w:rFonts w:ascii="Arial" w:eastAsia="Times New Roman" w:hAnsi="Arial" w:cs="Arial"/>
                <w:color w:val="000000"/>
              </w:rPr>
            </w:pPr>
            <w:r w:rsidRPr="00B06E00">
              <w:rPr>
                <w:rFonts w:ascii="Arial" w:eastAsia="Times New Roman" w:hAnsi="Arial" w:cs="Arial"/>
                <w:color w:val="000000"/>
              </w:rPr>
              <w:t>30,6</w:t>
            </w:r>
          </w:p>
        </w:tc>
      </w:tr>
      <w:tr w:rsidR="00962B43" w:rsidRPr="00B06E00" w:rsidTr="00BC4C8B">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proofErr w:type="spellStart"/>
            <w:r w:rsidRPr="00B06E00">
              <w:rPr>
                <w:rFonts w:ascii="Arial" w:eastAsia="Times New Roman" w:hAnsi="Arial" w:cs="Arial"/>
                <w:color w:val="000000"/>
              </w:rPr>
              <w:t>Procad</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1,16</w:t>
            </w:r>
          </w:p>
        </w:tc>
        <w:tc>
          <w:tcPr>
            <w:tcW w:w="126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2,28</w:t>
            </w:r>
          </w:p>
        </w:tc>
        <w:tc>
          <w:tcPr>
            <w:tcW w:w="108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right"/>
              <w:rPr>
                <w:rFonts w:ascii="Arial" w:eastAsia="Times New Roman" w:hAnsi="Arial" w:cs="Arial"/>
                <w:color w:val="000000"/>
              </w:rPr>
            </w:pPr>
            <w:r w:rsidRPr="00B06E00">
              <w:rPr>
                <w:rFonts w:ascii="Arial" w:eastAsia="Times New Roman" w:hAnsi="Arial" w:cs="Arial"/>
                <w:color w:val="000000"/>
              </w:rPr>
              <w:t>96,6</w:t>
            </w:r>
          </w:p>
        </w:tc>
      </w:tr>
      <w:tr w:rsidR="00962B43" w:rsidRPr="00B06E00" w:rsidTr="00BC4C8B">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Relpol</w:t>
            </w:r>
          </w:p>
        </w:tc>
        <w:tc>
          <w:tcPr>
            <w:tcW w:w="124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5,99</w:t>
            </w:r>
          </w:p>
        </w:tc>
        <w:tc>
          <w:tcPr>
            <w:tcW w:w="126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7,42</w:t>
            </w:r>
          </w:p>
        </w:tc>
        <w:tc>
          <w:tcPr>
            <w:tcW w:w="108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right"/>
              <w:rPr>
                <w:rFonts w:ascii="Arial" w:eastAsia="Times New Roman" w:hAnsi="Arial" w:cs="Arial"/>
                <w:color w:val="000000"/>
              </w:rPr>
            </w:pPr>
            <w:r w:rsidRPr="00B06E00">
              <w:rPr>
                <w:rFonts w:ascii="Arial" w:eastAsia="Times New Roman" w:hAnsi="Arial" w:cs="Arial"/>
                <w:color w:val="000000"/>
              </w:rPr>
              <w:t>23,9</w:t>
            </w:r>
          </w:p>
        </w:tc>
      </w:tr>
      <w:tr w:rsidR="00962B43" w:rsidRPr="00B06E00" w:rsidTr="00BC4C8B">
        <w:trPr>
          <w:trHeight w:val="28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proofErr w:type="spellStart"/>
            <w:r w:rsidRPr="00B06E00">
              <w:rPr>
                <w:rFonts w:ascii="Arial" w:eastAsia="Times New Roman" w:hAnsi="Arial" w:cs="Arial"/>
                <w:color w:val="000000"/>
              </w:rPr>
              <w:t>Tesgas</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3,95</w:t>
            </w:r>
          </w:p>
        </w:tc>
        <w:tc>
          <w:tcPr>
            <w:tcW w:w="126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3,51</w:t>
            </w:r>
          </w:p>
        </w:tc>
        <w:tc>
          <w:tcPr>
            <w:tcW w:w="1080" w:type="dxa"/>
            <w:tcBorders>
              <w:top w:val="nil"/>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right"/>
              <w:rPr>
                <w:rFonts w:ascii="Arial" w:eastAsia="Times New Roman" w:hAnsi="Arial" w:cs="Arial"/>
                <w:color w:val="000000"/>
              </w:rPr>
            </w:pPr>
            <w:r w:rsidRPr="00B06E00">
              <w:rPr>
                <w:rFonts w:ascii="Arial" w:eastAsia="Times New Roman" w:hAnsi="Arial" w:cs="Arial"/>
                <w:color w:val="000000"/>
              </w:rPr>
              <w:t>-11,1</w:t>
            </w:r>
          </w:p>
        </w:tc>
      </w:tr>
      <w:tr w:rsidR="00962B43" w:rsidRPr="00B06E00" w:rsidTr="00BC4C8B">
        <w:trPr>
          <w:trHeight w:val="285"/>
        </w:trPr>
        <w:tc>
          <w:tcPr>
            <w:tcW w:w="1860" w:type="dxa"/>
            <w:tcBorders>
              <w:top w:val="nil"/>
              <w:left w:val="nil"/>
              <w:bottom w:val="nil"/>
              <w:right w:val="nil"/>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p>
        </w:tc>
        <w:tc>
          <w:tcPr>
            <w:tcW w:w="1240" w:type="dxa"/>
            <w:tcBorders>
              <w:top w:val="nil"/>
              <w:left w:val="nil"/>
              <w:bottom w:val="nil"/>
              <w:right w:val="nil"/>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p>
        </w:tc>
        <w:tc>
          <w:tcPr>
            <w:tcW w:w="1260" w:type="dxa"/>
            <w:tcBorders>
              <w:top w:val="nil"/>
              <w:left w:val="nil"/>
              <w:bottom w:val="nil"/>
              <w:right w:val="nil"/>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962B43" w:rsidRPr="00B06E00" w:rsidRDefault="00962B43" w:rsidP="00BC4C8B">
            <w:pPr>
              <w:spacing w:after="0" w:line="240" w:lineRule="auto"/>
              <w:jc w:val="right"/>
              <w:rPr>
                <w:rFonts w:ascii="Arial" w:eastAsia="Times New Roman" w:hAnsi="Arial" w:cs="Arial"/>
                <w:color w:val="000000"/>
              </w:rPr>
            </w:pPr>
          </w:p>
        </w:tc>
      </w:tr>
      <w:tr w:rsidR="00962B43" w:rsidRPr="00B06E00" w:rsidTr="00BC4C8B">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średnio</w:t>
            </w:r>
          </w:p>
        </w:tc>
        <w:tc>
          <w:tcPr>
            <w:tcW w:w="1240" w:type="dxa"/>
            <w:tcBorders>
              <w:top w:val="nil"/>
              <w:left w:val="nil"/>
              <w:bottom w:val="nil"/>
              <w:right w:val="nil"/>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p>
        </w:tc>
        <w:tc>
          <w:tcPr>
            <w:tcW w:w="1260" w:type="dxa"/>
            <w:tcBorders>
              <w:top w:val="nil"/>
              <w:left w:val="nil"/>
              <w:bottom w:val="nil"/>
              <w:right w:val="nil"/>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right"/>
              <w:rPr>
                <w:rFonts w:ascii="Czcionka tekstu podstawowego" w:eastAsia="Times New Roman" w:hAnsi="Czcionka tekstu podstawowego" w:cs="Arial"/>
                <w:b/>
                <w:bCs/>
                <w:color w:val="000000"/>
              </w:rPr>
            </w:pPr>
            <w:r w:rsidRPr="00B06E00">
              <w:rPr>
                <w:rFonts w:ascii="Czcionka tekstu podstawowego" w:eastAsia="Times New Roman" w:hAnsi="Czcionka tekstu podstawowego" w:cs="Arial"/>
                <w:b/>
                <w:bCs/>
                <w:color w:val="000000"/>
              </w:rPr>
              <w:t>29,0</w:t>
            </w:r>
          </w:p>
        </w:tc>
      </w:tr>
      <w:tr w:rsidR="00962B43" w:rsidRPr="00B06E00" w:rsidTr="00BC4C8B">
        <w:trPr>
          <w:trHeight w:val="285"/>
        </w:trPr>
        <w:tc>
          <w:tcPr>
            <w:tcW w:w="1860" w:type="dxa"/>
            <w:tcBorders>
              <w:top w:val="nil"/>
              <w:left w:val="nil"/>
              <w:bottom w:val="nil"/>
              <w:right w:val="nil"/>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p>
        </w:tc>
        <w:tc>
          <w:tcPr>
            <w:tcW w:w="1240" w:type="dxa"/>
            <w:tcBorders>
              <w:top w:val="nil"/>
              <w:left w:val="nil"/>
              <w:bottom w:val="nil"/>
              <w:right w:val="nil"/>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p>
        </w:tc>
        <w:tc>
          <w:tcPr>
            <w:tcW w:w="1260" w:type="dxa"/>
            <w:tcBorders>
              <w:top w:val="nil"/>
              <w:left w:val="nil"/>
              <w:bottom w:val="nil"/>
              <w:right w:val="nil"/>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962B43" w:rsidRPr="00B06E00" w:rsidRDefault="00962B43" w:rsidP="00BC4C8B">
            <w:pPr>
              <w:spacing w:after="0" w:line="240" w:lineRule="auto"/>
              <w:jc w:val="right"/>
              <w:rPr>
                <w:rFonts w:ascii="Arial" w:eastAsia="Times New Roman" w:hAnsi="Arial" w:cs="Arial"/>
                <w:color w:val="000000"/>
              </w:rPr>
            </w:pPr>
          </w:p>
        </w:tc>
      </w:tr>
      <w:tr w:rsidR="00962B43" w:rsidRPr="00B06E00" w:rsidTr="00BC4C8B">
        <w:trPr>
          <w:trHeight w:val="28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WIG20</w:t>
            </w:r>
          </w:p>
        </w:tc>
        <w:tc>
          <w:tcPr>
            <w:tcW w:w="1240" w:type="dxa"/>
            <w:tcBorders>
              <w:top w:val="single" w:sz="4" w:space="0" w:color="auto"/>
              <w:left w:val="nil"/>
              <w:bottom w:val="single" w:sz="4" w:space="0" w:color="auto"/>
              <w:right w:val="nil"/>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2</w:t>
            </w:r>
            <w:r>
              <w:rPr>
                <w:rFonts w:ascii="Arial" w:eastAsia="Times New Roman" w:hAnsi="Arial" w:cs="Arial"/>
                <w:color w:val="000000"/>
              </w:rPr>
              <w:t xml:space="preserve"> </w:t>
            </w:r>
            <w:r w:rsidRPr="00B06E00">
              <w:rPr>
                <w:rFonts w:ascii="Arial" w:eastAsia="Times New Roman" w:hAnsi="Arial" w:cs="Arial"/>
                <w:color w:val="000000"/>
              </w:rPr>
              <w:t>348,94</w:t>
            </w:r>
          </w:p>
        </w:tc>
        <w:tc>
          <w:tcPr>
            <w:tcW w:w="1260" w:type="dxa"/>
            <w:tcBorders>
              <w:top w:val="single" w:sz="4" w:space="0" w:color="auto"/>
              <w:left w:val="nil"/>
              <w:bottom w:val="single" w:sz="4" w:space="0" w:color="auto"/>
              <w:right w:val="nil"/>
            </w:tcBorders>
            <w:shd w:val="clear" w:color="auto" w:fill="auto"/>
            <w:noWrap/>
            <w:vAlign w:val="bottom"/>
            <w:hideMark/>
          </w:tcPr>
          <w:p w:rsidR="00962B43" w:rsidRPr="00B06E00" w:rsidRDefault="00962B43" w:rsidP="00BC4C8B">
            <w:pPr>
              <w:spacing w:after="0" w:line="240" w:lineRule="auto"/>
              <w:jc w:val="center"/>
              <w:rPr>
                <w:rFonts w:ascii="Arial" w:eastAsia="Times New Roman" w:hAnsi="Arial" w:cs="Arial"/>
                <w:color w:val="000000"/>
              </w:rPr>
            </w:pPr>
            <w:r w:rsidRPr="00B06E00">
              <w:rPr>
                <w:rFonts w:ascii="Arial" w:eastAsia="Times New Roman" w:hAnsi="Arial" w:cs="Arial"/>
                <w:color w:val="000000"/>
              </w:rPr>
              <w:t>2</w:t>
            </w:r>
            <w:r>
              <w:rPr>
                <w:rFonts w:ascii="Arial" w:eastAsia="Times New Roman" w:hAnsi="Arial" w:cs="Arial"/>
                <w:color w:val="000000"/>
              </w:rPr>
              <w:t xml:space="preserve"> </w:t>
            </w:r>
            <w:r w:rsidRPr="00B06E00">
              <w:rPr>
                <w:rFonts w:ascii="Arial" w:eastAsia="Times New Roman" w:hAnsi="Arial" w:cs="Arial"/>
                <w:color w:val="000000"/>
              </w:rPr>
              <w:t>358,73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62B43" w:rsidRPr="00B06E00" w:rsidRDefault="00962B43" w:rsidP="00BC4C8B">
            <w:pPr>
              <w:spacing w:after="0" w:line="240" w:lineRule="auto"/>
              <w:jc w:val="right"/>
              <w:rPr>
                <w:rFonts w:ascii="Arial" w:eastAsia="Times New Roman" w:hAnsi="Arial" w:cs="Arial"/>
                <w:color w:val="000000"/>
              </w:rPr>
            </w:pPr>
            <w:r w:rsidRPr="00B06E00">
              <w:rPr>
                <w:rFonts w:ascii="Arial" w:eastAsia="Times New Roman" w:hAnsi="Arial" w:cs="Arial"/>
                <w:color w:val="000000"/>
              </w:rPr>
              <w:t>0,4</w:t>
            </w:r>
          </w:p>
        </w:tc>
      </w:tr>
    </w:tbl>
    <w:p w:rsidR="00962B43" w:rsidRDefault="00962B43" w:rsidP="00962B43">
      <w:pPr>
        <w:pStyle w:val="Bezodstpw"/>
        <w:jc w:val="both"/>
        <w:rPr>
          <w:noProof/>
        </w:rPr>
      </w:pPr>
    </w:p>
    <w:p w:rsidR="00962B43" w:rsidRDefault="00962B43" w:rsidP="00962B43">
      <w:pPr>
        <w:pStyle w:val="Bezodstpw"/>
        <w:jc w:val="both"/>
        <w:rPr>
          <w:noProof/>
        </w:rPr>
      </w:pPr>
    </w:p>
    <w:p w:rsidR="00962B43" w:rsidRDefault="00962B43" w:rsidP="00962B43">
      <w:pPr>
        <w:pStyle w:val="Bezodstpw"/>
        <w:pBdr>
          <w:top w:val="single" w:sz="4" w:space="0" w:color="auto"/>
          <w:left w:val="single" w:sz="4" w:space="4" w:color="auto"/>
          <w:bottom w:val="single" w:sz="4" w:space="1" w:color="auto"/>
          <w:right w:val="single" w:sz="4" w:space="4" w:color="auto"/>
        </w:pBdr>
        <w:jc w:val="center"/>
      </w:pPr>
      <w:r>
        <w:lastRenderedPageBreak/>
        <w:t xml:space="preserve">Wykres do przemyślenia – refleksje </w:t>
      </w:r>
    </w:p>
    <w:p w:rsidR="00962B43" w:rsidRDefault="00962B43" w:rsidP="00962B43">
      <w:pPr>
        <w:pStyle w:val="Bezodstpw"/>
        <w:jc w:val="both"/>
      </w:pPr>
    </w:p>
    <w:p w:rsidR="00962B43" w:rsidRDefault="00962B43" w:rsidP="00962B43">
      <w:pPr>
        <w:pStyle w:val="Bezodstpw"/>
        <w:jc w:val="both"/>
      </w:pPr>
      <w:r>
        <w:t xml:space="preserve">W pierwszym numerze ,,Raportu Tygodniowego” z 8 września 2014 roku pojawiły się wykresy akcji czterech spółek. Były to wykresy akcji następujących spółek: </w:t>
      </w:r>
    </w:p>
    <w:p w:rsidR="00962B43" w:rsidRDefault="00962B43" w:rsidP="00962B43">
      <w:pPr>
        <w:pStyle w:val="Bezodstpw"/>
        <w:jc w:val="both"/>
      </w:pPr>
    </w:p>
    <w:p w:rsidR="00962B43" w:rsidRDefault="00962B43" w:rsidP="00962B43">
      <w:pPr>
        <w:pStyle w:val="Bezodstpw"/>
        <w:numPr>
          <w:ilvl w:val="0"/>
          <w:numId w:val="1"/>
        </w:numPr>
        <w:jc w:val="both"/>
      </w:pPr>
      <w:proofErr w:type="spellStart"/>
      <w:r>
        <w:t>Immobile</w:t>
      </w:r>
      <w:proofErr w:type="spellEnd"/>
    </w:p>
    <w:p w:rsidR="00962B43" w:rsidRDefault="00962B43" w:rsidP="00962B43">
      <w:pPr>
        <w:pStyle w:val="Bezodstpw"/>
        <w:numPr>
          <w:ilvl w:val="0"/>
          <w:numId w:val="1"/>
        </w:numPr>
        <w:jc w:val="both"/>
      </w:pPr>
      <w:r>
        <w:t>Lena</w:t>
      </w:r>
    </w:p>
    <w:p w:rsidR="00962B43" w:rsidRDefault="00962B43" w:rsidP="00962B43">
      <w:pPr>
        <w:pStyle w:val="Bezodstpw"/>
        <w:numPr>
          <w:ilvl w:val="0"/>
          <w:numId w:val="1"/>
        </w:numPr>
        <w:jc w:val="both"/>
      </w:pPr>
      <w:proofErr w:type="spellStart"/>
      <w:r>
        <w:t>Netmedia</w:t>
      </w:r>
      <w:proofErr w:type="spellEnd"/>
      <w:r>
        <w:t xml:space="preserve"> </w:t>
      </w:r>
    </w:p>
    <w:p w:rsidR="00962B43" w:rsidRDefault="00962B43" w:rsidP="00962B43">
      <w:pPr>
        <w:pStyle w:val="Bezodstpw"/>
        <w:numPr>
          <w:ilvl w:val="0"/>
          <w:numId w:val="1"/>
        </w:numPr>
        <w:jc w:val="both"/>
      </w:pPr>
      <w:r>
        <w:t>Rafako</w:t>
      </w:r>
    </w:p>
    <w:p w:rsidR="00962B43" w:rsidRDefault="00962B43" w:rsidP="00962B43">
      <w:pPr>
        <w:pStyle w:val="Bezodstpw"/>
        <w:jc w:val="both"/>
      </w:pPr>
    </w:p>
    <w:p w:rsidR="00962B43" w:rsidRPr="00DF5937" w:rsidRDefault="00962B43" w:rsidP="00962B43">
      <w:pPr>
        <w:pStyle w:val="Bezodstpw"/>
        <w:jc w:val="both"/>
        <w:rPr>
          <w:b/>
          <w:color w:val="FF0000"/>
        </w:rPr>
      </w:pPr>
      <w:r>
        <w:t xml:space="preserve">Kryterium pojawienia się wykresu akcji danej spółki w tej rubryce jest </w:t>
      </w:r>
      <w:r w:rsidRPr="0053119C">
        <w:rPr>
          <w:b/>
        </w:rPr>
        <w:t>wybicie z formacji podwójnego dna</w:t>
      </w:r>
      <w:r>
        <w:t xml:space="preserve">. </w:t>
      </w:r>
      <w:r w:rsidRPr="00DF5937">
        <w:rPr>
          <w:b/>
          <w:color w:val="FF66FF"/>
        </w:rPr>
        <w:t xml:space="preserve">Na str. </w:t>
      </w:r>
      <w:r>
        <w:rPr>
          <w:b/>
          <w:color w:val="FF66FF"/>
        </w:rPr>
        <w:t>6</w:t>
      </w:r>
      <w:r w:rsidRPr="00DF5937">
        <w:rPr>
          <w:b/>
          <w:color w:val="FF66FF"/>
        </w:rPr>
        <w:t>-</w:t>
      </w:r>
      <w:r>
        <w:rPr>
          <w:b/>
          <w:color w:val="FF66FF"/>
        </w:rPr>
        <w:t>10</w:t>
      </w:r>
      <w:r w:rsidRPr="00DF5937">
        <w:rPr>
          <w:b/>
          <w:color w:val="FF66FF"/>
        </w:rPr>
        <w:t xml:space="preserve"> przedstawiam listę 2</w:t>
      </w:r>
      <w:r>
        <w:rPr>
          <w:b/>
          <w:color w:val="FF66FF"/>
        </w:rPr>
        <w:t>6</w:t>
      </w:r>
      <w:r w:rsidRPr="00DF5937">
        <w:rPr>
          <w:b/>
          <w:color w:val="FF66FF"/>
        </w:rPr>
        <w:t xml:space="preserve"> spółek wpisanych do rubryki ,,Wykres do przemyślenia”.</w:t>
      </w:r>
      <w:r>
        <w:t xml:space="preserve"> </w:t>
      </w:r>
      <w:r w:rsidRPr="00DF5937">
        <w:rPr>
          <w:b/>
          <w:color w:val="FF66FF"/>
        </w:rPr>
        <w:t>Osoby znającą tą listę mogą listę tą pomi</w:t>
      </w:r>
      <w:r>
        <w:rPr>
          <w:b/>
          <w:color w:val="FF66FF"/>
        </w:rPr>
        <w:t>nąć i od razu przejść na stronę 9.</w:t>
      </w:r>
    </w:p>
    <w:p w:rsidR="00962B43" w:rsidRDefault="00962B43" w:rsidP="00962B43">
      <w:pPr>
        <w:pStyle w:val="Bezodstpw"/>
        <w:jc w:val="both"/>
      </w:pPr>
    </w:p>
    <w:p w:rsidR="00962B43" w:rsidRDefault="00962B43" w:rsidP="00962B43">
      <w:pPr>
        <w:pStyle w:val="Bezodstpw"/>
        <w:jc w:val="both"/>
      </w:pPr>
      <w:r>
        <w:t xml:space="preserve">Tabela: Procentowa zmiana cen akcji czterech spółek, których akcje zostały wymienione w pierwszym numerze ,,Raportu Tygodniowego” z 8 września 2014 roku w rubryce ,,Wykres do przemyślenia” w okresie od 5 września do 12 czerwca 2015 roku oraz procentowa zmiana indeksu WIG 20 w tym okresie. </w:t>
      </w: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05.09.2014</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 xml:space="preserve">Akcja spółki </w:t>
            </w:r>
            <w:proofErr w:type="spellStart"/>
            <w:r>
              <w:t>Immobile</w:t>
            </w:r>
            <w:proofErr w:type="spellEnd"/>
          </w:p>
        </w:tc>
        <w:tc>
          <w:tcPr>
            <w:tcW w:w="2302" w:type="dxa"/>
          </w:tcPr>
          <w:p w:rsidR="00962B43" w:rsidRDefault="00962B43" w:rsidP="00BC4C8B">
            <w:pPr>
              <w:pStyle w:val="Bezodstpw"/>
              <w:jc w:val="center"/>
            </w:pPr>
            <w:r>
              <w:t>2,04 zł.</w:t>
            </w:r>
          </w:p>
        </w:tc>
        <w:tc>
          <w:tcPr>
            <w:tcW w:w="2303" w:type="dxa"/>
          </w:tcPr>
          <w:p w:rsidR="00962B43" w:rsidRDefault="00962B43" w:rsidP="00BC4C8B">
            <w:pPr>
              <w:pStyle w:val="Bezodstpw"/>
              <w:jc w:val="center"/>
            </w:pPr>
            <w:r>
              <w:t>2,38 zł.</w:t>
            </w:r>
          </w:p>
        </w:tc>
        <w:tc>
          <w:tcPr>
            <w:tcW w:w="1134" w:type="dxa"/>
          </w:tcPr>
          <w:p w:rsidR="00962B43" w:rsidRDefault="00962B43" w:rsidP="00BC4C8B">
            <w:pPr>
              <w:pStyle w:val="Bezodstpw"/>
              <w:jc w:val="center"/>
            </w:pPr>
            <w:r>
              <w:t xml:space="preserve">   +16,7 %</w:t>
            </w:r>
          </w:p>
        </w:tc>
      </w:tr>
      <w:tr w:rsidR="00962B43" w:rsidTr="00BC4C8B">
        <w:tc>
          <w:tcPr>
            <w:tcW w:w="3402" w:type="dxa"/>
          </w:tcPr>
          <w:p w:rsidR="00962B43" w:rsidRDefault="00962B43" w:rsidP="00BC4C8B">
            <w:pPr>
              <w:pStyle w:val="Bezodstpw"/>
              <w:jc w:val="center"/>
            </w:pPr>
            <w:r>
              <w:t>Akcja spółki Lena</w:t>
            </w:r>
          </w:p>
        </w:tc>
        <w:tc>
          <w:tcPr>
            <w:tcW w:w="2302" w:type="dxa"/>
          </w:tcPr>
          <w:p w:rsidR="00962B43" w:rsidRDefault="00962B43" w:rsidP="00BC4C8B">
            <w:pPr>
              <w:pStyle w:val="Bezodstpw"/>
              <w:jc w:val="center"/>
            </w:pPr>
            <w:r>
              <w:t xml:space="preserve">3,99 zł. </w:t>
            </w:r>
          </w:p>
        </w:tc>
        <w:tc>
          <w:tcPr>
            <w:tcW w:w="2303" w:type="dxa"/>
          </w:tcPr>
          <w:p w:rsidR="00962B43" w:rsidRDefault="00962B43" w:rsidP="00BC4C8B">
            <w:pPr>
              <w:pStyle w:val="Bezodstpw"/>
              <w:jc w:val="center"/>
            </w:pPr>
            <w:r>
              <w:t>4,58 zł.</w:t>
            </w:r>
          </w:p>
        </w:tc>
        <w:tc>
          <w:tcPr>
            <w:tcW w:w="1134" w:type="dxa"/>
          </w:tcPr>
          <w:p w:rsidR="00962B43" w:rsidRDefault="00962B43" w:rsidP="00BC4C8B">
            <w:pPr>
              <w:pStyle w:val="Bezodstpw"/>
              <w:jc w:val="center"/>
            </w:pPr>
            <w:r>
              <w:t xml:space="preserve">   +14,8 %</w:t>
            </w:r>
          </w:p>
        </w:tc>
      </w:tr>
      <w:tr w:rsidR="00962B43" w:rsidTr="00BC4C8B">
        <w:tc>
          <w:tcPr>
            <w:tcW w:w="3402" w:type="dxa"/>
          </w:tcPr>
          <w:p w:rsidR="00962B43" w:rsidRDefault="00962B43" w:rsidP="00BC4C8B">
            <w:pPr>
              <w:pStyle w:val="Bezodstpw"/>
              <w:jc w:val="center"/>
            </w:pPr>
            <w:r>
              <w:t xml:space="preserve">Akcja spółki  </w:t>
            </w:r>
            <w:proofErr w:type="spellStart"/>
            <w:r>
              <w:t>Netmedia</w:t>
            </w:r>
            <w:proofErr w:type="spellEnd"/>
          </w:p>
        </w:tc>
        <w:tc>
          <w:tcPr>
            <w:tcW w:w="2302" w:type="dxa"/>
          </w:tcPr>
          <w:p w:rsidR="00962B43" w:rsidRDefault="00962B43" w:rsidP="00BC4C8B">
            <w:pPr>
              <w:pStyle w:val="Bezodstpw"/>
              <w:jc w:val="center"/>
            </w:pPr>
            <w:r>
              <w:t xml:space="preserve">3,63 zł. </w:t>
            </w:r>
          </w:p>
        </w:tc>
        <w:tc>
          <w:tcPr>
            <w:tcW w:w="2303" w:type="dxa"/>
          </w:tcPr>
          <w:p w:rsidR="00962B43" w:rsidRDefault="00962B43" w:rsidP="00BC4C8B">
            <w:pPr>
              <w:pStyle w:val="Bezodstpw"/>
              <w:jc w:val="center"/>
            </w:pPr>
            <w:r>
              <w:t>6,15 zł.</w:t>
            </w:r>
          </w:p>
        </w:tc>
        <w:tc>
          <w:tcPr>
            <w:tcW w:w="1134" w:type="dxa"/>
          </w:tcPr>
          <w:p w:rsidR="00962B43" w:rsidRDefault="00962B43" w:rsidP="00BC4C8B">
            <w:pPr>
              <w:pStyle w:val="Bezodstpw"/>
              <w:jc w:val="center"/>
            </w:pPr>
            <w:r>
              <w:t xml:space="preserve">   +69,4 %</w:t>
            </w:r>
          </w:p>
        </w:tc>
      </w:tr>
      <w:tr w:rsidR="00962B43" w:rsidTr="00BC4C8B">
        <w:tc>
          <w:tcPr>
            <w:tcW w:w="3402" w:type="dxa"/>
          </w:tcPr>
          <w:p w:rsidR="00962B43" w:rsidRDefault="00962B43" w:rsidP="00BC4C8B">
            <w:pPr>
              <w:pStyle w:val="Bezodstpw"/>
              <w:jc w:val="center"/>
            </w:pPr>
            <w:r>
              <w:t>Akcja spółki Rafako</w:t>
            </w:r>
          </w:p>
        </w:tc>
        <w:tc>
          <w:tcPr>
            <w:tcW w:w="2302" w:type="dxa"/>
            <w:tcBorders>
              <w:bottom w:val="single" w:sz="4" w:space="0" w:color="auto"/>
            </w:tcBorders>
          </w:tcPr>
          <w:p w:rsidR="00962B43" w:rsidRDefault="00962B43" w:rsidP="00BC4C8B">
            <w:pPr>
              <w:pStyle w:val="Bezodstpw"/>
              <w:jc w:val="center"/>
            </w:pPr>
            <w:r>
              <w:t xml:space="preserve">4,25 zł. </w:t>
            </w:r>
          </w:p>
        </w:tc>
        <w:tc>
          <w:tcPr>
            <w:tcW w:w="2303" w:type="dxa"/>
            <w:tcBorders>
              <w:bottom w:val="single" w:sz="4" w:space="0" w:color="auto"/>
            </w:tcBorders>
          </w:tcPr>
          <w:p w:rsidR="00962B43" w:rsidRDefault="00962B43" w:rsidP="00BC4C8B">
            <w:pPr>
              <w:pStyle w:val="Bezodstpw"/>
              <w:jc w:val="center"/>
            </w:pPr>
            <w:r>
              <w:t xml:space="preserve"> 6,44 zł.</w:t>
            </w:r>
          </w:p>
        </w:tc>
        <w:tc>
          <w:tcPr>
            <w:tcW w:w="1134" w:type="dxa"/>
          </w:tcPr>
          <w:p w:rsidR="00962B43" w:rsidRDefault="00962B43" w:rsidP="00BC4C8B">
            <w:pPr>
              <w:pStyle w:val="Bezodstpw"/>
              <w:jc w:val="center"/>
            </w:pPr>
            <w:r>
              <w:t xml:space="preserve">   +51,5 %</w:t>
            </w:r>
          </w:p>
        </w:tc>
      </w:tr>
      <w:tr w:rsidR="00962B43"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 xml:space="preserve">    +38,1 %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2 541,42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 xml:space="preserve">     -7,2 %</w:t>
            </w:r>
          </w:p>
        </w:tc>
      </w:tr>
    </w:tbl>
    <w:p w:rsidR="00962B43" w:rsidRDefault="00962B43" w:rsidP="00962B43">
      <w:pPr>
        <w:pStyle w:val="Bezodstpw"/>
        <w:jc w:val="both"/>
      </w:pPr>
      <w:r>
        <w:t xml:space="preserve">Tabela: Procentowa zmiana ceny akcji spółki, której akcje zostały wymienione w drugim numerze ,,Raportu Tygodniowego” z 15 września 2014 roku w rubryce ,,Wykres do przemyślenia” w okresie od 12 września do 12 czerwca 2015 roku oraz procentowa zmiana indeksu WIG 20 w tym okresie. </w:t>
      </w: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12.09.2014</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Akcja spółki Boryszew</w:t>
            </w:r>
          </w:p>
        </w:tc>
        <w:tc>
          <w:tcPr>
            <w:tcW w:w="2302" w:type="dxa"/>
          </w:tcPr>
          <w:p w:rsidR="00962B43" w:rsidRDefault="00962B43" w:rsidP="00BC4C8B">
            <w:pPr>
              <w:pStyle w:val="Bezodstpw"/>
              <w:jc w:val="center"/>
            </w:pPr>
            <w:r>
              <w:t>6,50 zł.</w:t>
            </w:r>
          </w:p>
        </w:tc>
        <w:tc>
          <w:tcPr>
            <w:tcW w:w="2303" w:type="dxa"/>
          </w:tcPr>
          <w:p w:rsidR="00962B43" w:rsidRDefault="00962B43" w:rsidP="00BC4C8B">
            <w:pPr>
              <w:pStyle w:val="Bezodstpw"/>
              <w:jc w:val="center"/>
            </w:pPr>
            <w:r>
              <w:t xml:space="preserve">6,01 zł. </w:t>
            </w:r>
          </w:p>
        </w:tc>
        <w:tc>
          <w:tcPr>
            <w:tcW w:w="1134" w:type="dxa"/>
          </w:tcPr>
          <w:p w:rsidR="00962B43" w:rsidRDefault="00962B43" w:rsidP="00BC4C8B">
            <w:pPr>
              <w:pStyle w:val="Bezodstpw"/>
              <w:jc w:val="center"/>
            </w:pPr>
            <w:r>
              <w:t xml:space="preserve">  -7,5 %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 xml:space="preserve">  -7,5 %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2 497,38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 xml:space="preserve">    -5,6 %</w:t>
            </w:r>
          </w:p>
        </w:tc>
      </w:tr>
    </w:tbl>
    <w:p w:rsidR="00962B43" w:rsidRDefault="00962B43" w:rsidP="00962B43">
      <w:pPr>
        <w:pStyle w:val="Bezodstpw"/>
        <w:jc w:val="both"/>
      </w:pPr>
      <w:r>
        <w:t xml:space="preserve">Tabela: Procentowa zmiana ceny akcji spółki, której akcje zostały umieszczone 16 września na stronie internetowej </w:t>
      </w:r>
      <w:hyperlink r:id="rId10" w:history="1">
        <w:r w:rsidRPr="003C5ED1">
          <w:rPr>
            <w:rStyle w:val="Hipercze"/>
          </w:rPr>
          <w:t>www.analizy-rynkowe.pl</w:t>
        </w:r>
      </w:hyperlink>
      <w:r>
        <w:t xml:space="preserve"> w rubryce  ,,Wykres do przemyślenia” w okresie od 15 września do 12 czerwca 2015 roku oraz procentowa zmiana indeksu WIG 20 w tym okresie. </w:t>
      </w: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15.09.2014</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 xml:space="preserve">Akcja spółki </w:t>
            </w:r>
            <w:proofErr w:type="spellStart"/>
            <w:r>
              <w:t>Erbud</w:t>
            </w:r>
            <w:proofErr w:type="spellEnd"/>
          </w:p>
        </w:tc>
        <w:tc>
          <w:tcPr>
            <w:tcW w:w="2302" w:type="dxa"/>
          </w:tcPr>
          <w:p w:rsidR="00962B43" w:rsidRDefault="00962B43" w:rsidP="00BC4C8B">
            <w:pPr>
              <w:pStyle w:val="Bezodstpw"/>
              <w:jc w:val="center"/>
            </w:pPr>
            <w:r>
              <w:t>26,50 zł.</w:t>
            </w:r>
          </w:p>
        </w:tc>
        <w:tc>
          <w:tcPr>
            <w:tcW w:w="2303" w:type="dxa"/>
          </w:tcPr>
          <w:p w:rsidR="00962B43" w:rsidRDefault="00962B43" w:rsidP="00BC4C8B">
            <w:pPr>
              <w:pStyle w:val="Bezodstpw"/>
              <w:jc w:val="center"/>
            </w:pPr>
            <w:r>
              <w:t>33,01 zł.</w:t>
            </w:r>
          </w:p>
        </w:tc>
        <w:tc>
          <w:tcPr>
            <w:tcW w:w="1134" w:type="dxa"/>
          </w:tcPr>
          <w:p w:rsidR="00962B43" w:rsidRDefault="00962B43" w:rsidP="00BC4C8B">
            <w:pPr>
              <w:pStyle w:val="Bezodstpw"/>
              <w:jc w:val="center"/>
            </w:pPr>
            <w:r>
              <w:t xml:space="preserve">  24,6 %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 xml:space="preserve">  24,6 %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2 489,77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 xml:space="preserve"> -5,3 %</w:t>
            </w:r>
          </w:p>
        </w:tc>
      </w:tr>
    </w:tbl>
    <w:p w:rsidR="00962B43" w:rsidRDefault="00962B43" w:rsidP="00962B43">
      <w:pPr>
        <w:pStyle w:val="Bezodstpw"/>
        <w:jc w:val="both"/>
      </w:pPr>
      <w:r>
        <w:t xml:space="preserve">Tabela: Procentowa zmiana ceny akcji spółki, której akcje zostały wymienione w trzecim numerze ,,Raportu Tygodniowego” z 22 września 2014 roku w rubryce ,,Wykres do przemyślenia” w okresie od 19 września do 12 czerwca 2015 roku oraz procentowa zmiana indeksu WIG 20 w tym okresie. </w:t>
      </w: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19.09.2014</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Akcja spółki IF Capital</w:t>
            </w:r>
          </w:p>
        </w:tc>
        <w:tc>
          <w:tcPr>
            <w:tcW w:w="2302" w:type="dxa"/>
          </w:tcPr>
          <w:p w:rsidR="00962B43" w:rsidRDefault="00962B43" w:rsidP="00BC4C8B">
            <w:pPr>
              <w:pStyle w:val="Bezodstpw"/>
              <w:jc w:val="center"/>
            </w:pPr>
            <w:r>
              <w:t>1,32 zł.</w:t>
            </w:r>
          </w:p>
        </w:tc>
        <w:tc>
          <w:tcPr>
            <w:tcW w:w="2303" w:type="dxa"/>
          </w:tcPr>
          <w:p w:rsidR="00962B43" w:rsidRDefault="00962B43" w:rsidP="00BC4C8B">
            <w:pPr>
              <w:pStyle w:val="Bezodstpw"/>
              <w:jc w:val="center"/>
            </w:pPr>
            <w:r>
              <w:t>1,12 zł.</w:t>
            </w:r>
          </w:p>
        </w:tc>
        <w:tc>
          <w:tcPr>
            <w:tcW w:w="1134" w:type="dxa"/>
          </w:tcPr>
          <w:p w:rsidR="00962B43" w:rsidRDefault="00962B43" w:rsidP="00BC4C8B">
            <w:pPr>
              <w:pStyle w:val="Bezodstpw"/>
              <w:jc w:val="center"/>
            </w:pPr>
            <w:r>
              <w:t>-15,2 %</w:t>
            </w:r>
          </w:p>
        </w:tc>
      </w:tr>
      <w:tr w:rsidR="00962B43" w:rsidRPr="008F668F" w:rsidTr="00BC4C8B">
        <w:trPr>
          <w:trHeight w:val="310"/>
        </w:trPr>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-15,2 %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2 497,38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-5,6 %</w:t>
            </w:r>
          </w:p>
        </w:tc>
      </w:tr>
    </w:tbl>
    <w:p w:rsidR="00962B43" w:rsidRDefault="00962B43" w:rsidP="00962B43">
      <w:pPr>
        <w:pStyle w:val="Bezodstpw"/>
        <w:jc w:val="both"/>
      </w:pPr>
      <w:r>
        <w:lastRenderedPageBreak/>
        <w:t xml:space="preserve">Tabela: Procentowa zmiana ceny akcji spółki, której akcje zostały umieszczone 25 września na stronie internetowej </w:t>
      </w:r>
      <w:hyperlink r:id="rId11" w:history="1">
        <w:r w:rsidRPr="003C5ED1">
          <w:rPr>
            <w:rStyle w:val="Hipercze"/>
          </w:rPr>
          <w:t>www.analizy-rynkowe.pl</w:t>
        </w:r>
      </w:hyperlink>
      <w:r>
        <w:t xml:space="preserve"> w rubryce  ,,Wykres do przemyślenia” w okresie od 24 września do 12 czerwca 12 roku oraz procentowa zmiana indeksu WIG 20 w tym okresie. </w:t>
      </w:r>
    </w:p>
    <w:p w:rsidR="00962B43" w:rsidRDefault="00962B43" w:rsidP="00962B43">
      <w:pPr>
        <w:pStyle w:val="Bezodstpw"/>
        <w:jc w:val="both"/>
      </w:pP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24.09.2014</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Akcja spółki Capital Partners</w:t>
            </w:r>
          </w:p>
        </w:tc>
        <w:tc>
          <w:tcPr>
            <w:tcW w:w="2302" w:type="dxa"/>
          </w:tcPr>
          <w:p w:rsidR="00962B43" w:rsidRDefault="00962B43" w:rsidP="00BC4C8B">
            <w:pPr>
              <w:pStyle w:val="Bezodstpw"/>
              <w:jc w:val="center"/>
            </w:pPr>
            <w:r>
              <w:t>1,85 zł.</w:t>
            </w:r>
          </w:p>
        </w:tc>
        <w:tc>
          <w:tcPr>
            <w:tcW w:w="2303" w:type="dxa"/>
          </w:tcPr>
          <w:p w:rsidR="00962B43" w:rsidRDefault="00962B43" w:rsidP="00BC4C8B">
            <w:pPr>
              <w:pStyle w:val="Bezodstpw"/>
              <w:jc w:val="center"/>
            </w:pPr>
            <w:r>
              <w:t>2,48 zł.</w:t>
            </w:r>
          </w:p>
        </w:tc>
        <w:tc>
          <w:tcPr>
            <w:tcW w:w="1134" w:type="dxa"/>
          </w:tcPr>
          <w:p w:rsidR="00962B43" w:rsidRDefault="00962B43" w:rsidP="00BC4C8B">
            <w:pPr>
              <w:pStyle w:val="Bezodstpw"/>
              <w:jc w:val="center"/>
            </w:pPr>
            <w:r>
              <w:t>+34,1 %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+34,1 %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2 489,77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 xml:space="preserve">  -5,3 %</w:t>
            </w:r>
          </w:p>
        </w:tc>
      </w:tr>
    </w:tbl>
    <w:p w:rsidR="00962B43" w:rsidRDefault="00962B43" w:rsidP="00962B43">
      <w:pPr>
        <w:pStyle w:val="Bezodstpw"/>
        <w:jc w:val="both"/>
      </w:pPr>
    </w:p>
    <w:p w:rsidR="00962B43" w:rsidRDefault="00962B43" w:rsidP="00962B43">
      <w:pPr>
        <w:pStyle w:val="Bezodstpw"/>
        <w:jc w:val="both"/>
      </w:pPr>
      <w:r>
        <w:t xml:space="preserve">Tabela: Procentowa zmiana cen akcji trzech spółek, których akcje zostały wymienione w czwartym numerze ,,Raportu Tygodniowego” z 29 września 2014 roku w rubryce ,,Wykres do przemyślenia” w okresie od 30 września do 12 czerwca 2015 roku oraz procentowa zmiana indeksu WIG 20 w tym okresie. </w:t>
      </w: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26.09.2014</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 xml:space="preserve">Akcja spółki </w:t>
            </w:r>
            <w:proofErr w:type="spellStart"/>
            <w:r>
              <w:t>Asseco</w:t>
            </w:r>
            <w:proofErr w:type="spellEnd"/>
            <w:r>
              <w:t xml:space="preserve"> Poland </w:t>
            </w:r>
          </w:p>
        </w:tc>
        <w:tc>
          <w:tcPr>
            <w:tcW w:w="2302" w:type="dxa"/>
          </w:tcPr>
          <w:p w:rsidR="00962B43" w:rsidRDefault="00962B43" w:rsidP="00BC4C8B">
            <w:pPr>
              <w:pStyle w:val="Bezodstpw"/>
              <w:jc w:val="center"/>
            </w:pPr>
            <w:r>
              <w:t xml:space="preserve">45,64 zł. </w:t>
            </w:r>
          </w:p>
        </w:tc>
        <w:tc>
          <w:tcPr>
            <w:tcW w:w="2303" w:type="dxa"/>
          </w:tcPr>
          <w:p w:rsidR="00962B43" w:rsidRDefault="00962B43" w:rsidP="00BC4C8B">
            <w:pPr>
              <w:pStyle w:val="Bezodstpw"/>
              <w:jc w:val="center"/>
            </w:pPr>
            <w:r>
              <w:t>58,74 zł.</w:t>
            </w:r>
          </w:p>
        </w:tc>
        <w:tc>
          <w:tcPr>
            <w:tcW w:w="1134" w:type="dxa"/>
          </w:tcPr>
          <w:p w:rsidR="00962B43" w:rsidRDefault="00962B43" w:rsidP="00BC4C8B">
            <w:pPr>
              <w:pStyle w:val="Bezodstpw"/>
              <w:jc w:val="center"/>
            </w:pPr>
            <w:r>
              <w:t xml:space="preserve"> +28,7 %</w:t>
            </w:r>
          </w:p>
        </w:tc>
      </w:tr>
      <w:tr w:rsidR="00962B43" w:rsidTr="00BC4C8B">
        <w:tc>
          <w:tcPr>
            <w:tcW w:w="3402" w:type="dxa"/>
          </w:tcPr>
          <w:p w:rsidR="00962B43" w:rsidRDefault="00962B43" w:rsidP="00BC4C8B">
            <w:pPr>
              <w:pStyle w:val="Bezodstpw"/>
              <w:jc w:val="center"/>
            </w:pPr>
            <w:r>
              <w:t>Akcja spółki  CD Projekt</w:t>
            </w:r>
          </w:p>
        </w:tc>
        <w:tc>
          <w:tcPr>
            <w:tcW w:w="2302" w:type="dxa"/>
          </w:tcPr>
          <w:p w:rsidR="00962B43" w:rsidRDefault="00962B43" w:rsidP="00BC4C8B">
            <w:pPr>
              <w:pStyle w:val="Bezodstpw"/>
              <w:jc w:val="center"/>
            </w:pPr>
            <w:r>
              <w:t xml:space="preserve">16,59 zł. </w:t>
            </w:r>
          </w:p>
        </w:tc>
        <w:tc>
          <w:tcPr>
            <w:tcW w:w="2303" w:type="dxa"/>
          </w:tcPr>
          <w:p w:rsidR="00962B43" w:rsidRDefault="00962B43" w:rsidP="00BC4C8B">
            <w:pPr>
              <w:pStyle w:val="Bezodstpw"/>
              <w:jc w:val="center"/>
            </w:pPr>
            <w:r>
              <w:t>22,56 zł.</w:t>
            </w:r>
          </w:p>
        </w:tc>
        <w:tc>
          <w:tcPr>
            <w:tcW w:w="1134" w:type="dxa"/>
          </w:tcPr>
          <w:p w:rsidR="00962B43" w:rsidRDefault="00962B43" w:rsidP="00BC4C8B">
            <w:pPr>
              <w:pStyle w:val="Bezodstpw"/>
              <w:jc w:val="center"/>
            </w:pPr>
            <w:r>
              <w:t xml:space="preserve">  +36,0 %</w:t>
            </w:r>
          </w:p>
        </w:tc>
      </w:tr>
      <w:tr w:rsidR="00962B43" w:rsidTr="00BC4C8B">
        <w:tc>
          <w:tcPr>
            <w:tcW w:w="3402" w:type="dxa"/>
          </w:tcPr>
          <w:p w:rsidR="00962B43" w:rsidRDefault="00962B43" w:rsidP="00BC4C8B">
            <w:pPr>
              <w:pStyle w:val="Bezodstpw"/>
              <w:jc w:val="center"/>
            </w:pPr>
            <w:r>
              <w:t xml:space="preserve">Akcja spółki </w:t>
            </w:r>
            <w:proofErr w:type="spellStart"/>
            <w:r>
              <w:t>Sygnity</w:t>
            </w:r>
            <w:proofErr w:type="spellEnd"/>
            <w:r>
              <w:t xml:space="preserve"> </w:t>
            </w:r>
          </w:p>
        </w:tc>
        <w:tc>
          <w:tcPr>
            <w:tcW w:w="2302" w:type="dxa"/>
            <w:tcBorders>
              <w:bottom w:val="single" w:sz="4" w:space="0" w:color="auto"/>
            </w:tcBorders>
          </w:tcPr>
          <w:p w:rsidR="00962B43" w:rsidRDefault="00962B43" w:rsidP="00BC4C8B">
            <w:pPr>
              <w:pStyle w:val="Bezodstpw"/>
              <w:jc w:val="center"/>
            </w:pPr>
            <w:r>
              <w:t>17,60 zł.</w:t>
            </w:r>
          </w:p>
        </w:tc>
        <w:tc>
          <w:tcPr>
            <w:tcW w:w="2303" w:type="dxa"/>
            <w:tcBorders>
              <w:bottom w:val="single" w:sz="4" w:space="0" w:color="auto"/>
            </w:tcBorders>
          </w:tcPr>
          <w:p w:rsidR="00962B43" w:rsidRDefault="00962B43" w:rsidP="00BC4C8B">
            <w:pPr>
              <w:pStyle w:val="Bezodstpw"/>
              <w:jc w:val="center"/>
            </w:pPr>
            <w:r>
              <w:t>11,13 zł.</w:t>
            </w:r>
          </w:p>
        </w:tc>
        <w:tc>
          <w:tcPr>
            <w:tcW w:w="1134" w:type="dxa"/>
          </w:tcPr>
          <w:p w:rsidR="00962B43" w:rsidRDefault="00962B43" w:rsidP="00BC4C8B">
            <w:pPr>
              <w:pStyle w:val="Bezodstpw"/>
              <w:jc w:val="center"/>
            </w:pPr>
            <w:r>
              <w:t>- 36,8 %</w:t>
            </w:r>
          </w:p>
        </w:tc>
      </w:tr>
      <w:tr w:rsidR="00962B43"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 xml:space="preserve"> +9,3 %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2484,02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 xml:space="preserve">  - 5,0 %</w:t>
            </w:r>
          </w:p>
        </w:tc>
      </w:tr>
    </w:tbl>
    <w:p w:rsidR="00962B43" w:rsidRDefault="00962B43" w:rsidP="00962B43">
      <w:pPr>
        <w:pStyle w:val="Bezodstpw"/>
        <w:jc w:val="both"/>
      </w:pPr>
    </w:p>
    <w:p w:rsidR="00962B43" w:rsidRDefault="00962B43" w:rsidP="00962B43">
      <w:pPr>
        <w:pStyle w:val="Bezodstpw"/>
        <w:jc w:val="both"/>
      </w:pPr>
      <w:r>
        <w:t xml:space="preserve">Tabela: Procentowa zmiana ceny akcji spółki, której akcje zostały wymienione w piątym numerze ,,Raportu Tygodniowego” z 6 października 2014 roku w rubryce ,,Wykres do przemyślenia” w okresie od 3 października do 12 czerwca 2015 roku oraz procentowa zmiana indeksu WIG 20 w tym okresie. </w:t>
      </w:r>
    </w:p>
    <w:p w:rsidR="00962B43" w:rsidRDefault="00962B43" w:rsidP="00962B43">
      <w:pPr>
        <w:pStyle w:val="Bezodstpw"/>
        <w:jc w:val="both"/>
      </w:pP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03.10.2014</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Akcja spółki Stalprodukt</w:t>
            </w:r>
          </w:p>
        </w:tc>
        <w:tc>
          <w:tcPr>
            <w:tcW w:w="2302" w:type="dxa"/>
          </w:tcPr>
          <w:p w:rsidR="00962B43" w:rsidRDefault="00962B43" w:rsidP="00BC4C8B">
            <w:pPr>
              <w:pStyle w:val="Bezodstpw"/>
              <w:jc w:val="center"/>
            </w:pPr>
            <w:r>
              <w:t>244,10 zł.</w:t>
            </w:r>
          </w:p>
        </w:tc>
        <w:tc>
          <w:tcPr>
            <w:tcW w:w="2303" w:type="dxa"/>
          </w:tcPr>
          <w:p w:rsidR="00962B43" w:rsidRDefault="00962B43" w:rsidP="00BC4C8B">
            <w:pPr>
              <w:pStyle w:val="Bezodstpw"/>
              <w:jc w:val="center"/>
            </w:pPr>
            <w:r>
              <w:t>470,00 zł.</w:t>
            </w:r>
          </w:p>
        </w:tc>
        <w:tc>
          <w:tcPr>
            <w:tcW w:w="1134" w:type="dxa"/>
          </w:tcPr>
          <w:p w:rsidR="00962B43" w:rsidRDefault="00962B43" w:rsidP="00BC4C8B">
            <w:pPr>
              <w:pStyle w:val="Bezodstpw"/>
              <w:jc w:val="center"/>
            </w:pPr>
            <w:r>
              <w:t>+92,5 %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+92,5 %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2 444,06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 xml:space="preserve"> -3,5 %</w:t>
            </w:r>
          </w:p>
        </w:tc>
      </w:tr>
    </w:tbl>
    <w:p w:rsidR="00962B43" w:rsidRDefault="00962B43" w:rsidP="00962B43">
      <w:pPr>
        <w:pStyle w:val="Bezodstpw"/>
        <w:jc w:val="both"/>
      </w:pPr>
      <w:r>
        <w:t xml:space="preserve">Tabela: Procentowa zmiana ceny akcji spółki, której akcje zostały wymienione w szóstym numerze ,,Raportu Tygodniowego” z 20 października 2014 roku w rubryce ,,Wykres do przemyślenia” w okresie od 17 września 12 czerwca 2015 roku oraz procentowa zmiana indeksu WIG 20 w tym okresie. </w:t>
      </w: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17.10.2014</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 xml:space="preserve">Akcja spółki </w:t>
            </w:r>
            <w:proofErr w:type="spellStart"/>
            <w:r>
              <w:t>Tauron</w:t>
            </w:r>
            <w:proofErr w:type="spellEnd"/>
            <w:r>
              <w:t xml:space="preserve"> Polska Energia</w:t>
            </w:r>
          </w:p>
        </w:tc>
        <w:tc>
          <w:tcPr>
            <w:tcW w:w="2302" w:type="dxa"/>
          </w:tcPr>
          <w:p w:rsidR="00962B43" w:rsidRDefault="00962B43" w:rsidP="00BC4C8B">
            <w:pPr>
              <w:pStyle w:val="Bezodstpw"/>
              <w:jc w:val="center"/>
            </w:pPr>
            <w:r>
              <w:t>5,21 zł.</w:t>
            </w:r>
          </w:p>
        </w:tc>
        <w:tc>
          <w:tcPr>
            <w:tcW w:w="2303" w:type="dxa"/>
          </w:tcPr>
          <w:p w:rsidR="00962B43" w:rsidRDefault="00962B43" w:rsidP="00BC4C8B">
            <w:pPr>
              <w:pStyle w:val="Bezodstpw"/>
              <w:jc w:val="center"/>
            </w:pPr>
            <w:r>
              <w:t xml:space="preserve">4,47 zł. </w:t>
            </w:r>
          </w:p>
        </w:tc>
        <w:tc>
          <w:tcPr>
            <w:tcW w:w="1134" w:type="dxa"/>
          </w:tcPr>
          <w:p w:rsidR="00962B43" w:rsidRDefault="00962B43" w:rsidP="00BC4C8B">
            <w:pPr>
              <w:pStyle w:val="Bezodstpw"/>
              <w:jc w:val="center"/>
            </w:pPr>
            <w:r>
              <w:t xml:space="preserve">  -14,2 %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 xml:space="preserve">  -14,2 %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2 401,13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 xml:space="preserve">    -1,8 %</w:t>
            </w:r>
          </w:p>
        </w:tc>
      </w:tr>
    </w:tbl>
    <w:p w:rsidR="00962B43" w:rsidRDefault="00962B43" w:rsidP="00962B43">
      <w:pPr>
        <w:pStyle w:val="Bezodstpw"/>
        <w:jc w:val="both"/>
      </w:pPr>
      <w:r>
        <w:t xml:space="preserve">Tabela: Procentowa zmiana ceny akcji spółki, której akcje zostały umieszczone 22 października na stronie internetowej </w:t>
      </w:r>
      <w:hyperlink r:id="rId12" w:history="1">
        <w:r w:rsidRPr="003C5ED1">
          <w:rPr>
            <w:rStyle w:val="Hipercze"/>
          </w:rPr>
          <w:t>www.analizy-rynkowe.pl</w:t>
        </w:r>
      </w:hyperlink>
      <w:r>
        <w:t xml:space="preserve"> w rubryce  ,,Wykres do przemyślenia” w okresie od 21 października do 12 czerwca 2015 roku oraz procentowa zmiana indeksu WIG 20 w tym okresie. </w:t>
      </w: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21.10.2014</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 xml:space="preserve">Akcja spółki </w:t>
            </w:r>
            <w:proofErr w:type="spellStart"/>
            <w:r>
              <w:t>Elektrotim</w:t>
            </w:r>
            <w:proofErr w:type="spellEnd"/>
            <w:r>
              <w:t xml:space="preserve"> </w:t>
            </w:r>
          </w:p>
        </w:tc>
        <w:tc>
          <w:tcPr>
            <w:tcW w:w="2302" w:type="dxa"/>
            <w:tcBorders>
              <w:bottom w:val="single" w:sz="4" w:space="0" w:color="auto"/>
            </w:tcBorders>
          </w:tcPr>
          <w:p w:rsidR="00962B43" w:rsidRDefault="00962B43" w:rsidP="00BC4C8B">
            <w:pPr>
              <w:pStyle w:val="Bezodstpw"/>
              <w:jc w:val="center"/>
            </w:pPr>
            <w:r>
              <w:t>8,70 zł.</w:t>
            </w:r>
          </w:p>
        </w:tc>
        <w:tc>
          <w:tcPr>
            <w:tcW w:w="2303" w:type="dxa"/>
            <w:tcBorders>
              <w:bottom w:val="single" w:sz="4" w:space="0" w:color="auto"/>
            </w:tcBorders>
          </w:tcPr>
          <w:p w:rsidR="00962B43" w:rsidRDefault="00962B43" w:rsidP="00BC4C8B">
            <w:pPr>
              <w:pStyle w:val="Bezodstpw"/>
              <w:jc w:val="center"/>
            </w:pPr>
            <w:r>
              <w:t>12,80 zł.</w:t>
            </w:r>
          </w:p>
        </w:tc>
        <w:tc>
          <w:tcPr>
            <w:tcW w:w="1134" w:type="dxa"/>
          </w:tcPr>
          <w:p w:rsidR="00962B43" w:rsidRDefault="00962B43" w:rsidP="00BC4C8B">
            <w:pPr>
              <w:pStyle w:val="Bezodstpw"/>
              <w:jc w:val="center"/>
            </w:pPr>
            <w:r>
              <w:t>+ 47,1 %</w:t>
            </w:r>
          </w:p>
        </w:tc>
      </w:tr>
      <w:tr w:rsidR="00962B43" w:rsidRPr="008F668F" w:rsidTr="00BC4C8B">
        <w:tc>
          <w:tcPr>
            <w:tcW w:w="3402" w:type="dxa"/>
          </w:tcPr>
          <w:p w:rsidR="00962B43" w:rsidRPr="008F668F" w:rsidRDefault="00962B43" w:rsidP="00BC4C8B">
            <w:pPr>
              <w:pStyle w:val="Bezodstpw"/>
              <w:jc w:val="center"/>
              <w:rPr>
                <w:b/>
                <w:color w:val="FF0000"/>
              </w:rPr>
            </w:pPr>
            <w:r>
              <w:t>Akcja spółki Relpol</w:t>
            </w:r>
          </w:p>
        </w:tc>
        <w:tc>
          <w:tcPr>
            <w:tcW w:w="2302" w:type="dxa"/>
            <w:tcBorders>
              <w:right w:val="single" w:sz="4" w:space="0" w:color="auto"/>
            </w:tcBorders>
          </w:tcPr>
          <w:p w:rsidR="00962B43" w:rsidRPr="00A556F3" w:rsidRDefault="00962B43" w:rsidP="00BC4C8B">
            <w:pPr>
              <w:pStyle w:val="Bezodstpw"/>
              <w:jc w:val="center"/>
              <w:rPr>
                <w:color w:val="000000" w:themeColor="text1"/>
              </w:rPr>
            </w:pPr>
            <w:r w:rsidRPr="00A556F3">
              <w:rPr>
                <w:color w:val="000000" w:themeColor="text1"/>
              </w:rPr>
              <w:t xml:space="preserve">6,93 zł. </w:t>
            </w:r>
          </w:p>
        </w:tc>
        <w:tc>
          <w:tcPr>
            <w:tcW w:w="2303" w:type="dxa"/>
            <w:tcBorders>
              <w:left w:val="single" w:sz="4" w:space="0" w:color="auto"/>
            </w:tcBorders>
          </w:tcPr>
          <w:p w:rsidR="00962B43" w:rsidRPr="00A556F3" w:rsidRDefault="00962B43" w:rsidP="00BC4C8B">
            <w:pPr>
              <w:pStyle w:val="Bezodstpw"/>
              <w:jc w:val="center"/>
              <w:rPr>
                <w:color w:val="000000" w:themeColor="text1"/>
              </w:rPr>
            </w:pPr>
            <w:r>
              <w:rPr>
                <w:color w:val="000000" w:themeColor="text1"/>
              </w:rPr>
              <w:t xml:space="preserve">7,42 zł. </w:t>
            </w:r>
          </w:p>
        </w:tc>
        <w:tc>
          <w:tcPr>
            <w:tcW w:w="1134" w:type="dxa"/>
          </w:tcPr>
          <w:p w:rsidR="00962B43" w:rsidRPr="00A556F3" w:rsidRDefault="00962B43" w:rsidP="00BC4C8B">
            <w:pPr>
              <w:pStyle w:val="Bezodstpw"/>
              <w:jc w:val="center"/>
              <w:rPr>
                <w:color w:val="000000" w:themeColor="text1"/>
              </w:rPr>
            </w:pPr>
            <w:r>
              <w:rPr>
                <w:color w:val="000000" w:themeColor="text1"/>
              </w:rPr>
              <w:t xml:space="preserve">    +7,1  %</w:t>
            </w:r>
          </w:p>
        </w:tc>
      </w:tr>
      <w:tr w:rsidR="00962B43" w:rsidTr="00BC4C8B">
        <w:tc>
          <w:tcPr>
            <w:tcW w:w="3402" w:type="dxa"/>
          </w:tcPr>
          <w:p w:rsidR="00962B43" w:rsidRPr="00A556F3" w:rsidRDefault="00962B43" w:rsidP="00BC4C8B">
            <w:pPr>
              <w:pStyle w:val="Bezodstpw"/>
              <w:jc w:val="center"/>
              <w:rPr>
                <w:b/>
                <w:color w:val="FF0000"/>
              </w:rPr>
            </w:pPr>
            <w:r w:rsidRPr="00A556F3">
              <w:rPr>
                <w:b/>
                <w:color w:val="FF0000"/>
              </w:rPr>
              <w:t>Średnio</w:t>
            </w:r>
          </w:p>
        </w:tc>
        <w:tc>
          <w:tcPr>
            <w:tcW w:w="2302" w:type="dxa"/>
          </w:tcPr>
          <w:p w:rsidR="00962B43" w:rsidRDefault="00962B43" w:rsidP="00BC4C8B">
            <w:pPr>
              <w:pStyle w:val="Bezodstpw"/>
              <w:jc w:val="center"/>
            </w:pPr>
          </w:p>
        </w:tc>
        <w:tc>
          <w:tcPr>
            <w:tcW w:w="2303" w:type="dxa"/>
          </w:tcPr>
          <w:p w:rsidR="00962B43" w:rsidRDefault="00962B43" w:rsidP="00BC4C8B">
            <w:pPr>
              <w:pStyle w:val="Bezodstpw"/>
              <w:jc w:val="center"/>
            </w:pPr>
          </w:p>
        </w:tc>
        <w:tc>
          <w:tcPr>
            <w:tcW w:w="1134" w:type="dxa"/>
          </w:tcPr>
          <w:p w:rsidR="00962B43" w:rsidRPr="00581996" w:rsidRDefault="00962B43" w:rsidP="00BC4C8B">
            <w:pPr>
              <w:pStyle w:val="Bezodstpw"/>
              <w:jc w:val="center"/>
              <w:rPr>
                <w:b/>
                <w:color w:val="FF0000"/>
              </w:rPr>
            </w:pPr>
            <w:r>
              <w:rPr>
                <w:b/>
                <w:color w:val="FF0000"/>
              </w:rPr>
              <w:t xml:space="preserve">   + 27</w:t>
            </w:r>
            <w:r w:rsidRPr="00581996">
              <w:rPr>
                <w:b/>
                <w:color w:val="FF0000"/>
              </w:rPr>
              <w:t>,</w:t>
            </w:r>
            <w:r>
              <w:rPr>
                <w:b/>
                <w:color w:val="FF0000"/>
              </w:rPr>
              <w:t>1 %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2 423,29,77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 xml:space="preserve">  -2,7 % </w:t>
            </w:r>
          </w:p>
        </w:tc>
      </w:tr>
    </w:tbl>
    <w:p w:rsidR="00962B43" w:rsidRDefault="00962B43" w:rsidP="00962B43">
      <w:pPr>
        <w:pStyle w:val="Bezodstpw"/>
        <w:jc w:val="both"/>
      </w:pPr>
    </w:p>
    <w:p w:rsidR="00962B43" w:rsidRDefault="00962B43" w:rsidP="00962B43">
      <w:pPr>
        <w:pStyle w:val="Bezodstpw"/>
        <w:jc w:val="both"/>
      </w:pPr>
    </w:p>
    <w:p w:rsidR="00962B43" w:rsidRDefault="00962B43" w:rsidP="00962B43">
      <w:pPr>
        <w:pStyle w:val="Bezodstpw"/>
        <w:jc w:val="both"/>
      </w:pPr>
      <w:r>
        <w:lastRenderedPageBreak/>
        <w:t xml:space="preserve">Tabela: Procentowa zmiana ceny akcji spółki, której akcje zostały wymienione w siódmym numerze ,,Raportu Tygodniowego” z 27 października 2014 roku w rubryce ,,Wykres do przemyślenia” w okresie od 24 października 2014 roku 12 czerwca 2015 roku oraz procentowa zmiana indeksu WIG 20 w tym okresie. </w:t>
      </w: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24.10.2014</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 xml:space="preserve">Akcja spółki </w:t>
            </w:r>
            <w:proofErr w:type="spellStart"/>
            <w:r>
              <w:t>Tesgas</w:t>
            </w:r>
            <w:proofErr w:type="spellEnd"/>
            <w:r>
              <w:t xml:space="preserve"> </w:t>
            </w:r>
          </w:p>
        </w:tc>
        <w:tc>
          <w:tcPr>
            <w:tcW w:w="2302" w:type="dxa"/>
          </w:tcPr>
          <w:p w:rsidR="00962B43" w:rsidRDefault="00962B43" w:rsidP="00BC4C8B">
            <w:pPr>
              <w:pStyle w:val="Bezodstpw"/>
              <w:jc w:val="center"/>
            </w:pPr>
            <w:r>
              <w:t>4,32 zł.</w:t>
            </w:r>
          </w:p>
        </w:tc>
        <w:tc>
          <w:tcPr>
            <w:tcW w:w="2303" w:type="dxa"/>
          </w:tcPr>
          <w:p w:rsidR="00962B43" w:rsidRDefault="00962B43" w:rsidP="00BC4C8B">
            <w:pPr>
              <w:pStyle w:val="Bezodstpw"/>
              <w:jc w:val="center"/>
            </w:pPr>
            <w:r>
              <w:t xml:space="preserve">3,51 zł. </w:t>
            </w:r>
          </w:p>
        </w:tc>
        <w:tc>
          <w:tcPr>
            <w:tcW w:w="1134" w:type="dxa"/>
          </w:tcPr>
          <w:p w:rsidR="00962B43" w:rsidRDefault="00962B43" w:rsidP="00BC4C8B">
            <w:pPr>
              <w:pStyle w:val="Bezodstpw"/>
              <w:jc w:val="center"/>
            </w:pPr>
            <w:r>
              <w:t>-18,8 %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 xml:space="preserve">  -18,8 %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2 401,13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 xml:space="preserve">  -2,8 %</w:t>
            </w:r>
          </w:p>
        </w:tc>
      </w:tr>
    </w:tbl>
    <w:p w:rsidR="00962B43" w:rsidRDefault="00962B43" w:rsidP="00962B43">
      <w:pPr>
        <w:pStyle w:val="Bezodstpw"/>
        <w:jc w:val="both"/>
      </w:pPr>
      <w:r>
        <w:t xml:space="preserve">Tabela: Procentowa zmiana ceny akcji spółki, której akcje zostały wymienione w numerze ,,Raportu Tygodniowego” z 3 listopada 2014 roku w rubryce ,,Wykres do przemyślenia” w okresie od 31 października 2014 roku do 12 czerwca 2015 roku oraz procentowa zmiana indeksu WIG 20 w tym okresie. </w:t>
      </w: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31.10.2014</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Akcja spółki Enea</w:t>
            </w:r>
          </w:p>
        </w:tc>
        <w:tc>
          <w:tcPr>
            <w:tcW w:w="2302" w:type="dxa"/>
          </w:tcPr>
          <w:p w:rsidR="00962B43" w:rsidRDefault="00962B43" w:rsidP="00BC4C8B">
            <w:pPr>
              <w:pStyle w:val="Bezodstpw"/>
              <w:jc w:val="center"/>
            </w:pPr>
            <w:r>
              <w:t>16,00 zł.</w:t>
            </w:r>
          </w:p>
        </w:tc>
        <w:tc>
          <w:tcPr>
            <w:tcW w:w="2303" w:type="dxa"/>
          </w:tcPr>
          <w:p w:rsidR="00962B43" w:rsidRDefault="00962B43" w:rsidP="00BC4C8B">
            <w:pPr>
              <w:pStyle w:val="Bezodstpw"/>
              <w:jc w:val="center"/>
            </w:pPr>
            <w:r>
              <w:t xml:space="preserve">16,35 zł. </w:t>
            </w:r>
          </w:p>
        </w:tc>
        <w:tc>
          <w:tcPr>
            <w:tcW w:w="1134" w:type="dxa"/>
          </w:tcPr>
          <w:p w:rsidR="00962B43" w:rsidRDefault="00962B43" w:rsidP="00BC4C8B">
            <w:pPr>
              <w:pStyle w:val="Bezodstpw"/>
              <w:jc w:val="center"/>
            </w:pPr>
            <w:r>
              <w:t xml:space="preserve">  +2,2 %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 xml:space="preserve">  +2,2 %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2 463,68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 xml:space="preserve">  -4,6 %</w:t>
            </w:r>
          </w:p>
        </w:tc>
      </w:tr>
    </w:tbl>
    <w:p w:rsidR="00962B43" w:rsidRDefault="00962B43" w:rsidP="00962B43">
      <w:pPr>
        <w:pStyle w:val="Bezodstpw"/>
        <w:jc w:val="both"/>
      </w:pPr>
      <w:r>
        <w:t xml:space="preserve">Tabela: Procentowa zmiana ceny akcji spółki, której akcje zostały wymienione w numerze ,,Raportu Tygodniowego” z 1 grudnia 2014 roku w rubryce ,,Wykres do przemyślenia” w okresie od 28 listopada 2014 roku do 12 czerwca 2015 roku oraz procentowa zmiana indeksu WIG 20 w tym okresie. </w:t>
      </w: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28.11.2014</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 xml:space="preserve">Akcja spółki </w:t>
            </w:r>
            <w:proofErr w:type="spellStart"/>
            <w:r>
              <w:t>Procad</w:t>
            </w:r>
            <w:proofErr w:type="spellEnd"/>
          </w:p>
        </w:tc>
        <w:tc>
          <w:tcPr>
            <w:tcW w:w="2302" w:type="dxa"/>
          </w:tcPr>
          <w:p w:rsidR="00962B43" w:rsidRDefault="00962B43" w:rsidP="00BC4C8B">
            <w:pPr>
              <w:pStyle w:val="Bezodstpw"/>
              <w:jc w:val="center"/>
            </w:pPr>
            <w:r>
              <w:t>1,06 zł.</w:t>
            </w:r>
          </w:p>
        </w:tc>
        <w:tc>
          <w:tcPr>
            <w:tcW w:w="2303" w:type="dxa"/>
          </w:tcPr>
          <w:p w:rsidR="00962B43" w:rsidRDefault="00962B43" w:rsidP="00BC4C8B">
            <w:pPr>
              <w:pStyle w:val="Bezodstpw"/>
              <w:jc w:val="center"/>
            </w:pPr>
            <w:r>
              <w:t>2,28 zł.</w:t>
            </w:r>
          </w:p>
        </w:tc>
        <w:tc>
          <w:tcPr>
            <w:tcW w:w="1134" w:type="dxa"/>
          </w:tcPr>
          <w:p w:rsidR="00962B43" w:rsidRDefault="00962B43" w:rsidP="00BC4C8B">
            <w:pPr>
              <w:pStyle w:val="Bezodstpw"/>
              <w:jc w:val="center"/>
            </w:pPr>
            <w:r>
              <w:t>+115,1 %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+115,1 %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2 416,93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-2,4 %</w:t>
            </w:r>
          </w:p>
        </w:tc>
      </w:tr>
    </w:tbl>
    <w:p w:rsidR="00962B43" w:rsidRDefault="00962B43" w:rsidP="00962B43">
      <w:pPr>
        <w:pStyle w:val="Bezodstpw"/>
        <w:jc w:val="both"/>
      </w:pPr>
      <w:r>
        <w:t xml:space="preserve">Tabela: Procentowa zmiana ceny akcji spółki, której akcje zostały umieszczone 2 grudnia na stronie internetowej </w:t>
      </w:r>
      <w:hyperlink r:id="rId13" w:history="1">
        <w:r w:rsidRPr="003C5ED1">
          <w:rPr>
            <w:rStyle w:val="Hipercze"/>
          </w:rPr>
          <w:t>www.analizy-rynkowe.pl</w:t>
        </w:r>
      </w:hyperlink>
      <w:r>
        <w:t xml:space="preserve"> w rubryce  ,,Wykres do przemyślenia” w okresie od 1 grudnia 2014 roku do 12 czerwca 2015 roku oraz procentowa zmiana indeksu WIG 20 w tym okresie. </w:t>
      </w: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01.12.2014</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 xml:space="preserve">Akcja spółki PKO BP </w:t>
            </w:r>
          </w:p>
        </w:tc>
        <w:tc>
          <w:tcPr>
            <w:tcW w:w="2302" w:type="dxa"/>
          </w:tcPr>
          <w:p w:rsidR="00962B43" w:rsidRDefault="00962B43" w:rsidP="00BC4C8B">
            <w:pPr>
              <w:pStyle w:val="Bezodstpw"/>
              <w:jc w:val="center"/>
            </w:pPr>
            <w:r>
              <w:t>37,65 zł.</w:t>
            </w:r>
          </w:p>
        </w:tc>
        <w:tc>
          <w:tcPr>
            <w:tcW w:w="2303" w:type="dxa"/>
          </w:tcPr>
          <w:p w:rsidR="00962B43" w:rsidRDefault="00962B43" w:rsidP="00BC4C8B">
            <w:pPr>
              <w:pStyle w:val="Bezodstpw"/>
              <w:jc w:val="center"/>
            </w:pPr>
            <w:r>
              <w:t>32,74 zł.</w:t>
            </w:r>
          </w:p>
        </w:tc>
        <w:tc>
          <w:tcPr>
            <w:tcW w:w="1134" w:type="dxa"/>
          </w:tcPr>
          <w:p w:rsidR="00962B43" w:rsidRDefault="00962B43" w:rsidP="00BC4C8B">
            <w:pPr>
              <w:pStyle w:val="Bezodstpw"/>
              <w:jc w:val="center"/>
            </w:pPr>
            <w:r>
              <w:t>-13,0 %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-13,0 %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2 417,11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 xml:space="preserve">  -2,4 %</w:t>
            </w:r>
          </w:p>
        </w:tc>
      </w:tr>
    </w:tbl>
    <w:p w:rsidR="00962B43" w:rsidRDefault="00962B43" w:rsidP="00962B43">
      <w:pPr>
        <w:pStyle w:val="Bezodstpw"/>
        <w:jc w:val="both"/>
      </w:pPr>
      <w:r>
        <w:t xml:space="preserve">Tabela: Procentowa zmiana ceny akcji spółki, której akcje zostały wymienione w numerze ,,Raportu Tygodniowego” z 15 grudnia 2014 roku w rubryce ,,Wykres do przemyślenia” w okresie od 12 grudnia 2014 roku do 12 czerwca 2015 roku oraz procentowa zmiana indeksu WIG 20 w tym okresie. </w:t>
      </w: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12.12.2014</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 xml:space="preserve">Akcja spółki </w:t>
            </w:r>
            <w:proofErr w:type="spellStart"/>
            <w:r>
              <w:t>Mercor</w:t>
            </w:r>
            <w:proofErr w:type="spellEnd"/>
            <w:r>
              <w:t xml:space="preserve"> </w:t>
            </w:r>
          </w:p>
        </w:tc>
        <w:tc>
          <w:tcPr>
            <w:tcW w:w="2302" w:type="dxa"/>
          </w:tcPr>
          <w:p w:rsidR="00962B43" w:rsidRDefault="00962B43" w:rsidP="00BC4C8B">
            <w:pPr>
              <w:pStyle w:val="Bezodstpw"/>
              <w:jc w:val="center"/>
            </w:pPr>
            <w:r>
              <w:t>8,14 zł.</w:t>
            </w:r>
          </w:p>
        </w:tc>
        <w:tc>
          <w:tcPr>
            <w:tcW w:w="2303" w:type="dxa"/>
          </w:tcPr>
          <w:p w:rsidR="00962B43" w:rsidRDefault="00962B43" w:rsidP="00BC4C8B">
            <w:pPr>
              <w:pStyle w:val="Bezodstpw"/>
              <w:jc w:val="center"/>
            </w:pPr>
            <w:r>
              <w:t xml:space="preserve">10,41 zł. </w:t>
            </w:r>
          </w:p>
        </w:tc>
        <w:tc>
          <w:tcPr>
            <w:tcW w:w="1134" w:type="dxa"/>
          </w:tcPr>
          <w:p w:rsidR="00962B43" w:rsidRDefault="00962B43" w:rsidP="00BC4C8B">
            <w:pPr>
              <w:pStyle w:val="Bezodstpw"/>
              <w:jc w:val="center"/>
            </w:pPr>
            <w:r>
              <w:t xml:space="preserve">  +27,9 %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 xml:space="preserve">  +27,9 %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2 360,00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 xml:space="preserve"> -  0,1 %</w:t>
            </w:r>
          </w:p>
        </w:tc>
      </w:tr>
    </w:tbl>
    <w:p w:rsidR="00962B43" w:rsidRDefault="00962B43" w:rsidP="00962B43">
      <w:pPr>
        <w:pStyle w:val="Bezodstpw"/>
        <w:jc w:val="both"/>
      </w:pPr>
      <w:r>
        <w:t xml:space="preserve">Tabela: Procentowa zmiana ceny akcji spółki, której akcje zostały umieszczone 2 stycznia 2015 roku na  stronie internetowej </w:t>
      </w:r>
      <w:hyperlink r:id="rId14" w:history="1">
        <w:r w:rsidRPr="003C5ED1">
          <w:rPr>
            <w:rStyle w:val="Hipercze"/>
          </w:rPr>
          <w:t>www.analizy-rynkowe.pl</w:t>
        </w:r>
      </w:hyperlink>
      <w:r>
        <w:t xml:space="preserve"> w rubryce  ,,Wykres do przemyślenia” w okresie od 1 grudnia do 12 czerwca 2015 roku oraz procentowa zmiana indeksu WIG 20 w tym okresie. </w:t>
      </w: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01.12.2014</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Akcja spółki Comarch</w:t>
            </w:r>
          </w:p>
        </w:tc>
        <w:tc>
          <w:tcPr>
            <w:tcW w:w="2302" w:type="dxa"/>
          </w:tcPr>
          <w:p w:rsidR="00962B43" w:rsidRDefault="00962B43" w:rsidP="00BC4C8B">
            <w:pPr>
              <w:pStyle w:val="Bezodstpw"/>
              <w:jc w:val="center"/>
            </w:pPr>
            <w:r>
              <w:t>115,50 zł.</w:t>
            </w:r>
          </w:p>
        </w:tc>
        <w:tc>
          <w:tcPr>
            <w:tcW w:w="2303" w:type="dxa"/>
          </w:tcPr>
          <w:p w:rsidR="00962B43" w:rsidRDefault="00962B43" w:rsidP="00BC4C8B">
            <w:pPr>
              <w:pStyle w:val="Bezodstpw"/>
              <w:jc w:val="center"/>
            </w:pPr>
            <w:r>
              <w:t>133,80 zł.</w:t>
            </w:r>
          </w:p>
        </w:tc>
        <w:tc>
          <w:tcPr>
            <w:tcW w:w="1134" w:type="dxa"/>
          </w:tcPr>
          <w:p w:rsidR="00962B43" w:rsidRDefault="00962B43" w:rsidP="00BC4C8B">
            <w:pPr>
              <w:pStyle w:val="Bezodstpw"/>
              <w:jc w:val="center"/>
            </w:pPr>
            <w:r>
              <w:t>+15,8 %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+15,8 %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2 417,11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+ 1,8 %</w:t>
            </w:r>
          </w:p>
        </w:tc>
      </w:tr>
    </w:tbl>
    <w:p w:rsidR="00962B43" w:rsidRDefault="00962B43" w:rsidP="00962B43">
      <w:pPr>
        <w:pStyle w:val="Bezodstpw"/>
        <w:jc w:val="both"/>
      </w:pPr>
      <w:r>
        <w:lastRenderedPageBreak/>
        <w:t xml:space="preserve">Tabela: Procentowa zmiana ceny akcji spółki, której akcje zostały umieszczone 12 stycznia 2015 roku na  stronie internetowej </w:t>
      </w:r>
      <w:hyperlink r:id="rId15" w:history="1">
        <w:r w:rsidRPr="003C5ED1">
          <w:rPr>
            <w:rStyle w:val="Hipercze"/>
          </w:rPr>
          <w:t>www.analizy-rynkowe.pl</w:t>
        </w:r>
      </w:hyperlink>
      <w:r>
        <w:t xml:space="preserve"> w rubryce  ,,Wykres do przemyślenia” w okresie od 9 stycznia do 12 czerwca 2015 roku oraz procentowa zmiana indeksu WIG 20 w tym okresie. </w:t>
      </w:r>
    </w:p>
    <w:p w:rsidR="00962B43" w:rsidRDefault="00962B43" w:rsidP="00962B43">
      <w:pPr>
        <w:pStyle w:val="Bezodstpw"/>
        <w:jc w:val="both"/>
      </w:pP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09.01.2015</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Akcja spółki Muza</w:t>
            </w:r>
          </w:p>
        </w:tc>
        <w:tc>
          <w:tcPr>
            <w:tcW w:w="2302" w:type="dxa"/>
          </w:tcPr>
          <w:p w:rsidR="00962B43" w:rsidRDefault="00962B43" w:rsidP="00BC4C8B">
            <w:pPr>
              <w:pStyle w:val="Bezodstpw"/>
              <w:jc w:val="center"/>
            </w:pPr>
            <w:r>
              <w:t>3,34 zł.</w:t>
            </w:r>
          </w:p>
        </w:tc>
        <w:tc>
          <w:tcPr>
            <w:tcW w:w="2303" w:type="dxa"/>
          </w:tcPr>
          <w:p w:rsidR="00962B43" w:rsidRDefault="00962B43" w:rsidP="00BC4C8B">
            <w:pPr>
              <w:pStyle w:val="Bezodstpw"/>
              <w:jc w:val="center"/>
            </w:pPr>
            <w:r>
              <w:t>3,60 zł.</w:t>
            </w:r>
          </w:p>
        </w:tc>
        <w:tc>
          <w:tcPr>
            <w:tcW w:w="1134" w:type="dxa"/>
          </w:tcPr>
          <w:p w:rsidR="00962B43" w:rsidRDefault="00962B43" w:rsidP="00BC4C8B">
            <w:pPr>
              <w:pStyle w:val="Bezodstpw"/>
              <w:jc w:val="center"/>
            </w:pPr>
            <w:r>
              <w:t>+7,8 %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+7,8 %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2 417,11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+0,9 %</w:t>
            </w:r>
          </w:p>
        </w:tc>
      </w:tr>
    </w:tbl>
    <w:p w:rsidR="00962B43" w:rsidRDefault="00962B43" w:rsidP="00962B43">
      <w:pPr>
        <w:pStyle w:val="Bezodstpw"/>
        <w:jc w:val="both"/>
      </w:pPr>
    </w:p>
    <w:p w:rsidR="00962B43" w:rsidRDefault="00962B43" w:rsidP="00962B43">
      <w:pPr>
        <w:pStyle w:val="Bezodstpw"/>
        <w:jc w:val="both"/>
      </w:pPr>
      <w:r>
        <w:t xml:space="preserve">Tabela: Procentowa zmiana ceny akcji spółki, której akcje zostały umieszczone 30 stycznia 2015 roku na  stronie internetowej </w:t>
      </w:r>
      <w:hyperlink r:id="rId16" w:history="1">
        <w:r w:rsidRPr="003C5ED1">
          <w:rPr>
            <w:rStyle w:val="Hipercze"/>
          </w:rPr>
          <w:t>www.analizy-rynkowe.pl</w:t>
        </w:r>
      </w:hyperlink>
      <w:r>
        <w:t xml:space="preserve"> w rubryce  ,,Wykres do przemyślenia” w okresie od 29 stycznia do 12 czerwca 2015 roku oraz procentowa zmiana indeksu WIG 20 w tym okresie. </w:t>
      </w:r>
    </w:p>
    <w:p w:rsidR="00962B43" w:rsidRDefault="00962B43" w:rsidP="00962B43">
      <w:pPr>
        <w:pStyle w:val="Bezodstpw"/>
        <w:jc w:val="both"/>
      </w:pP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29.01.2015</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Akcja spółki Lubawa</w:t>
            </w:r>
          </w:p>
        </w:tc>
        <w:tc>
          <w:tcPr>
            <w:tcW w:w="2302" w:type="dxa"/>
          </w:tcPr>
          <w:p w:rsidR="00962B43" w:rsidRDefault="00962B43" w:rsidP="00BC4C8B">
            <w:pPr>
              <w:pStyle w:val="Bezodstpw"/>
              <w:jc w:val="center"/>
            </w:pPr>
            <w:r>
              <w:t>1,11 zł.</w:t>
            </w:r>
          </w:p>
        </w:tc>
        <w:tc>
          <w:tcPr>
            <w:tcW w:w="2303" w:type="dxa"/>
          </w:tcPr>
          <w:p w:rsidR="00962B43" w:rsidRDefault="00962B43" w:rsidP="00BC4C8B">
            <w:pPr>
              <w:pStyle w:val="Bezodstpw"/>
              <w:jc w:val="center"/>
            </w:pPr>
            <w:r>
              <w:t>1,19 zł.</w:t>
            </w:r>
          </w:p>
        </w:tc>
        <w:tc>
          <w:tcPr>
            <w:tcW w:w="1134" w:type="dxa"/>
          </w:tcPr>
          <w:p w:rsidR="00962B43" w:rsidRDefault="00962B43" w:rsidP="00BC4C8B">
            <w:pPr>
              <w:pStyle w:val="Bezodstpw"/>
              <w:jc w:val="center"/>
            </w:pPr>
            <w:r>
              <w:t>+7,2 %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+7,2 %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2 417,11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+ 0,9  %</w:t>
            </w:r>
          </w:p>
        </w:tc>
      </w:tr>
    </w:tbl>
    <w:p w:rsidR="00962B43" w:rsidRDefault="00962B43" w:rsidP="00962B43">
      <w:pPr>
        <w:pStyle w:val="Bezodstpw"/>
        <w:jc w:val="both"/>
        <w:rPr>
          <w:b/>
          <w:u w:val="single"/>
        </w:rPr>
      </w:pPr>
    </w:p>
    <w:p w:rsidR="00962B43" w:rsidRDefault="00962B43" w:rsidP="00962B43">
      <w:pPr>
        <w:pStyle w:val="Bezodstpw"/>
        <w:jc w:val="both"/>
      </w:pPr>
      <w:r>
        <w:t xml:space="preserve">Tabela: Procentowa zmiana ceny akcji spółki, której akcje zostały umieszczone 10 lutego 2015 roku na  stronie internetowej </w:t>
      </w:r>
      <w:hyperlink r:id="rId17" w:history="1">
        <w:r w:rsidRPr="003C5ED1">
          <w:rPr>
            <w:rStyle w:val="Hipercze"/>
          </w:rPr>
          <w:t>www.analizy-rynkowe.pl</w:t>
        </w:r>
      </w:hyperlink>
      <w:r>
        <w:t xml:space="preserve"> w rubryce  ,,Wykres do przemyślenia” w okresie od 9 lutego do 12 czerwca 2015 roku oraz procentowa zmiana indeksu WIG 20 w tym okresie. </w:t>
      </w:r>
    </w:p>
    <w:p w:rsidR="00962B43" w:rsidRDefault="00962B43" w:rsidP="00962B43">
      <w:pPr>
        <w:pStyle w:val="Bezodstpw"/>
        <w:jc w:val="both"/>
      </w:pP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09.02.2015</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 xml:space="preserve">Akcja spółki </w:t>
            </w:r>
            <w:proofErr w:type="spellStart"/>
            <w:r>
              <w:t>Atrem</w:t>
            </w:r>
            <w:proofErr w:type="spellEnd"/>
          </w:p>
        </w:tc>
        <w:tc>
          <w:tcPr>
            <w:tcW w:w="2302" w:type="dxa"/>
          </w:tcPr>
          <w:p w:rsidR="00962B43" w:rsidRDefault="00962B43" w:rsidP="00BC4C8B">
            <w:pPr>
              <w:pStyle w:val="Bezodstpw"/>
              <w:jc w:val="center"/>
            </w:pPr>
            <w:r>
              <w:t>4,50 zł.</w:t>
            </w:r>
          </w:p>
        </w:tc>
        <w:tc>
          <w:tcPr>
            <w:tcW w:w="2303" w:type="dxa"/>
          </w:tcPr>
          <w:p w:rsidR="00962B43" w:rsidRDefault="00962B43" w:rsidP="00BC4C8B">
            <w:pPr>
              <w:pStyle w:val="Bezodstpw"/>
              <w:jc w:val="center"/>
            </w:pPr>
            <w:r>
              <w:t>6,12 zł.</w:t>
            </w:r>
          </w:p>
        </w:tc>
        <w:tc>
          <w:tcPr>
            <w:tcW w:w="1134" w:type="dxa"/>
          </w:tcPr>
          <w:p w:rsidR="00962B43" w:rsidRDefault="00962B43" w:rsidP="00BC4C8B">
            <w:pPr>
              <w:pStyle w:val="Bezodstpw"/>
              <w:jc w:val="center"/>
            </w:pPr>
            <w:r>
              <w:t>+36,0 %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+36,0 %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2 417,11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+0,8  %</w:t>
            </w:r>
          </w:p>
        </w:tc>
      </w:tr>
    </w:tbl>
    <w:p w:rsidR="00962B43" w:rsidRDefault="00962B43" w:rsidP="00962B43">
      <w:pPr>
        <w:pStyle w:val="Bezodstpw"/>
        <w:jc w:val="both"/>
        <w:rPr>
          <w:b/>
        </w:rPr>
      </w:pPr>
    </w:p>
    <w:p w:rsidR="00962B43" w:rsidRDefault="00962B43" w:rsidP="00962B43">
      <w:pPr>
        <w:pStyle w:val="Bezodstpw"/>
        <w:jc w:val="both"/>
      </w:pPr>
      <w:r>
        <w:t xml:space="preserve">Tabela: Procentowa zmiana ceny akcji spółki, której akcje zostały umieszczone 3 marca 2015 roku na  stronie internetowej </w:t>
      </w:r>
      <w:hyperlink r:id="rId18" w:history="1">
        <w:r w:rsidRPr="003C5ED1">
          <w:rPr>
            <w:rStyle w:val="Hipercze"/>
          </w:rPr>
          <w:t>www.analizy-rynkowe.pl</w:t>
        </w:r>
      </w:hyperlink>
      <w:r>
        <w:t xml:space="preserve"> w rubryce  ,,Wykres do przemyślenia” w okresie od 2 marca do 12 czerwca 2015 roku 2015 roku oraz procentowa zmiana indeksu WIG 20 w tym okresie. </w:t>
      </w:r>
    </w:p>
    <w:p w:rsidR="00962B43" w:rsidRDefault="00962B43" w:rsidP="00962B43">
      <w:pPr>
        <w:pStyle w:val="Bezodstpw"/>
        <w:jc w:val="both"/>
      </w:pP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02.03.2015</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Akcja spółki Mostostal Warszawa</w:t>
            </w:r>
          </w:p>
        </w:tc>
        <w:tc>
          <w:tcPr>
            <w:tcW w:w="2302" w:type="dxa"/>
          </w:tcPr>
          <w:p w:rsidR="00962B43" w:rsidRDefault="00962B43" w:rsidP="00BC4C8B">
            <w:pPr>
              <w:pStyle w:val="Bezodstpw"/>
              <w:jc w:val="center"/>
            </w:pPr>
            <w:r>
              <w:t>7,57 zł.</w:t>
            </w:r>
          </w:p>
        </w:tc>
        <w:tc>
          <w:tcPr>
            <w:tcW w:w="2303" w:type="dxa"/>
          </w:tcPr>
          <w:p w:rsidR="00962B43" w:rsidRDefault="00962B43" w:rsidP="00BC4C8B">
            <w:pPr>
              <w:pStyle w:val="Bezodstpw"/>
              <w:jc w:val="center"/>
            </w:pPr>
            <w:r>
              <w:t>10,31 zł.</w:t>
            </w:r>
          </w:p>
        </w:tc>
        <w:tc>
          <w:tcPr>
            <w:tcW w:w="1134" w:type="dxa"/>
          </w:tcPr>
          <w:p w:rsidR="00962B43" w:rsidRDefault="00962B43" w:rsidP="00BC4C8B">
            <w:pPr>
              <w:pStyle w:val="Bezodstpw"/>
              <w:jc w:val="center"/>
            </w:pPr>
            <w:r>
              <w:t>+36,2 %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+36,2 %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2 417,11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+0,0 %</w:t>
            </w:r>
          </w:p>
        </w:tc>
      </w:tr>
    </w:tbl>
    <w:p w:rsidR="00962B43" w:rsidRDefault="00962B43" w:rsidP="00962B43">
      <w:pPr>
        <w:pStyle w:val="Bezodstpw"/>
        <w:jc w:val="both"/>
        <w:rPr>
          <w:b/>
        </w:rPr>
      </w:pPr>
    </w:p>
    <w:p w:rsidR="00962B43" w:rsidRDefault="00962B43" w:rsidP="00962B43">
      <w:pPr>
        <w:pStyle w:val="Bezodstpw"/>
        <w:jc w:val="both"/>
      </w:pPr>
      <w:r>
        <w:t xml:space="preserve">Tabela: Procentowa zmiana ceny akcji spółki, której akcje zostały umieszczone 9 kwietnia 2015 roku na  stronie internetowej </w:t>
      </w:r>
      <w:hyperlink r:id="rId19" w:history="1">
        <w:r w:rsidRPr="003C5ED1">
          <w:rPr>
            <w:rStyle w:val="Hipercze"/>
          </w:rPr>
          <w:t>www.analizy-rynkowe.pl</w:t>
        </w:r>
      </w:hyperlink>
      <w:r>
        <w:t xml:space="preserve"> w rubryce  ,,Wykres do przemyślenia” w okresie od 8 do 12 czerwca 2015 roku oraz procentowa zmiana indeksu WIG 20 w tym okresie. </w:t>
      </w:r>
    </w:p>
    <w:p w:rsidR="00962B43" w:rsidRDefault="00962B43" w:rsidP="00962B43">
      <w:pPr>
        <w:pStyle w:val="Bezodstpw"/>
        <w:jc w:val="both"/>
      </w:pP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08.04.2015</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Akcja spółki Ceramika Nowa Gala</w:t>
            </w:r>
          </w:p>
        </w:tc>
        <w:tc>
          <w:tcPr>
            <w:tcW w:w="2302" w:type="dxa"/>
          </w:tcPr>
          <w:p w:rsidR="00962B43" w:rsidRDefault="00962B43" w:rsidP="00BC4C8B">
            <w:pPr>
              <w:pStyle w:val="Bezodstpw"/>
              <w:jc w:val="center"/>
            </w:pPr>
            <w:r>
              <w:t>1,25 zł.</w:t>
            </w:r>
          </w:p>
        </w:tc>
        <w:tc>
          <w:tcPr>
            <w:tcW w:w="2303" w:type="dxa"/>
          </w:tcPr>
          <w:p w:rsidR="00962B43" w:rsidRDefault="00962B43" w:rsidP="00BC4C8B">
            <w:pPr>
              <w:pStyle w:val="Bezodstpw"/>
              <w:jc w:val="center"/>
            </w:pPr>
            <w:r>
              <w:t>1,36 zł.</w:t>
            </w:r>
          </w:p>
        </w:tc>
        <w:tc>
          <w:tcPr>
            <w:tcW w:w="1134" w:type="dxa"/>
          </w:tcPr>
          <w:p w:rsidR="00962B43" w:rsidRDefault="00962B43" w:rsidP="00BC4C8B">
            <w:pPr>
              <w:pStyle w:val="Bezodstpw"/>
              <w:jc w:val="center"/>
            </w:pPr>
            <w:r>
              <w:t>+ 8,8 %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+ 8,8 %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2 424,82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-2 ,7,%</w:t>
            </w:r>
          </w:p>
        </w:tc>
      </w:tr>
    </w:tbl>
    <w:p w:rsidR="00962B43" w:rsidRDefault="00962B43" w:rsidP="00962B43">
      <w:pPr>
        <w:pStyle w:val="Bezodstpw"/>
        <w:jc w:val="both"/>
        <w:rPr>
          <w:sz w:val="34"/>
          <w:szCs w:val="34"/>
        </w:rPr>
      </w:pPr>
    </w:p>
    <w:p w:rsidR="00962B43" w:rsidRDefault="00962B43" w:rsidP="00962B43">
      <w:pPr>
        <w:pStyle w:val="Bezodstpw"/>
        <w:jc w:val="both"/>
      </w:pPr>
      <w:r>
        <w:lastRenderedPageBreak/>
        <w:t xml:space="preserve">Tabela: Procentowa zmiana ceny akcji spółki, której akcje zostały umieszczone 5 maja 2015 roku na  stronie internetowej </w:t>
      </w:r>
      <w:hyperlink r:id="rId20" w:history="1">
        <w:r w:rsidRPr="003C5ED1">
          <w:rPr>
            <w:rStyle w:val="Hipercze"/>
          </w:rPr>
          <w:t>www.analizy-rynkowe.pl</w:t>
        </w:r>
      </w:hyperlink>
      <w:r>
        <w:t xml:space="preserve"> w rubryce  ,,Wykres do przemyślenia” w okresie od 4 do 12 czerwca 2015 roku oraz procentowa zmiana indeksu WIG 20 w tym okresie. </w:t>
      </w:r>
    </w:p>
    <w:p w:rsidR="00962B43" w:rsidRDefault="00962B43" w:rsidP="00962B43">
      <w:pPr>
        <w:pStyle w:val="Bezodstpw"/>
        <w:jc w:val="both"/>
      </w:pPr>
    </w:p>
    <w:tbl>
      <w:tblPr>
        <w:tblStyle w:val="Tabela-Siatka"/>
        <w:tblW w:w="0" w:type="auto"/>
        <w:tblLook w:val="04A0"/>
      </w:tblPr>
      <w:tblGrid>
        <w:gridCol w:w="3402"/>
        <w:gridCol w:w="2302"/>
        <w:gridCol w:w="2303"/>
        <w:gridCol w:w="1134"/>
      </w:tblGrid>
      <w:tr w:rsidR="00962B43" w:rsidTr="00BC4C8B">
        <w:tc>
          <w:tcPr>
            <w:tcW w:w="3402" w:type="dxa"/>
          </w:tcPr>
          <w:p w:rsidR="00962B43" w:rsidRDefault="00962B43" w:rsidP="00BC4C8B">
            <w:pPr>
              <w:pStyle w:val="Bezodstpw"/>
              <w:jc w:val="center"/>
            </w:pPr>
            <w:r>
              <w:t>Instrument finansowy</w:t>
            </w:r>
          </w:p>
        </w:tc>
        <w:tc>
          <w:tcPr>
            <w:tcW w:w="2302" w:type="dxa"/>
          </w:tcPr>
          <w:p w:rsidR="00962B43" w:rsidRDefault="00962B43" w:rsidP="00BC4C8B">
            <w:pPr>
              <w:pStyle w:val="Bezodstpw"/>
              <w:jc w:val="center"/>
            </w:pPr>
            <w:r>
              <w:t>Poziom – 04.05.2015</w:t>
            </w:r>
          </w:p>
        </w:tc>
        <w:tc>
          <w:tcPr>
            <w:tcW w:w="2303" w:type="dxa"/>
          </w:tcPr>
          <w:p w:rsidR="00962B43" w:rsidRDefault="00962B43" w:rsidP="00BC4C8B">
            <w:pPr>
              <w:pStyle w:val="Bezodstpw"/>
              <w:jc w:val="center"/>
            </w:pPr>
            <w:r>
              <w:t>Poziom – 12.06.2015</w:t>
            </w:r>
          </w:p>
        </w:tc>
        <w:tc>
          <w:tcPr>
            <w:tcW w:w="1134" w:type="dxa"/>
          </w:tcPr>
          <w:p w:rsidR="00962B43" w:rsidRDefault="00962B43" w:rsidP="00BC4C8B">
            <w:pPr>
              <w:pStyle w:val="Bezodstpw"/>
              <w:jc w:val="center"/>
            </w:pPr>
            <w:r>
              <w:t>Zmiana (w %)</w:t>
            </w:r>
          </w:p>
        </w:tc>
      </w:tr>
      <w:tr w:rsidR="00962B43" w:rsidTr="00BC4C8B">
        <w:tc>
          <w:tcPr>
            <w:tcW w:w="3402" w:type="dxa"/>
          </w:tcPr>
          <w:p w:rsidR="00962B43" w:rsidRDefault="00962B43" w:rsidP="00BC4C8B">
            <w:pPr>
              <w:pStyle w:val="Bezodstpw"/>
              <w:jc w:val="center"/>
            </w:pPr>
            <w:r>
              <w:t>Akcja spółki Polnord</w:t>
            </w:r>
          </w:p>
        </w:tc>
        <w:tc>
          <w:tcPr>
            <w:tcW w:w="2302" w:type="dxa"/>
          </w:tcPr>
          <w:p w:rsidR="00962B43" w:rsidRDefault="00962B43" w:rsidP="00BC4C8B">
            <w:pPr>
              <w:pStyle w:val="Bezodstpw"/>
              <w:jc w:val="center"/>
            </w:pPr>
            <w:r>
              <w:t>11,10 zł.</w:t>
            </w:r>
          </w:p>
        </w:tc>
        <w:tc>
          <w:tcPr>
            <w:tcW w:w="2303" w:type="dxa"/>
          </w:tcPr>
          <w:p w:rsidR="00962B43" w:rsidRDefault="00962B43" w:rsidP="00BC4C8B">
            <w:pPr>
              <w:pStyle w:val="Bezodstpw"/>
              <w:jc w:val="center"/>
            </w:pPr>
            <w:r>
              <w:t>9,56 zł.</w:t>
            </w:r>
          </w:p>
        </w:tc>
        <w:tc>
          <w:tcPr>
            <w:tcW w:w="1134" w:type="dxa"/>
          </w:tcPr>
          <w:p w:rsidR="00962B43" w:rsidRDefault="00962B43" w:rsidP="00BC4C8B">
            <w:pPr>
              <w:pStyle w:val="Bezodstpw"/>
              <w:jc w:val="center"/>
            </w:pPr>
            <w:r>
              <w:t>-13,9 %</w:t>
            </w:r>
          </w:p>
        </w:tc>
      </w:tr>
      <w:tr w:rsidR="00962B43" w:rsidRPr="008F668F" w:rsidTr="00BC4C8B">
        <w:tc>
          <w:tcPr>
            <w:tcW w:w="3402" w:type="dxa"/>
          </w:tcPr>
          <w:p w:rsidR="00962B43" w:rsidRPr="008F668F" w:rsidRDefault="00962B43" w:rsidP="00BC4C8B">
            <w:pPr>
              <w:pStyle w:val="Bezodstpw"/>
              <w:jc w:val="center"/>
              <w:rPr>
                <w:b/>
                <w:color w:val="FF0000"/>
              </w:rPr>
            </w:pPr>
            <w:r w:rsidRPr="008F668F">
              <w:rPr>
                <w:b/>
                <w:color w:val="FF0000"/>
              </w:rPr>
              <w:t>Średnio</w:t>
            </w:r>
          </w:p>
        </w:tc>
        <w:tc>
          <w:tcPr>
            <w:tcW w:w="2302" w:type="dxa"/>
            <w:tcBorders>
              <w:right w:val="nil"/>
            </w:tcBorders>
          </w:tcPr>
          <w:p w:rsidR="00962B43" w:rsidRPr="008F668F" w:rsidRDefault="00962B43" w:rsidP="00BC4C8B">
            <w:pPr>
              <w:pStyle w:val="Bezodstpw"/>
              <w:jc w:val="center"/>
              <w:rPr>
                <w:b/>
                <w:color w:val="FF0000"/>
              </w:rPr>
            </w:pPr>
          </w:p>
        </w:tc>
        <w:tc>
          <w:tcPr>
            <w:tcW w:w="2303" w:type="dxa"/>
            <w:tcBorders>
              <w:left w:val="nil"/>
            </w:tcBorders>
          </w:tcPr>
          <w:p w:rsidR="00962B43" w:rsidRPr="008F668F" w:rsidRDefault="00962B43" w:rsidP="00BC4C8B">
            <w:pPr>
              <w:pStyle w:val="Bezodstpw"/>
              <w:jc w:val="center"/>
              <w:rPr>
                <w:b/>
                <w:color w:val="FF0000"/>
              </w:rPr>
            </w:pPr>
          </w:p>
        </w:tc>
        <w:tc>
          <w:tcPr>
            <w:tcW w:w="1134" w:type="dxa"/>
          </w:tcPr>
          <w:p w:rsidR="00962B43" w:rsidRPr="008F668F" w:rsidRDefault="00962B43" w:rsidP="00BC4C8B">
            <w:pPr>
              <w:pStyle w:val="Bezodstpw"/>
              <w:jc w:val="center"/>
              <w:rPr>
                <w:b/>
                <w:color w:val="FF0000"/>
              </w:rPr>
            </w:pPr>
            <w:r>
              <w:rPr>
                <w:b/>
                <w:color w:val="FF0000"/>
              </w:rPr>
              <w:t>-13,9 %</w:t>
            </w:r>
          </w:p>
        </w:tc>
      </w:tr>
      <w:tr w:rsidR="00962B43" w:rsidTr="00BC4C8B">
        <w:tc>
          <w:tcPr>
            <w:tcW w:w="3402" w:type="dxa"/>
          </w:tcPr>
          <w:p w:rsidR="00962B43" w:rsidRDefault="00962B43" w:rsidP="00BC4C8B">
            <w:pPr>
              <w:pStyle w:val="Bezodstpw"/>
              <w:jc w:val="center"/>
            </w:pPr>
            <w:r>
              <w:t>WIG 20</w:t>
            </w:r>
          </w:p>
        </w:tc>
        <w:tc>
          <w:tcPr>
            <w:tcW w:w="2302" w:type="dxa"/>
          </w:tcPr>
          <w:p w:rsidR="00962B43" w:rsidRDefault="00962B43" w:rsidP="00BC4C8B">
            <w:pPr>
              <w:pStyle w:val="Bezodstpw"/>
              <w:jc w:val="center"/>
            </w:pPr>
            <w:r>
              <w:t xml:space="preserve">2 424,82 pkt. </w:t>
            </w:r>
          </w:p>
        </w:tc>
        <w:tc>
          <w:tcPr>
            <w:tcW w:w="2303" w:type="dxa"/>
          </w:tcPr>
          <w:p w:rsidR="00962B43" w:rsidRDefault="00962B43" w:rsidP="00BC4C8B">
            <w:pPr>
              <w:pStyle w:val="Bezodstpw"/>
              <w:jc w:val="center"/>
            </w:pPr>
            <w:r w:rsidRPr="00662678">
              <w:t>2</w:t>
            </w:r>
            <w:r>
              <w:t> 358,73 pkt.</w:t>
            </w:r>
          </w:p>
        </w:tc>
        <w:tc>
          <w:tcPr>
            <w:tcW w:w="1134" w:type="dxa"/>
          </w:tcPr>
          <w:p w:rsidR="00962B43" w:rsidRDefault="00962B43" w:rsidP="00BC4C8B">
            <w:pPr>
              <w:pStyle w:val="Bezodstpw"/>
              <w:jc w:val="center"/>
            </w:pPr>
            <w:r>
              <w:t>-2,7 %</w:t>
            </w:r>
          </w:p>
        </w:tc>
      </w:tr>
    </w:tbl>
    <w:p w:rsidR="00962B43" w:rsidRDefault="00962B43" w:rsidP="00962B43">
      <w:pPr>
        <w:pStyle w:val="Bezodstpw"/>
        <w:jc w:val="both"/>
        <w:rPr>
          <w:sz w:val="34"/>
          <w:szCs w:val="34"/>
        </w:rPr>
      </w:pPr>
    </w:p>
    <w:p w:rsidR="00962B43" w:rsidRPr="00360DB8" w:rsidRDefault="00962B43" w:rsidP="00962B43">
      <w:pPr>
        <w:pStyle w:val="Bezodstpw"/>
        <w:jc w:val="both"/>
        <w:rPr>
          <w:b/>
          <w:sz w:val="32"/>
          <w:szCs w:val="32"/>
          <w:u w:val="single"/>
        </w:rPr>
      </w:pPr>
      <w:r w:rsidRPr="00360DB8">
        <w:rPr>
          <w:sz w:val="32"/>
          <w:szCs w:val="32"/>
        </w:rPr>
        <w:t xml:space="preserve">Warto zauważyć, że </w:t>
      </w:r>
      <w:r w:rsidRPr="00360DB8">
        <w:rPr>
          <w:b/>
          <w:color w:val="FF0000"/>
          <w:sz w:val="32"/>
          <w:szCs w:val="32"/>
        </w:rPr>
        <w:t>spośród</w:t>
      </w:r>
      <w:r w:rsidRPr="00360DB8">
        <w:rPr>
          <w:b/>
          <w:sz w:val="32"/>
          <w:szCs w:val="32"/>
        </w:rPr>
        <w:t xml:space="preserve"> </w:t>
      </w:r>
      <w:r w:rsidRPr="00360DB8">
        <w:rPr>
          <w:b/>
          <w:color w:val="FF0000"/>
          <w:sz w:val="32"/>
          <w:szCs w:val="32"/>
        </w:rPr>
        <w:t>2</w:t>
      </w:r>
      <w:r>
        <w:rPr>
          <w:b/>
          <w:color w:val="FF0000"/>
          <w:sz w:val="32"/>
          <w:szCs w:val="32"/>
        </w:rPr>
        <w:t>7</w:t>
      </w:r>
      <w:r w:rsidRPr="00360DB8">
        <w:rPr>
          <w:b/>
          <w:color w:val="FF0000"/>
          <w:sz w:val="32"/>
          <w:szCs w:val="32"/>
        </w:rPr>
        <w:t xml:space="preserve"> spółek</w:t>
      </w:r>
      <w:r w:rsidRPr="00360DB8">
        <w:rPr>
          <w:b/>
          <w:sz w:val="32"/>
          <w:szCs w:val="32"/>
        </w:rPr>
        <w:t>, których akcje zakwalifikowane zostały do rubryki ,,Wykres do przemyślenia”</w:t>
      </w:r>
      <w:r w:rsidRPr="00360DB8">
        <w:rPr>
          <w:sz w:val="32"/>
          <w:szCs w:val="32"/>
        </w:rPr>
        <w:t xml:space="preserve"> (gdyż wybiły się już z formacji podwójnego dna) </w:t>
      </w:r>
      <w:r w:rsidRPr="00360DB8">
        <w:rPr>
          <w:b/>
          <w:sz w:val="32"/>
          <w:szCs w:val="32"/>
        </w:rPr>
        <w:t xml:space="preserve">kursy akcji </w:t>
      </w:r>
      <w:r>
        <w:rPr>
          <w:b/>
          <w:color w:val="FF0000"/>
          <w:sz w:val="32"/>
          <w:szCs w:val="32"/>
        </w:rPr>
        <w:t>20</w:t>
      </w:r>
      <w:r w:rsidRPr="00360DB8">
        <w:rPr>
          <w:b/>
          <w:color w:val="FF0000"/>
          <w:sz w:val="32"/>
          <w:szCs w:val="32"/>
        </w:rPr>
        <w:t xml:space="preserve"> spółek</w:t>
      </w:r>
      <w:r w:rsidRPr="00360DB8">
        <w:rPr>
          <w:sz w:val="32"/>
          <w:szCs w:val="32"/>
        </w:rPr>
        <w:t xml:space="preserve"> od momentu owego zakwalifikowania do tej rubryki do dnia </w:t>
      </w:r>
      <w:r>
        <w:rPr>
          <w:sz w:val="32"/>
          <w:szCs w:val="32"/>
        </w:rPr>
        <w:t xml:space="preserve">12 czerwca </w:t>
      </w:r>
      <w:r w:rsidRPr="00360DB8">
        <w:rPr>
          <w:sz w:val="32"/>
          <w:szCs w:val="32"/>
        </w:rPr>
        <w:t xml:space="preserve">2015 roku zachowywały się </w:t>
      </w:r>
      <w:r w:rsidRPr="00360DB8">
        <w:rPr>
          <w:b/>
          <w:color w:val="FF0000"/>
          <w:sz w:val="32"/>
          <w:szCs w:val="32"/>
          <w:u w:val="single"/>
        </w:rPr>
        <w:t>lepiej</w:t>
      </w:r>
      <w:r w:rsidRPr="00360DB8">
        <w:rPr>
          <w:b/>
          <w:color w:val="FF0000"/>
          <w:sz w:val="32"/>
          <w:szCs w:val="32"/>
        </w:rPr>
        <w:t xml:space="preserve"> od indeksu WIG20</w:t>
      </w:r>
      <w:r w:rsidRPr="00360DB8">
        <w:rPr>
          <w:b/>
          <w:sz w:val="32"/>
          <w:szCs w:val="32"/>
        </w:rPr>
        <w:t xml:space="preserve"> a </w:t>
      </w:r>
      <w:r>
        <w:rPr>
          <w:b/>
          <w:sz w:val="32"/>
          <w:szCs w:val="32"/>
        </w:rPr>
        <w:t>7</w:t>
      </w:r>
      <w:r w:rsidRPr="00360DB8">
        <w:rPr>
          <w:b/>
          <w:sz w:val="32"/>
          <w:szCs w:val="32"/>
        </w:rPr>
        <w:t xml:space="preserve"> </w:t>
      </w:r>
      <w:r w:rsidRPr="00360DB8">
        <w:rPr>
          <w:b/>
          <w:sz w:val="32"/>
          <w:szCs w:val="32"/>
          <w:u w:val="single"/>
        </w:rPr>
        <w:t xml:space="preserve">gorzej </w:t>
      </w:r>
      <w:r w:rsidRPr="00360DB8">
        <w:rPr>
          <w:b/>
          <w:sz w:val="32"/>
          <w:szCs w:val="32"/>
        </w:rPr>
        <w:t>od indeksu WIG20.</w:t>
      </w:r>
      <w:r w:rsidRPr="00360DB8">
        <w:rPr>
          <w:b/>
          <w:sz w:val="32"/>
          <w:szCs w:val="32"/>
          <w:u w:val="single"/>
        </w:rPr>
        <w:t xml:space="preserve"> </w:t>
      </w:r>
    </w:p>
    <w:p w:rsidR="00962B43" w:rsidRPr="00360DB8" w:rsidRDefault="00962B43" w:rsidP="00962B43">
      <w:pPr>
        <w:pStyle w:val="Bezodstpw"/>
        <w:jc w:val="both"/>
        <w:rPr>
          <w:b/>
          <w:sz w:val="32"/>
          <w:szCs w:val="32"/>
          <w:u w:val="single"/>
        </w:rPr>
      </w:pPr>
    </w:p>
    <w:p w:rsidR="00962B43" w:rsidRPr="00360DB8" w:rsidRDefault="00962B43" w:rsidP="00962B43">
      <w:pPr>
        <w:pStyle w:val="Bezodstpw"/>
        <w:jc w:val="center"/>
        <w:rPr>
          <w:b/>
          <w:emboss/>
          <w:color w:val="FF0000"/>
          <w:sz w:val="32"/>
          <w:szCs w:val="32"/>
        </w:rPr>
      </w:pPr>
      <w:r w:rsidRPr="00360DB8">
        <w:rPr>
          <w:b/>
          <w:emboss/>
          <w:color w:val="FF0000"/>
          <w:sz w:val="32"/>
          <w:szCs w:val="32"/>
        </w:rPr>
        <w:t>Porównanie</w:t>
      </w:r>
    </w:p>
    <w:p w:rsidR="00962B43" w:rsidRPr="00360DB8" w:rsidRDefault="00962B43" w:rsidP="00962B43">
      <w:pPr>
        <w:pStyle w:val="Bezodstpw"/>
        <w:jc w:val="both"/>
        <w:rPr>
          <w:sz w:val="32"/>
          <w:szCs w:val="32"/>
        </w:rPr>
      </w:pPr>
      <w:r w:rsidRPr="00360DB8">
        <w:rPr>
          <w:sz w:val="32"/>
          <w:szCs w:val="32"/>
        </w:rPr>
        <w:t xml:space="preserve">Wykres: </w:t>
      </w:r>
      <w:r w:rsidRPr="00360DB8">
        <w:rPr>
          <w:color w:val="000000" w:themeColor="text1"/>
          <w:sz w:val="32"/>
          <w:szCs w:val="32"/>
        </w:rPr>
        <w:t>Średnia procentowa zmiana kursu akcji spółki po wprowadzeniu jej do rubryki ,,Wykres do przemyślenia”</w:t>
      </w:r>
      <w:r w:rsidRPr="00360DB8">
        <w:rPr>
          <w:b/>
          <w:color w:val="FF0000"/>
          <w:sz w:val="32"/>
          <w:szCs w:val="32"/>
        </w:rPr>
        <w:t xml:space="preserve"> w okresie 6 miesięcy</w:t>
      </w:r>
      <w:r w:rsidRPr="00360DB8">
        <w:rPr>
          <w:sz w:val="32"/>
          <w:szCs w:val="32"/>
        </w:rPr>
        <w:t xml:space="preserve"> po jej wprowadzeniu do tej rubryki wynosiła </w:t>
      </w:r>
      <w:r w:rsidRPr="00360DB8">
        <w:rPr>
          <w:b/>
          <w:color w:val="FF0000"/>
          <w:sz w:val="32"/>
          <w:szCs w:val="32"/>
        </w:rPr>
        <w:t xml:space="preserve">plus </w:t>
      </w:r>
      <w:r>
        <w:rPr>
          <w:b/>
          <w:color w:val="FF0000"/>
          <w:sz w:val="32"/>
          <w:szCs w:val="32"/>
        </w:rPr>
        <w:t>22,6</w:t>
      </w:r>
      <w:r w:rsidRPr="00360DB8">
        <w:rPr>
          <w:b/>
          <w:color w:val="FF0000"/>
          <w:sz w:val="32"/>
          <w:szCs w:val="32"/>
        </w:rPr>
        <w:t xml:space="preserve"> %</w:t>
      </w:r>
      <w:r w:rsidRPr="00360DB8">
        <w:rPr>
          <w:sz w:val="32"/>
          <w:szCs w:val="32"/>
        </w:rPr>
        <w:t xml:space="preserve"> a średnia procentowa zmiana indeksu WIG20 wynosiła w tym okresie minus </w:t>
      </w:r>
      <w:r>
        <w:rPr>
          <w:sz w:val="32"/>
          <w:szCs w:val="32"/>
        </w:rPr>
        <w:t>2</w:t>
      </w:r>
      <w:r w:rsidRPr="00360DB8">
        <w:rPr>
          <w:sz w:val="32"/>
          <w:szCs w:val="32"/>
        </w:rPr>
        <w:t>,</w:t>
      </w:r>
      <w:r>
        <w:rPr>
          <w:sz w:val="32"/>
          <w:szCs w:val="32"/>
        </w:rPr>
        <w:t>8</w:t>
      </w:r>
      <w:r w:rsidRPr="00360DB8">
        <w:rPr>
          <w:sz w:val="32"/>
          <w:szCs w:val="32"/>
        </w:rPr>
        <w:t xml:space="preserve"> % (</w:t>
      </w:r>
      <w:r w:rsidRPr="00360DB8">
        <w:rPr>
          <w:sz w:val="32"/>
          <w:szCs w:val="32"/>
          <w:u w:val="single"/>
        </w:rPr>
        <w:t xml:space="preserve">obliczenia według stanu na </w:t>
      </w:r>
      <w:r>
        <w:rPr>
          <w:sz w:val="32"/>
          <w:szCs w:val="32"/>
          <w:u w:val="single"/>
        </w:rPr>
        <w:t xml:space="preserve">12 czerwca </w:t>
      </w:r>
      <w:r w:rsidRPr="00360DB8">
        <w:rPr>
          <w:sz w:val="32"/>
          <w:szCs w:val="32"/>
          <w:u w:val="single"/>
        </w:rPr>
        <w:t>2015 roku</w:t>
      </w:r>
      <w:r w:rsidRPr="00360DB8">
        <w:rPr>
          <w:sz w:val="32"/>
          <w:szCs w:val="32"/>
        </w:rPr>
        <w:t>). Dane o procentowej zmianie kursu dla okresu 6-miesięcznego można było obliczyć dla akcji 1</w:t>
      </w:r>
      <w:r>
        <w:rPr>
          <w:sz w:val="32"/>
          <w:szCs w:val="32"/>
        </w:rPr>
        <w:t>8</w:t>
      </w:r>
      <w:r w:rsidRPr="00360DB8">
        <w:rPr>
          <w:sz w:val="32"/>
          <w:szCs w:val="32"/>
        </w:rPr>
        <w:t xml:space="preserve"> spółek. </w:t>
      </w:r>
    </w:p>
    <w:p w:rsidR="00962B43" w:rsidRPr="00360DB8" w:rsidRDefault="00962B43" w:rsidP="00962B43">
      <w:pPr>
        <w:pStyle w:val="Bezodstpw"/>
        <w:jc w:val="both"/>
        <w:rPr>
          <w:sz w:val="28"/>
          <w:szCs w:val="28"/>
        </w:rPr>
      </w:pPr>
    </w:p>
    <w:p w:rsidR="00962B43" w:rsidRDefault="00962B43" w:rsidP="00962B43">
      <w:pPr>
        <w:pStyle w:val="Bezodstpw"/>
        <w:jc w:val="both"/>
      </w:pPr>
      <w:r w:rsidRPr="00AF56EB">
        <w:rPr>
          <w:noProof/>
          <w:bdr w:val="single" w:sz="24" w:space="0" w:color="00B050"/>
        </w:rPr>
        <w:drawing>
          <wp:inline distT="0" distB="0" distL="0" distR="0">
            <wp:extent cx="4162425" cy="2095500"/>
            <wp:effectExtent l="19050" t="0" r="9525" b="0"/>
            <wp:docPr id="1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62B43" w:rsidRDefault="00962B43" w:rsidP="00962B43">
      <w:pPr>
        <w:pStyle w:val="Bezodstpw"/>
        <w:jc w:val="both"/>
      </w:pPr>
    </w:p>
    <w:p w:rsidR="00962B43" w:rsidRDefault="00962B43" w:rsidP="00962B43">
      <w:pPr>
        <w:pStyle w:val="Bezodstpw"/>
        <w:jc w:val="both"/>
        <w:rPr>
          <w:sz w:val="24"/>
          <w:szCs w:val="24"/>
        </w:rPr>
      </w:pPr>
      <w:r w:rsidRPr="004B4AAC">
        <w:rPr>
          <w:sz w:val="24"/>
          <w:szCs w:val="24"/>
        </w:rPr>
        <w:t xml:space="preserve">Z powyższego porównania wynika, że </w:t>
      </w:r>
      <w:r w:rsidRPr="004B4AAC">
        <w:rPr>
          <w:b/>
          <w:sz w:val="24"/>
          <w:szCs w:val="24"/>
        </w:rPr>
        <w:t>wybicie kursu akcji spółki z formacji podwójnego dna</w:t>
      </w:r>
      <w:r w:rsidRPr="004B4AAC">
        <w:rPr>
          <w:sz w:val="24"/>
          <w:szCs w:val="24"/>
        </w:rPr>
        <w:t xml:space="preserve"> będące </w:t>
      </w:r>
      <w:r w:rsidRPr="004B4AAC">
        <w:rPr>
          <w:b/>
          <w:color w:val="000000" w:themeColor="text1"/>
          <w:sz w:val="24"/>
          <w:szCs w:val="24"/>
        </w:rPr>
        <w:t>niezbędnym kryterium kwalifikującym</w:t>
      </w:r>
      <w:r w:rsidRPr="004B4AAC">
        <w:rPr>
          <w:sz w:val="24"/>
          <w:szCs w:val="24"/>
        </w:rPr>
        <w:t xml:space="preserve"> do wprowadzenie spółki do rubryki ,,Wykres do przemyślenia” sprzyja relatywnie mocnemu zachowaniu kursu akcji tej spółki w okresie pierwszych </w:t>
      </w:r>
      <w:r>
        <w:rPr>
          <w:sz w:val="24"/>
          <w:szCs w:val="24"/>
        </w:rPr>
        <w:t>6</w:t>
      </w:r>
      <w:r w:rsidRPr="004B4AAC">
        <w:rPr>
          <w:sz w:val="24"/>
          <w:szCs w:val="24"/>
        </w:rPr>
        <w:t xml:space="preserve"> miesięcy po wprowadzeniu spółki do tej rubryki.</w:t>
      </w:r>
    </w:p>
    <w:p w:rsidR="00962B43" w:rsidRPr="00295250" w:rsidRDefault="00962B43" w:rsidP="00962B43">
      <w:pPr>
        <w:pStyle w:val="Bezodstpw"/>
        <w:jc w:val="both"/>
        <w:rPr>
          <w:b/>
        </w:rPr>
      </w:pPr>
      <w:r w:rsidRPr="00295250">
        <w:rPr>
          <w:b/>
        </w:rPr>
        <w:lastRenderedPageBreak/>
        <w:t>Wnioski końcowe</w:t>
      </w:r>
    </w:p>
    <w:p w:rsidR="00962B43" w:rsidRDefault="00962B43" w:rsidP="00962B43">
      <w:pPr>
        <w:pStyle w:val="Bezodstpw"/>
        <w:jc w:val="both"/>
      </w:pPr>
    </w:p>
    <w:p w:rsidR="00962B43" w:rsidRPr="00F904FA" w:rsidRDefault="00962B43" w:rsidP="00962B43">
      <w:pPr>
        <w:pStyle w:val="Bezodstpw"/>
        <w:numPr>
          <w:ilvl w:val="0"/>
          <w:numId w:val="1"/>
        </w:numPr>
        <w:jc w:val="both"/>
        <w:rPr>
          <w:color w:val="000000" w:themeColor="text1"/>
        </w:rPr>
      </w:pPr>
      <w:r w:rsidRPr="00F904FA">
        <w:rPr>
          <w:b/>
          <w:color w:val="000000" w:themeColor="text1"/>
        </w:rPr>
        <w:t>Kurs dolara amerykańskiego (w złotych)</w:t>
      </w:r>
      <w:r w:rsidRPr="00F904FA">
        <w:rPr>
          <w:color w:val="000000" w:themeColor="text1"/>
        </w:rPr>
        <w:t xml:space="preserve"> spadł poniżej bardzo ważnego oporu na poziomie 3,9130 zł. z lutego 2009 roku. W tej sytuacji można oczekiwać rozpoczęcia się fali spadków w kierunku linii trendu wzrostowego poprowadzonej przez dołki z lipca 2008 roku oraz czerwca 2014 roku, która aktualnie przebiega na poziomie </w:t>
      </w:r>
      <w:r w:rsidRPr="00F904FA">
        <w:rPr>
          <w:b/>
          <w:color w:val="FF0000"/>
        </w:rPr>
        <w:t>3,10</w:t>
      </w:r>
      <w:r w:rsidRPr="00F904FA">
        <w:rPr>
          <w:color w:val="000000" w:themeColor="text1"/>
        </w:rPr>
        <w:t xml:space="preserve">. Osłabienie kursu dolara amerykańskiego (w złotych) może być związane z napływem kapitału zagranicznego na polski rynek akcji, czemu towarzyszyć może także osłabienie kursów innych walut zagranicznych (w tym jena japońskiego złotych). Mark </w:t>
      </w:r>
      <w:proofErr w:type="spellStart"/>
      <w:r w:rsidRPr="00F904FA">
        <w:rPr>
          <w:color w:val="000000" w:themeColor="text1"/>
        </w:rPr>
        <w:t>Mobius</w:t>
      </w:r>
      <w:proofErr w:type="spellEnd"/>
      <w:r w:rsidRPr="00F904FA">
        <w:rPr>
          <w:color w:val="000000" w:themeColor="text1"/>
        </w:rPr>
        <w:t xml:space="preserve">, szef </w:t>
      </w:r>
      <w:proofErr w:type="spellStart"/>
      <w:r w:rsidRPr="00F904FA">
        <w:rPr>
          <w:color w:val="000000" w:themeColor="text1"/>
        </w:rPr>
        <w:t>Templeton</w:t>
      </w:r>
      <w:proofErr w:type="spellEnd"/>
      <w:r w:rsidRPr="00F904FA">
        <w:rPr>
          <w:color w:val="000000" w:themeColor="text1"/>
        </w:rPr>
        <w:t xml:space="preserve"> </w:t>
      </w:r>
      <w:proofErr w:type="spellStart"/>
      <w:r w:rsidRPr="00F904FA">
        <w:rPr>
          <w:color w:val="000000" w:themeColor="text1"/>
        </w:rPr>
        <w:t>Emerging</w:t>
      </w:r>
      <w:proofErr w:type="spellEnd"/>
      <w:r w:rsidRPr="00F904FA">
        <w:rPr>
          <w:color w:val="000000" w:themeColor="text1"/>
        </w:rPr>
        <w:t xml:space="preserve"> </w:t>
      </w:r>
      <w:proofErr w:type="spellStart"/>
      <w:r w:rsidRPr="00F904FA">
        <w:rPr>
          <w:color w:val="000000" w:themeColor="text1"/>
        </w:rPr>
        <w:t>Markets</w:t>
      </w:r>
      <w:proofErr w:type="spellEnd"/>
      <w:r w:rsidRPr="00F904FA">
        <w:rPr>
          <w:color w:val="000000" w:themeColor="text1"/>
        </w:rPr>
        <w:t xml:space="preserve"> Group powiedział niedawno: ,,</w:t>
      </w:r>
      <w:r w:rsidRPr="00F904FA">
        <w:rPr>
          <w:b/>
          <w:color w:val="000000" w:themeColor="text1"/>
        </w:rPr>
        <w:t>nadszedł czas, aby inwestorzy zaczęli przenosić się z drogiego amerykańskiego rynku akcji na rynki akcji gospodarek wschodzących</w:t>
      </w:r>
      <w:r w:rsidRPr="00F904FA">
        <w:rPr>
          <w:color w:val="000000" w:themeColor="text1"/>
        </w:rPr>
        <w:t>”</w:t>
      </w:r>
    </w:p>
    <w:p w:rsidR="00962B43" w:rsidRPr="00F904FA" w:rsidRDefault="00962B43" w:rsidP="00962B43">
      <w:pPr>
        <w:pStyle w:val="Bezodstpw"/>
        <w:jc w:val="both"/>
        <w:rPr>
          <w:color w:val="000000" w:themeColor="text1"/>
        </w:rPr>
      </w:pPr>
    </w:p>
    <w:p w:rsidR="00962B43" w:rsidRDefault="00962B43" w:rsidP="00962B43">
      <w:pPr>
        <w:pStyle w:val="Bezodstpw"/>
        <w:numPr>
          <w:ilvl w:val="0"/>
          <w:numId w:val="1"/>
        </w:numPr>
        <w:jc w:val="both"/>
        <w:rPr>
          <w:color w:val="000000" w:themeColor="text1"/>
        </w:rPr>
      </w:pPr>
      <w:r w:rsidRPr="000F15ED">
        <w:rPr>
          <w:color w:val="000000" w:themeColor="text1"/>
        </w:rPr>
        <w:t xml:space="preserve">W przypadku </w:t>
      </w:r>
      <w:r w:rsidRPr="000F15ED">
        <w:rPr>
          <w:b/>
          <w:color w:val="000000" w:themeColor="text1"/>
        </w:rPr>
        <w:t>kursu euro (w złotych)</w:t>
      </w:r>
      <w:r w:rsidRPr="000F15ED">
        <w:rPr>
          <w:color w:val="000000" w:themeColor="text1"/>
        </w:rPr>
        <w:t xml:space="preserve"> bardzo ważnym poziomem oporu jest poziom 4,3668 (szczyt z czerwca 2013 roku). Po dojściu do tego oporu rozpoczęła się fala spadków w kierunku ważnego wsparcia, którym był dołek z 6 czerwca 2014 roku przebiegający na poziomie  4,092. Najbliższym ważnym wsparciem jest poziom </w:t>
      </w:r>
      <w:r w:rsidRPr="000F15ED">
        <w:rPr>
          <w:b/>
          <w:color w:val="FF0000"/>
        </w:rPr>
        <w:t>3,8932 zł</w:t>
      </w:r>
      <w:r w:rsidRPr="000F15ED">
        <w:rPr>
          <w:color w:val="000000" w:themeColor="text1"/>
        </w:rPr>
        <w:t xml:space="preserve"> (dołek z maja 2011 roku).</w:t>
      </w:r>
    </w:p>
    <w:p w:rsidR="00962B43" w:rsidRPr="000F15ED" w:rsidRDefault="00962B43" w:rsidP="00962B43">
      <w:pPr>
        <w:pStyle w:val="Bezodstpw"/>
        <w:ind w:left="720"/>
        <w:jc w:val="both"/>
        <w:rPr>
          <w:color w:val="000000" w:themeColor="text1"/>
        </w:rPr>
      </w:pPr>
    </w:p>
    <w:p w:rsidR="00962B43" w:rsidRDefault="00962B43" w:rsidP="00962B43">
      <w:pPr>
        <w:pStyle w:val="Bezodstpw"/>
        <w:numPr>
          <w:ilvl w:val="0"/>
          <w:numId w:val="1"/>
        </w:numPr>
        <w:jc w:val="both"/>
        <w:rPr>
          <w:color w:val="000000" w:themeColor="text1"/>
        </w:rPr>
      </w:pPr>
      <w:r w:rsidRPr="00F904FA">
        <w:rPr>
          <w:color w:val="000000" w:themeColor="text1"/>
        </w:rPr>
        <w:t xml:space="preserve">Z fundamentalnego punktu widzenia przewidywane w 2015 roku wzrosty indeksów giełdowych opisujących sytuację na polskim rynku akcji mogą być przejawem </w:t>
      </w:r>
      <w:r w:rsidRPr="00F904FA">
        <w:rPr>
          <w:b/>
          <w:color w:val="000000" w:themeColor="text1"/>
        </w:rPr>
        <w:t>dyskontowania przez uczestników polskiego rynku akcji ożywienia gospodarczego w Polsce, które</w:t>
      </w:r>
      <w:r w:rsidRPr="00F904FA">
        <w:rPr>
          <w:color w:val="000000" w:themeColor="text1"/>
        </w:rPr>
        <w:t xml:space="preserve"> (zgodnie z np. prognozami analityków NBP, Instytutu Badań nad Gospodarką Rynkową, czy też np. banku inwestycyjnego Morgan Stanley) </w:t>
      </w:r>
      <w:r w:rsidRPr="00F904FA">
        <w:rPr>
          <w:b/>
          <w:color w:val="000000" w:themeColor="text1"/>
        </w:rPr>
        <w:t>powinno nastąpić w 2016 roku</w:t>
      </w:r>
      <w:r w:rsidRPr="00F904FA">
        <w:rPr>
          <w:color w:val="000000" w:themeColor="text1"/>
        </w:rPr>
        <w:t xml:space="preserve"> (kiedy to zdaniem, wyżej wymienionych analityków można oczekiwać, wedle wyżej wymienionych prognoz przyspieszenia realnego wzrostu PKB. </w:t>
      </w:r>
    </w:p>
    <w:p w:rsidR="00962B43" w:rsidRDefault="00962B43" w:rsidP="00962B43">
      <w:pPr>
        <w:pStyle w:val="Bezodstpw"/>
        <w:jc w:val="both"/>
        <w:rPr>
          <w:color w:val="000000" w:themeColor="text1"/>
        </w:rPr>
      </w:pPr>
    </w:p>
    <w:p w:rsidR="00962B43" w:rsidRPr="005F3667" w:rsidRDefault="00962B43" w:rsidP="00962B43">
      <w:pPr>
        <w:pStyle w:val="Bezodstpw"/>
        <w:numPr>
          <w:ilvl w:val="0"/>
          <w:numId w:val="1"/>
        </w:numPr>
        <w:jc w:val="both"/>
      </w:pPr>
      <w:r w:rsidRPr="005F3667">
        <w:rPr>
          <w:color w:val="000000" w:themeColor="text1"/>
        </w:rPr>
        <w:t>Indeks WIG 20 w poprzednim tygodniu stracił na wartości</w:t>
      </w:r>
      <w:r>
        <w:rPr>
          <w:color w:val="000000" w:themeColor="text1"/>
        </w:rPr>
        <w:t xml:space="preserve">. </w:t>
      </w:r>
      <w:r w:rsidRPr="00903230">
        <w:rPr>
          <w:b/>
          <w:color w:val="000000" w:themeColor="text1"/>
          <w:u w:val="single"/>
        </w:rPr>
        <w:t>Realna perspektywa spadku cen kontraktów terminowych na miedź</w:t>
      </w:r>
      <w:r>
        <w:rPr>
          <w:color w:val="000000" w:themeColor="text1"/>
        </w:rPr>
        <w:t xml:space="preserve"> może przyczyniać się do pogłębiania się spadków indeksu WIG20. </w:t>
      </w:r>
      <w:r w:rsidRPr="00903230">
        <w:rPr>
          <w:color w:val="000000" w:themeColor="text1"/>
        </w:rPr>
        <w:t xml:space="preserve">Gdzie można zaobserwować wsparcie na wykresie indeksu WIG 20 ?. To oczywiście jest kwestią dyskusyjną. Generalnie jednak można powiedzieć, że można je wyznaczyć na poziomie lekko wzrostowej linii trendu poprowadzonej przez dołki z czerwca 2012 roku oraz stycznia 2015 roku. Aktualnie linia ta przebiega na poziomie </w:t>
      </w:r>
      <w:r w:rsidRPr="00903230">
        <w:rPr>
          <w:b/>
          <w:color w:val="FF0000"/>
        </w:rPr>
        <w:t>2 280 punktów.</w:t>
      </w:r>
    </w:p>
    <w:p w:rsidR="00962B43" w:rsidRDefault="00962B43" w:rsidP="00962B43">
      <w:pPr>
        <w:pStyle w:val="Bezodstpw"/>
        <w:ind w:left="720"/>
        <w:jc w:val="both"/>
      </w:pPr>
    </w:p>
    <w:p w:rsidR="00962B43" w:rsidRDefault="00962B43" w:rsidP="00962B43">
      <w:pPr>
        <w:pStyle w:val="Bezodstpw"/>
        <w:jc w:val="both"/>
      </w:pPr>
      <w:r>
        <w:t xml:space="preserve">Opracował: </w:t>
      </w:r>
      <w:r w:rsidRPr="00AA453E">
        <w:t>Sławomir Kłusek</w:t>
      </w:r>
      <w:r>
        <w:t>, 15 czerwca 2015 r.</w:t>
      </w:r>
    </w:p>
    <w:p w:rsidR="00962B43" w:rsidRDefault="00962B43" w:rsidP="00962B43">
      <w:pPr>
        <w:pStyle w:val="Bezodstpw"/>
        <w:ind w:left="720"/>
        <w:jc w:val="both"/>
      </w:pPr>
    </w:p>
    <w:p w:rsidR="00962B43" w:rsidRDefault="00962B43" w:rsidP="00962B43">
      <w:pPr>
        <w:pStyle w:val="Bezodstpw"/>
        <w:jc w:val="both"/>
      </w:pPr>
      <w:r>
        <w:t xml:space="preserve">Powyższy raport stanowi wyłącznie wyraz osobistych opinii autora. </w:t>
      </w:r>
    </w:p>
    <w:p w:rsidR="00962B43" w:rsidRDefault="00962B43" w:rsidP="00962B43">
      <w:pPr>
        <w:pStyle w:val="Bezodstpw"/>
        <w:jc w:val="both"/>
      </w:pPr>
    </w:p>
    <w:p w:rsidR="00962B43" w:rsidRDefault="00962B43" w:rsidP="00962B43">
      <w:pPr>
        <w:pStyle w:val="Bezodstpw"/>
        <w:jc w:val="both"/>
      </w:pPr>
      <w:r>
        <w:t xml:space="preserve">Treści zawarte na stronie internetowej </w:t>
      </w:r>
      <w:hyperlink r:id="rId22" w:history="1">
        <w:r w:rsidRPr="00093965">
          <w:rPr>
            <w:rStyle w:val="Hipercze"/>
          </w:rPr>
          <w:t>www.analizy-rynkowe.pl</w:t>
        </w:r>
      </w:hyperlink>
      <w:r>
        <w:t xml:space="preserve"> </w:t>
      </w:r>
      <w:r w:rsidRPr="00875D60">
        <w:t>nie stanowi</w:t>
      </w:r>
      <w:r>
        <w:t>ą</w:t>
      </w:r>
      <w:r w:rsidRPr="00875D60">
        <w:t xml:space="preserve"> "rekomendacji" w rozumieniu przepisów Rozporządzenia Ministra Finansów z dnia 19 października 2005 r. w sprawie informacji stanowiących rekomendacje dotyczące instrumentów finansowych, lub ich emitentów (</w:t>
      </w:r>
      <w:proofErr w:type="spellStart"/>
      <w:r w:rsidRPr="00875D60">
        <w:t>Dz.U</w:t>
      </w:r>
      <w:proofErr w:type="spellEnd"/>
      <w:r w:rsidRPr="00875D60">
        <w:t>. z 2005 r. Nr 206, poz. 1715).</w:t>
      </w:r>
    </w:p>
    <w:p w:rsidR="00962B43" w:rsidRDefault="00962B43" w:rsidP="00962B43">
      <w:pPr>
        <w:pStyle w:val="Bezodstpw"/>
        <w:jc w:val="both"/>
      </w:pPr>
    </w:p>
    <w:p w:rsidR="00962B43" w:rsidRDefault="00962B43" w:rsidP="00962B43">
      <w:pPr>
        <w:pStyle w:val="Bezodstpw"/>
        <w:jc w:val="both"/>
      </w:pPr>
      <w:r>
        <w:t xml:space="preserve">Autor nie ponosi odpowiedzialności za jakiekolwiek decyzje inwestycyjne podjęte na podstawie treści zawartych na stronie internetowej </w:t>
      </w:r>
      <w:hyperlink r:id="rId23" w:history="1">
        <w:r w:rsidRPr="00093965">
          <w:rPr>
            <w:rStyle w:val="Hipercze"/>
          </w:rPr>
          <w:t>www.analizy-rynkowe.pl</w:t>
        </w:r>
      </w:hyperlink>
    </w:p>
    <w:p w:rsidR="00962B43" w:rsidRDefault="00962B43" w:rsidP="00962B43">
      <w:pPr>
        <w:pStyle w:val="Bezodstpw"/>
        <w:jc w:val="both"/>
        <w:rPr>
          <w:noProof/>
        </w:rPr>
      </w:pPr>
    </w:p>
    <w:p w:rsidR="00962B43" w:rsidRDefault="00962B43" w:rsidP="00962B43">
      <w:pPr>
        <w:pStyle w:val="Bezodstpw"/>
        <w:jc w:val="both"/>
      </w:pPr>
    </w:p>
    <w:p w:rsidR="00962B43" w:rsidRDefault="00962B43" w:rsidP="00962B43">
      <w:pPr>
        <w:pStyle w:val="Bezodstpw"/>
        <w:jc w:val="both"/>
      </w:pPr>
    </w:p>
    <w:sectPr w:rsidR="00962B43" w:rsidSect="0073675B">
      <w:footerReference w:type="default" r:id="rId24"/>
      <w:pgSz w:w="11906" w:h="16838" w:code="9"/>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094"/>
      <w:docPartObj>
        <w:docPartGallery w:val="Page Numbers (Bottom of Page)"/>
        <w:docPartUnique/>
      </w:docPartObj>
    </w:sdtPr>
    <w:sdtEndPr/>
    <w:sdtContent>
      <w:p w:rsidR="0073675B" w:rsidRDefault="00D7323B">
        <w:pPr>
          <w:pStyle w:val="Stopka"/>
          <w:jc w:val="center"/>
        </w:pPr>
        <w:r>
          <w:fldChar w:fldCharType="begin"/>
        </w:r>
        <w:r>
          <w:instrText>PAGE</w:instrText>
        </w:r>
        <w:r>
          <w:instrText xml:space="preserve">   \* MERGEFORMAT</w:instrText>
        </w:r>
        <w:r>
          <w:fldChar w:fldCharType="separate"/>
        </w:r>
        <w:r>
          <w:rPr>
            <w:noProof/>
          </w:rPr>
          <w:t>10</w:t>
        </w:r>
        <w:r>
          <w:fldChar w:fldCharType="end"/>
        </w:r>
      </w:p>
    </w:sdtContent>
  </w:sdt>
  <w:p w:rsidR="0073675B" w:rsidRDefault="00D7323B">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62B43"/>
    <w:rsid w:val="002159CD"/>
    <w:rsid w:val="003560F9"/>
    <w:rsid w:val="00962B43"/>
    <w:rsid w:val="00D732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B4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2B43"/>
    <w:pPr>
      <w:spacing w:after="0" w:line="240" w:lineRule="auto"/>
    </w:pPr>
    <w:rPr>
      <w:rFonts w:eastAsiaTheme="minorEastAsia"/>
      <w:lang w:eastAsia="pl-PL"/>
    </w:rPr>
  </w:style>
  <w:style w:type="paragraph" w:styleId="Stopka">
    <w:name w:val="footer"/>
    <w:basedOn w:val="Normalny"/>
    <w:link w:val="StopkaZnak"/>
    <w:uiPriority w:val="99"/>
    <w:unhideWhenUsed/>
    <w:rsid w:val="00962B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2B43"/>
    <w:rPr>
      <w:rFonts w:eastAsiaTheme="minorEastAsia"/>
      <w:lang w:eastAsia="pl-PL"/>
    </w:rPr>
  </w:style>
  <w:style w:type="character" w:styleId="Hipercze">
    <w:name w:val="Hyperlink"/>
    <w:basedOn w:val="Domylnaczcionkaakapitu"/>
    <w:uiPriority w:val="99"/>
    <w:unhideWhenUsed/>
    <w:rsid w:val="00962B43"/>
    <w:rPr>
      <w:color w:val="0000FF" w:themeColor="hyperlink"/>
      <w:u w:val="single"/>
    </w:rPr>
  </w:style>
  <w:style w:type="table" w:styleId="Tabela-Siatka">
    <w:name w:val="Table Grid"/>
    <w:basedOn w:val="Standardowy"/>
    <w:uiPriority w:val="59"/>
    <w:rsid w:val="00962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62B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2B43"/>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analizy-rynkowe.pl" TargetMode="External"/><Relationship Id="rId18" Type="http://schemas.openxmlformats.org/officeDocument/2006/relationships/hyperlink" Target="http://www.analizy-rynkowe.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xml"/><Relationship Id="rId7" Type="http://schemas.openxmlformats.org/officeDocument/2006/relationships/image" Target="media/image3.gif"/><Relationship Id="rId12" Type="http://schemas.openxmlformats.org/officeDocument/2006/relationships/hyperlink" Target="http://www.analizy-rynkowe.pl" TargetMode="External"/><Relationship Id="rId17" Type="http://schemas.openxmlformats.org/officeDocument/2006/relationships/hyperlink" Target="http://www.analizy-rynkowe.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alizy-rynkowe.pl" TargetMode="External"/><Relationship Id="rId20" Type="http://schemas.openxmlformats.org/officeDocument/2006/relationships/hyperlink" Target="http://www.analizy-rynkowe.p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analizy-rynkowe.pl" TargetMode="External"/><Relationship Id="rId24" Type="http://schemas.openxmlformats.org/officeDocument/2006/relationships/footer" Target="footer1.xml"/><Relationship Id="rId5" Type="http://schemas.openxmlformats.org/officeDocument/2006/relationships/image" Target="media/image1.gif"/><Relationship Id="rId15" Type="http://schemas.openxmlformats.org/officeDocument/2006/relationships/hyperlink" Target="http://www.analizy-rynkowe.pl" TargetMode="External"/><Relationship Id="rId23" Type="http://schemas.openxmlformats.org/officeDocument/2006/relationships/hyperlink" Target="http://www.analizy-rynkowe.pl" TargetMode="External"/><Relationship Id="rId10" Type="http://schemas.openxmlformats.org/officeDocument/2006/relationships/hyperlink" Target="http://www.analizy-rynkowe.pl" TargetMode="External"/><Relationship Id="rId19" Type="http://schemas.openxmlformats.org/officeDocument/2006/relationships/hyperlink" Target="http://www.analizy-rynkowe.pl" TargetMode="External"/><Relationship Id="rId4" Type="http://schemas.openxmlformats.org/officeDocument/2006/relationships/webSettings" Target="webSettings.xml"/><Relationship Id="rId9" Type="http://schemas.openxmlformats.org/officeDocument/2006/relationships/hyperlink" Target="http://analizy-rynkowe.pl/znaczy-wlasciwie-znaczy-spolka-atrakcyjna-fundamentalnie-proba-refleksji/" TargetMode="External"/><Relationship Id="rId14" Type="http://schemas.openxmlformats.org/officeDocument/2006/relationships/hyperlink" Target="http://www.analizy-rynkowe.pl" TargetMode="External"/><Relationship Id="rId22" Type="http://schemas.openxmlformats.org/officeDocument/2006/relationships/hyperlink" Target="http://www.analizy-rynkowe.p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wydi\Moje%20dokumenty\EFEKT-MALYCH-SPOLE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37"/>
  <c:chart>
    <c:title>
      <c:tx>
        <c:rich>
          <a:bodyPr/>
          <a:lstStyle/>
          <a:p>
            <a:pPr>
              <a:defRPr/>
            </a:pPr>
            <a:r>
              <a:rPr lang="pl-PL"/>
              <a:t>Porównanie</a:t>
            </a:r>
            <a:endParaRPr lang="en-US"/>
          </a:p>
        </c:rich>
      </c:tx>
    </c:title>
    <c:plotArea>
      <c:layout/>
      <c:barChart>
        <c:barDir val="col"/>
        <c:grouping val="clustered"/>
        <c:ser>
          <c:idx val="0"/>
          <c:order val="0"/>
          <c:tx>
            <c:strRef>
              <c:f>Arkusz1!$A$1</c:f>
              <c:strCache>
                <c:ptCount val="1"/>
                <c:pt idx="0">
                  <c:v>Wykres do przemyślenia</c:v>
                </c:pt>
              </c:strCache>
            </c:strRef>
          </c:tx>
          <c:val>
            <c:numRef>
              <c:f>Arkusz1!$B$1</c:f>
              <c:numCache>
                <c:formatCode>0.0</c:formatCode>
                <c:ptCount val="1"/>
                <c:pt idx="0">
                  <c:v>22.6</c:v>
                </c:pt>
              </c:numCache>
            </c:numRef>
          </c:val>
        </c:ser>
        <c:ser>
          <c:idx val="1"/>
          <c:order val="1"/>
          <c:tx>
            <c:strRef>
              <c:f>Arkusz1!$A$2</c:f>
              <c:strCache>
                <c:ptCount val="1"/>
                <c:pt idx="0">
                  <c:v>WIG20</c:v>
                </c:pt>
              </c:strCache>
            </c:strRef>
          </c:tx>
          <c:val>
            <c:numRef>
              <c:f>Arkusz1!$B$2</c:f>
              <c:numCache>
                <c:formatCode>0.0</c:formatCode>
                <c:ptCount val="1"/>
                <c:pt idx="0">
                  <c:v>-2.8</c:v>
                </c:pt>
              </c:numCache>
            </c:numRef>
          </c:val>
        </c:ser>
        <c:dLbls>
          <c:showVal val="1"/>
        </c:dLbls>
        <c:overlap val="-25"/>
        <c:axId val="88780160"/>
        <c:axId val="89702400"/>
      </c:barChart>
      <c:catAx>
        <c:axId val="88780160"/>
        <c:scaling>
          <c:orientation val="minMax"/>
        </c:scaling>
        <c:delete val="1"/>
        <c:axPos val="b"/>
        <c:numFmt formatCode="General" sourceLinked="1"/>
        <c:majorTickMark val="none"/>
        <c:tickLblPos val="none"/>
        <c:crossAx val="89702400"/>
        <c:crosses val="autoZero"/>
        <c:auto val="1"/>
        <c:lblAlgn val="ctr"/>
        <c:lblOffset val="100"/>
      </c:catAx>
      <c:valAx>
        <c:axId val="89702400"/>
        <c:scaling>
          <c:orientation val="minMax"/>
        </c:scaling>
        <c:delete val="1"/>
        <c:axPos val="l"/>
        <c:numFmt formatCode="0.0" sourceLinked="1"/>
        <c:majorTickMark val="none"/>
        <c:tickLblPos val="none"/>
        <c:crossAx val="88780160"/>
        <c:crosses val="autoZero"/>
        <c:crossBetween val="between"/>
      </c:valAx>
    </c:plotArea>
    <c:legend>
      <c:legendPos val="t"/>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2703</Words>
  <Characters>16219</Characters>
  <Application>Microsoft Office Word</Application>
  <DocSecurity>0</DocSecurity>
  <Lines>135</Lines>
  <Paragraphs>37</Paragraphs>
  <ScaleCrop>false</ScaleCrop>
  <Company/>
  <LinksUpToDate>false</LinksUpToDate>
  <CharactersWithSpaces>18885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2</cp:revision>
  <dcterms:created xsi:type="dcterms:W3CDTF">2015-06-14T10:03:00Z</dcterms:created>
  <dcterms:modified xsi:type="dcterms:W3CDTF">2015-06-14T10:03:00Z</dcterms:modified>
</cp:coreProperties>
</file>