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67" w:rsidRPr="00C16D3A" w:rsidRDefault="00E03C67" w:rsidP="00E03C67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Raport</w:t>
      </w:r>
    </w:p>
    <w:p w:rsidR="00E03C67" w:rsidRDefault="00E03C67" w:rsidP="00E03C67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Tygodniowy</w:t>
      </w:r>
    </w:p>
    <w:p w:rsidR="00E03C67" w:rsidRPr="00BB2EC3" w:rsidRDefault="00E03C67" w:rsidP="00E03C67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o sytuacji na</w:t>
      </w:r>
    </w:p>
    <w:p w:rsidR="00E03C67" w:rsidRPr="00BB2EC3" w:rsidRDefault="00E03C67" w:rsidP="00E03C67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rynkach finansowych</w:t>
      </w:r>
    </w:p>
    <w:p w:rsidR="00E03C67" w:rsidRPr="00400806" w:rsidRDefault="00E03C67" w:rsidP="00E03C67">
      <w:pPr>
        <w:pStyle w:val="Bezodstpw"/>
        <w:jc w:val="center"/>
        <w:rPr>
          <w:sz w:val="48"/>
          <w:szCs w:val="48"/>
        </w:rPr>
      </w:pPr>
    </w:p>
    <w:p w:rsidR="00E03C67" w:rsidRDefault="00E03C67" w:rsidP="00E03C67">
      <w:pPr>
        <w:pStyle w:val="Bezodstpw"/>
        <w:jc w:val="center"/>
        <w:rPr>
          <w:sz w:val="48"/>
          <w:szCs w:val="48"/>
        </w:rPr>
      </w:pPr>
    </w:p>
    <w:p w:rsidR="00E03C67" w:rsidRPr="009A4255" w:rsidRDefault="00E03C67" w:rsidP="00E03C67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walutowy</w:t>
      </w:r>
    </w:p>
    <w:p w:rsidR="00E03C67" w:rsidRPr="009A4255" w:rsidRDefault="00E03C67" w:rsidP="00E03C67">
      <w:pPr>
        <w:pStyle w:val="Bezodstpw"/>
        <w:jc w:val="center"/>
        <w:rPr>
          <w:shadow/>
          <w:sz w:val="100"/>
          <w:szCs w:val="100"/>
        </w:rPr>
      </w:pPr>
    </w:p>
    <w:p w:rsidR="00E03C67" w:rsidRPr="009A4255" w:rsidRDefault="00E03C67" w:rsidP="00E03C67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akcji</w:t>
      </w:r>
    </w:p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  <w:rPr>
          <w:shadow/>
          <w:sz w:val="24"/>
          <w:szCs w:val="24"/>
        </w:rPr>
      </w:pPr>
      <w:r w:rsidRPr="00D72F94">
        <w:rPr>
          <w:shadow/>
          <w:sz w:val="24"/>
          <w:szCs w:val="24"/>
        </w:rPr>
        <w:lastRenderedPageBreak/>
        <w:t xml:space="preserve">Poniedziałek, </w:t>
      </w:r>
      <w:r w:rsidR="00135DA0">
        <w:rPr>
          <w:shadow/>
          <w:sz w:val="24"/>
          <w:szCs w:val="24"/>
        </w:rPr>
        <w:t>8</w:t>
      </w:r>
      <w:r>
        <w:rPr>
          <w:shadow/>
          <w:sz w:val="24"/>
          <w:szCs w:val="24"/>
        </w:rPr>
        <w:t xml:space="preserve"> czerwca </w:t>
      </w:r>
      <w:r w:rsidRPr="00D72F94">
        <w:rPr>
          <w:shadow/>
          <w:sz w:val="24"/>
          <w:szCs w:val="24"/>
        </w:rPr>
        <w:t>201</w:t>
      </w:r>
      <w:r>
        <w:rPr>
          <w:shadow/>
          <w:sz w:val="24"/>
          <w:szCs w:val="24"/>
        </w:rPr>
        <w:t>5</w:t>
      </w:r>
      <w:r w:rsidRPr="00D72F94">
        <w:rPr>
          <w:shadow/>
          <w:sz w:val="24"/>
          <w:szCs w:val="24"/>
        </w:rPr>
        <w:t xml:space="preserve"> roku</w:t>
      </w:r>
    </w:p>
    <w:p w:rsidR="00E03C67" w:rsidRPr="00D72F94" w:rsidRDefault="00E03C67" w:rsidP="00E03C67">
      <w:pPr>
        <w:pStyle w:val="Bezodstpw"/>
        <w:jc w:val="both"/>
        <w:rPr>
          <w:shadow/>
          <w:sz w:val="24"/>
          <w:szCs w:val="24"/>
        </w:rPr>
      </w:pPr>
    </w:p>
    <w:p w:rsidR="00E03C67" w:rsidRDefault="00E03C67" w:rsidP="00E03C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USD/PLN – perspektywa długoterminowa, kurs z 5 czerwca 2015 roku = 3,7441</w:t>
      </w:r>
    </w:p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</w:pPr>
      <w:r>
        <w:t xml:space="preserve">Kurs spadł </w:t>
      </w:r>
      <w:r w:rsidRPr="006D27DC">
        <w:rPr>
          <w:b/>
          <w:color w:val="FF0000"/>
        </w:rPr>
        <w:t>poniżej bardzo ważnego oporu</w:t>
      </w:r>
      <w:r>
        <w:t xml:space="preserve"> na poziomie 3,9130 zł. z lutego 2009 roku. </w:t>
      </w:r>
      <w:r w:rsidRPr="004505AC">
        <w:rPr>
          <w:u w:val="single"/>
        </w:rPr>
        <w:t xml:space="preserve">W tej sytuacji </w:t>
      </w:r>
      <w:r>
        <w:t>m</w:t>
      </w:r>
      <w:r w:rsidRPr="006E1995">
        <w:t>ożna</w:t>
      </w:r>
      <w:r w:rsidRPr="006E1995">
        <w:rPr>
          <w:u w:val="single"/>
        </w:rPr>
        <w:t xml:space="preserve"> </w:t>
      </w:r>
      <w:r w:rsidRPr="00220F89">
        <w:rPr>
          <w:b/>
          <w:u w:val="single"/>
        </w:rPr>
        <w:t>oczekiwać rozpoczęcia</w:t>
      </w:r>
      <w:r>
        <w:rPr>
          <w:b/>
          <w:u w:val="single"/>
        </w:rPr>
        <w:t xml:space="preserve"> się fali</w:t>
      </w:r>
      <w:r w:rsidRPr="00F1241D">
        <w:rPr>
          <w:b/>
          <w:u w:val="single"/>
        </w:rPr>
        <w:t xml:space="preserve"> spadków</w:t>
      </w:r>
      <w:r>
        <w:t xml:space="preserve"> w kierunku linii trendu wzrostowego poprowadzonej przez dołki z lipca 2008 roku oraz czerwca 2014 roku, która aktualnie przebiega na poziomie </w:t>
      </w:r>
      <w:r w:rsidRPr="00550E2A">
        <w:rPr>
          <w:b/>
          <w:color w:val="FF0000"/>
        </w:rPr>
        <w:t>3,10.</w:t>
      </w:r>
      <w:r>
        <w:t xml:space="preserve"> </w:t>
      </w:r>
    </w:p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EUR/PLN – perspektywa długoterminowa, kurs z 5 czerwca 2015 roku = 4,1607</w:t>
      </w:r>
    </w:p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  <w:rPr>
          <w:color w:val="000000" w:themeColor="text1"/>
        </w:rPr>
      </w:pPr>
      <w:r>
        <w:t xml:space="preserve">Aktywność strony podażowej doprowadziła do przebicia od góry spadkowej linii trendu poprowadzonej przez szczyty z lutego 2009 roku oraz grudnia 2011 roku. Bardzo ważnym poziomem oporu był poziom </w:t>
      </w:r>
      <w:r w:rsidRPr="00411E48">
        <w:rPr>
          <w:b/>
          <w:color w:val="000000" w:themeColor="text1"/>
        </w:rPr>
        <w:t>4,3668</w:t>
      </w:r>
      <w:r>
        <w:t xml:space="preserve"> (szczyt z czerwca 2013 roku). Po dojściu do tego oporu </w:t>
      </w:r>
      <w:r w:rsidRPr="00220F89">
        <w:rPr>
          <w:b/>
          <w:u w:val="single"/>
        </w:rPr>
        <w:t>rozpoczęła się</w:t>
      </w:r>
      <w:r>
        <w:t xml:space="preserve"> </w:t>
      </w:r>
      <w:r>
        <w:rPr>
          <w:b/>
          <w:u w:val="single"/>
        </w:rPr>
        <w:t>fala</w:t>
      </w:r>
      <w:r w:rsidRPr="00F1241D">
        <w:rPr>
          <w:b/>
          <w:u w:val="single"/>
        </w:rPr>
        <w:t xml:space="preserve"> spadków</w:t>
      </w:r>
      <w:r>
        <w:t xml:space="preserve">. Najbliższym ważnym </w:t>
      </w:r>
      <w:r>
        <w:rPr>
          <w:color w:val="000000" w:themeColor="text1"/>
        </w:rPr>
        <w:t xml:space="preserve">wsparciem jest poziom </w:t>
      </w:r>
      <w:r w:rsidRPr="009D3063">
        <w:rPr>
          <w:b/>
          <w:color w:val="FF0000"/>
        </w:rPr>
        <w:t>3,8932 zł</w:t>
      </w:r>
      <w:r>
        <w:rPr>
          <w:color w:val="000000" w:themeColor="text1"/>
        </w:rPr>
        <w:t xml:space="preserve"> (dołek z maja 2011 roku). </w:t>
      </w:r>
    </w:p>
    <w:p w:rsidR="00E03C67" w:rsidRDefault="00E03C67" w:rsidP="00E03C67">
      <w:pPr>
        <w:pStyle w:val="Bezodstpw"/>
        <w:jc w:val="both"/>
      </w:pPr>
    </w:p>
    <w:p w:rsidR="00E03C67" w:rsidRDefault="00865465" w:rsidP="00E03C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Miedź, WIG 20 i indeks branży budowlanej </w:t>
      </w:r>
    </w:p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</w:pPr>
      <w:r>
        <w:t xml:space="preserve">W ostatnich dniach byliśmy świadkami kontynuacji trendu spadkowego w przypadku indeksu WIG 20. Co ciekawe </w:t>
      </w:r>
      <w:r w:rsidRPr="002F1961">
        <w:rPr>
          <w:b/>
          <w:u w:val="single"/>
        </w:rPr>
        <w:t>spadków na razie nie powstrzymało</w:t>
      </w:r>
      <w:r>
        <w:t xml:space="preserve"> wsparcie w postaci lekko wzrostowej linii trendu wzrostowego poprowadzonej przez dołki z 20 stycznia oraz 13 marca 2015 roku. </w:t>
      </w:r>
    </w:p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</w:pPr>
      <w:r>
        <w:t xml:space="preserve">O czym może to świadczyć ? Prawdopodobnie o słabości strony popytowej. W poprzednim ,,Raporcie Tygodniowym” wspominałem o związkach pomiędzy zachowaniem cen kontraktów terminowych a zachowaniem indeksu WIG 20. </w:t>
      </w:r>
    </w:p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  <w:rPr>
          <w:noProof/>
        </w:rPr>
      </w:pPr>
      <w:r>
        <w:t xml:space="preserve">Dziś znów zamieszczę wykres cen kontraktów terminowych na miedź. Na wykresie można dostrzec wybicie z formacji nietypowego podwójnego szczytu. </w:t>
      </w:r>
    </w:p>
    <w:p w:rsidR="00E03C67" w:rsidRDefault="00E03C67" w:rsidP="00E03C67">
      <w:pPr>
        <w:pStyle w:val="Bezodstpw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867275" cy="294322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C67" w:rsidRDefault="00E03C67" w:rsidP="00E03C67">
      <w:pPr>
        <w:pStyle w:val="Bezodstpw"/>
        <w:jc w:val="both"/>
        <w:rPr>
          <w:noProof/>
        </w:rPr>
      </w:pPr>
    </w:p>
    <w:p w:rsidR="00E03C67" w:rsidRDefault="00E03C67" w:rsidP="00E03C67">
      <w:pPr>
        <w:pStyle w:val="Bezodstpw"/>
        <w:jc w:val="both"/>
        <w:rPr>
          <w:noProof/>
        </w:rPr>
      </w:pPr>
      <w:r>
        <w:rPr>
          <w:noProof/>
        </w:rPr>
        <w:t xml:space="preserve">Z wykresu tego wynika, że, gdyby formacja ta się wypełniała powinno dojść do spadków ,,cen miedzi” (czyli spadków cen kontraktów terminowych na miedź) </w:t>
      </w:r>
      <w:r w:rsidRPr="000E30CF">
        <w:rPr>
          <w:b/>
          <w:noProof/>
        </w:rPr>
        <w:t xml:space="preserve">o 12,2 %.  </w:t>
      </w:r>
      <w:r w:rsidRPr="003A3B92">
        <w:rPr>
          <w:noProof/>
        </w:rPr>
        <w:t xml:space="preserve">Można </w:t>
      </w:r>
      <w:r>
        <w:rPr>
          <w:noProof/>
        </w:rPr>
        <w:t xml:space="preserve">być niemal pewnym, że nawet, gdyby WIG 20 jeszcze spadal to prawdopodobnie znajdą się takie spółki, których kurs w okresie owego ewentulanego spadku WIG-u 20 wzrośne. Czy wśród tych relatywnie mocnych spółek znajdą się te, które umieszczone zostały w rubryce ,,Wykres do przemyślenia” lub ,,Poczekalnia” ? Zobaczymy. </w:t>
      </w:r>
    </w:p>
    <w:p w:rsidR="00E03C67" w:rsidRDefault="00E03C67" w:rsidP="00E03C67">
      <w:pPr>
        <w:pStyle w:val="Bezodstpw"/>
        <w:jc w:val="both"/>
        <w:rPr>
          <w:noProof/>
        </w:rPr>
      </w:pPr>
    </w:p>
    <w:p w:rsidR="00E03C67" w:rsidRDefault="00E03C67" w:rsidP="00E03C67">
      <w:pPr>
        <w:pStyle w:val="Bezodstpw"/>
        <w:jc w:val="both"/>
        <w:rPr>
          <w:noProof/>
        </w:rPr>
      </w:pPr>
      <w:r>
        <w:rPr>
          <w:noProof/>
        </w:rPr>
        <w:t xml:space="preserve">Zdecydowanie natomiast warto podkreślić znów </w:t>
      </w:r>
      <w:r w:rsidRPr="00F373F6">
        <w:rPr>
          <w:b/>
          <w:noProof/>
        </w:rPr>
        <w:t>silę indksu branży budowlanej</w:t>
      </w:r>
      <w:r>
        <w:rPr>
          <w:noProof/>
        </w:rPr>
        <w:t xml:space="preserve">, który to indeks po wybiciu z formacji nietypowego podwójengo dna stoi przed szansą na dalsze wzrosty </w:t>
      </w:r>
      <w:r w:rsidRPr="00DD338C">
        <w:rPr>
          <w:b/>
          <w:noProof/>
          <w:color w:val="FF0000"/>
        </w:rPr>
        <w:t>(o 29,7 %).</w:t>
      </w:r>
    </w:p>
    <w:p w:rsidR="00E03C67" w:rsidRDefault="00E03C67" w:rsidP="00E03C67">
      <w:pPr>
        <w:pStyle w:val="Bezodstpw"/>
        <w:jc w:val="both"/>
        <w:rPr>
          <w:noProof/>
        </w:rPr>
      </w:pPr>
    </w:p>
    <w:p w:rsidR="00E03C67" w:rsidRDefault="00E03C67" w:rsidP="00E03C67">
      <w:pPr>
        <w:pStyle w:val="Bezodstpw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028950" cy="18192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C67" w:rsidRDefault="00E03C67" w:rsidP="00E03C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>
        <w:rPr>
          <w:noProof/>
        </w:rPr>
        <w:lastRenderedPageBreak/>
        <w:t>Perspektywy polityki pienieżnej w Polsce a perspktywy  relatywnej siły indkesu malych spólek</w:t>
      </w:r>
    </w:p>
    <w:p w:rsidR="00E03C67" w:rsidRDefault="00E03C67" w:rsidP="00E03C67">
      <w:pPr>
        <w:pStyle w:val="Bezodstpw"/>
        <w:jc w:val="both"/>
        <w:rPr>
          <w:noProof/>
        </w:rPr>
      </w:pPr>
    </w:p>
    <w:p w:rsidR="00E03C67" w:rsidRDefault="00E03C67" w:rsidP="00E03C67">
      <w:pPr>
        <w:pStyle w:val="Bezodstpw"/>
        <w:jc w:val="both"/>
        <w:rPr>
          <w:noProof/>
        </w:rPr>
      </w:pPr>
      <w:r>
        <w:rPr>
          <w:noProof/>
        </w:rPr>
        <w:t>Wynik wyborów prezydenckich sklania do różnych przemyśleń. Jedenym z wątków może być na przykład zastanowienie się nad wpływem wyniku wyborów oraz ewentulanych przewidywanych zmian składu sejmu</w:t>
      </w:r>
      <w:r w:rsidR="00865465">
        <w:rPr>
          <w:noProof/>
        </w:rPr>
        <w:t>*</w:t>
      </w:r>
      <w:r>
        <w:rPr>
          <w:noProof/>
        </w:rPr>
        <w:t xml:space="preserve"> i senatu po jesi</w:t>
      </w:r>
      <w:r w:rsidR="00865465">
        <w:rPr>
          <w:noProof/>
        </w:rPr>
        <w:t>e</w:t>
      </w:r>
      <w:r>
        <w:rPr>
          <w:noProof/>
        </w:rPr>
        <w:t xml:space="preserve">nnych wyborach na charakter przyszłej polityki pieniężnej. </w:t>
      </w:r>
    </w:p>
    <w:p w:rsidR="00865465" w:rsidRDefault="00865465" w:rsidP="00E03C67">
      <w:pPr>
        <w:pStyle w:val="Bezodstpw"/>
        <w:jc w:val="both"/>
        <w:rPr>
          <w:noProof/>
        </w:rPr>
      </w:pPr>
    </w:p>
    <w:p w:rsidR="00865465" w:rsidRDefault="00865465" w:rsidP="00E03C67">
      <w:pPr>
        <w:pStyle w:val="Bezodstpw"/>
        <w:jc w:val="both"/>
        <w:rPr>
          <w:noProof/>
        </w:rPr>
      </w:pPr>
      <w:r>
        <w:rPr>
          <w:noProof/>
        </w:rPr>
        <w:t xml:space="preserve">*prognoza ogólnopolskich preferencji sejmowych dokanana przez Marcina Palade – autora </w:t>
      </w:r>
      <w:r w:rsidRPr="00865465">
        <w:rPr>
          <w:noProof/>
        </w:rPr>
        <w:t>opracowań i analiz z zakresu preferencji społeczno-politycznych i geografii wyborczej w Polsce.</w:t>
      </w:r>
    </w:p>
    <w:p w:rsidR="00865465" w:rsidRDefault="00865465" w:rsidP="00E03C67">
      <w:pPr>
        <w:pStyle w:val="Bezodstpw"/>
        <w:jc w:val="both"/>
        <w:rPr>
          <w:noProof/>
        </w:rPr>
      </w:pPr>
    </w:p>
    <w:p w:rsidR="00865465" w:rsidRDefault="006362E5" w:rsidP="00E03C67">
      <w:pPr>
        <w:pStyle w:val="Bezodstpw"/>
        <w:jc w:val="both"/>
        <w:rPr>
          <w:noProof/>
        </w:rPr>
      </w:pPr>
      <w:hyperlink r:id="rId11" w:history="1">
        <w:r w:rsidR="00865465" w:rsidRPr="0018292D">
          <w:rPr>
            <w:rStyle w:val="Hipercze"/>
            <w:noProof/>
          </w:rPr>
          <w:t>http://palade.pl/index.php?p=1_2_PULS-WYBORCZY</w:t>
        </w:r>
      </w:hyperlink>
    </w:p>
    <w:p w:rsidR="00E03C67" w:rsidRDefault="00E03C67" w:rsidP="00E03C67">
      <w:pPr>
        <w:pStyle w:val="Bezodstpw"/>
        <w:jc w:val="both"/>
        <w:rPr>
          <w:noProof/>
        </w:rPr>
      </w:pPr>
    </w:p>
    <w:p w:rsidR="00E03C67" w:rsidRDefault="00E03C67" w:rsidP="00E03C67">
      <w:pPr>
        <w:pStyle w:val="Bezodstpw"/>
        <w:jc w:val="both"/>
        <w:rPr>
          <w:noProof/>
        </w:rPr>
      </w:pPr>
      <w:r>
        <w:rPr>
          <w:noProof/>
        </w:rPr>
        <w:t xml:space="preserve">Warto przypomnieć, że Rada Polityki Pienieżnej składa się z 10 osób. Prezesa NBP, który jest czlonkiem RPP proponuje prezydent RP a wybiera sejm. 3 innyxch członków RPP wybira sejm a 3 członków wybiera sentat.W jednym z ostatnich numerów </w:t>
      </w:r>
      <w:r w:rsidRPr="006A76B0">
        <w:rPr>
          <w:b/>
          <w:noProof/>
          <w:color w:val="FF0000"/>
        </w:rPr>
        <w:t>,,Pulsu Biznesu”</w:t>
      </w:r>
      <w:r>
        <w:rPr>
          <w:noProof/>
        </w:rPr>
        <w:t xml:space="preserve"> opublikowany został artykul ,,</w:t>
      </w:r>
      <w:r w:rsidRPr="000935FE">
        <w:rPr>
          <w:noProof/>
        </w:rPr>
        <w:t>Kto powinien być prezesem NBP</w:t>
      </w:r>
      <w:r>
        <w:rPr>
          <w:noProof/>
        </w:rPr>
        <w:t xml:space="preserve"> ?”. Zdaniem ankietowanych analityków </w:t>
      </w:r>
      <w:r w:rsidRPr="00D71652">
        <w:rPr>
          <w:b/>
          <w:noProof/>
        </w:rPr>
        <w:t>nowy osoby wybrane do RPP</w:t>
      </w:r>
      <w:r>
        <w:rPr>
          <w:noProof/>
        </w:rPr>
        <w:t xml:space="preserve"> (w tym i prezes NBP) </w:t>
      </w:r>
      <w:r w:rsidRPr="006A76B0">
        <w:rPr>
          <w:b/>
          <w:noProof/>
          <w:color w:val="FF0000"/>
        </w:rPr>
        <w:t xml:space="preserve">będą mialy sklonność do opowiadania się w głosowaniach za raczej niższym, niż wyższym poziomem stóp procentowych. </w:t>
      </w:r>
      <w:r>
        <w:rPr>
          <w:noProof/>
        </w:rPr>
        <w:t xml:space="preserve">Jeżeli prognoza ta się sprawdzi to oznczać by to mogło, że moment, w którym RPP dokona pierwszej podwyżki stóp procentowych mialbym miejsce później, niż dotychxczas oczekiwano. Osobiście jestem skłonny uznać tego typu prognozę za stosunkowo prawdopodobną. </w:t>
      </w:r>
    </w:p>
    <w:p w:rsidR="00E03C67" w:rsidRDefault="00E03C67" w:rsidP="00E03C67">
      <w:pPr>
        <w:pStyle w:val="Bezodstpw"/>
        <w:jc w:val="both"/>
        <w:rPr>
          <w:noProof/>
        </w:rPr>
      </w:pPr>
    </w:p>
    <w:p w:rsidR="00E03C67" w:rsidRDefault="006362E5" w:rsidP="00E03C67">
      <w:pPr>
        <w:pStyle w:val="Bezodstpw"/>
        <w:jc w:val="both"/>
        <w:rPr>
          <w:noProof/>
        </w:rPr>
      </w:pPr>
      <w:hyperlink r:id="rId12" w:history="1">
        <w:r w:rsidR="00E03C67" w:rsidRPr="00C46956">
          <w:rPr>
            <w:rStyle w:val="Hipercze"/>
            <w:noProof/>
          </w:rPr>
          <w:t>http://www.pb.pl/4167471,32135,golebie-przyleca-do-banku-centralnego</w:t>
        </w:r>
      </w:hyperlink>
    </w:p>
    <w:p w:rsidR="00E03C67" w:rsidRDefault="00E03C67" w:rsidP="00E03C67">
      <w:pPr>
        <w:pStyle w:val="Bezodstpw"/>
        <w:jc w:val="both"/>
        <w:rPr>
          <w:noProof/>
        </w:rPr>
      </w:pPr>
    </w:p>
    <w:p w:rsidR="00E03C67" w:rsidRDefault="00E03C67" w:rsidP="00E03C67">
      <w:pPr>
        <w:pStyle w:val="Bezodstpw"/>
        <w:jc w:val="both"/>
        <w:rPr>
          <w:noProof/>
        </w:rPr>
      </w:pPr>
      <w:r>
        <w:rPr>
          <w:noProof/>
        </w:rPr>
        <w:t>Może mieć to znaczenie także dla sytuacji na polskim rynku akcji. Obserwując związki pomiędzy polską polityką pieniężną a zachowaniem indeksu małych spółek oraz indeksu spółek dużych można dostrzec ciekawe związki.</w:t>
      </w:r>
      <w:r w:rsidR="00865465">
        <w:rPr>
          <w:noProof/>
        </w:rPr>
        <w:t xml:space="preserve"> </w:t>
      </w:r>
      <w:r w:rsidRPr="009B5435">
        <w:rPr>
          <w:b/>
          <w:noProof/>
          <w:u w:val="single"/>
        </w:rPr>
        <w:t xml:space="preserve">Okres między dniem w którym nasz bank centralny dokuje ,,pierwszej obniżki” a dniem bezpośrednio poprzedzającym ,,pierwszą podwyżkę” był dotychczas prawie zawsze </w:t>
      </w:r>
      <w:r w:rsidRPr="00D71652">
        <w:rPr>
          <w:b/>
          <w:noProof/>
          <w:color w:val="FF0000"/>
        </w:rPr>
        <w:t>bardziej korzystny dla indeksu małych spółek</w:t>
      </w:r>
      <w:r w:rsidR="00865465">
        <w:rPr>
          <w:b/>
          <w:noProof/>
          <w:color w:val="FF0000"/>
        </w:rPr>
        <w:t xml:space="preserve">. </w:t>
      </w:r>
      <w:r>
        <w:rPr>
          <w:noProof/>
        </w:rPr>
        <w:t xml:space="preserve">Obecnie trwająca faza łagodzenia polityki pienieżnej została zapoczątkowana </w:t>
      </w:r>
      <w:r w:rsidRPr="00865465">
        <w:rPr>
          <w:b/>
          <w:noProof/>
        </w:rPr>
        <w:t>8 listopada 2012 roku</w:t>
      </w:r>
      <w:r>
        <w:rPr>
          <w:noProof/>
        </w:rPr>
        <w:t xml:space="preserve"> (dzień ten zaznaczyłem na 2 kolejnych wykresach pionową linią) </w:t>
      </w:r>
    </w:p>
    <w:p w:rsidR="00E03C67" w:rsidRDefault="00E03C67" w:rsidP="00E03C67">
      <w:pPr>
        <w:pStyle w:val="Bezodstpw"/>
        <w:jc w:val="both"/>
        <w:rPr>
          <w:noProof/>
        </w:rPr>
      </w:pPr>
    </w:p>
    <w:p w:rsidR="00E03C67" w:rsidRPr="0070101C" w:rsidRDefault="00E03C67" w:rsidP="00E03C67">
      <w:pPr>
        <w:pStyle w:val="Bezodstpw"/>
        <w:jc w:val="both"/>
        <w:rPr>
          <w:b/>
          <w:noProof/>
          <w:color w:val="FF0000"/>
        </w:rPr>
      </w:pPr>
      <w:r>
        <w:rPr>
          <w:noProof/>
        </w:rPr>
        <w:t xml:space="preserve">Od 8 listopada 2012 roku do 5 czerwca 2015 roku indeks WIG 20 zyskał na wartości </w:t>
      </w:r>
      <w:r w:rsidRPr="0070101C">
        <w:rPr>
          <w:b/>
          <w:noProof/>
          <w:color w:val="FF0000"/>
        </w:rPr>
        <w:t xml:space="preserve">1,2 %. </w:t>
      </w:r>
    </w:p>
    <w:p w:rsidR="00E03C67" w:rsidRDefault="00E03C67" w:rsidP="00E03C67">
      <w:pPr>
        <w:pStyle w:val="Bezodstpw"/>
        <w:jc w:val="both"/>
        <w:rPr>
          <w:noProof/>
        </w:rPr>
      </w:pPr>
    </w:p>
    <w:p w:rsidR="00E03C67" w:rsidRDefault="00E03C67" w:rsidP="00E03C67">
      <w:pPr>
        <w:pStyle w:val="Bezodstpw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465" w:rsidRDefault="00865465" w:rsidP="00E03C67">
      <w:pPr>
        <w:pStyle w:val="Bezodstpw"/>
        <w:jc w:val="both"/>
        <w:rPr>
          <w:noProof/>
        </w:rPr>
      </w:pPr>
    </w:p>
    <w:p w:rsidR="00E03C67" w:rsidRDefault="00E03C67" w:rsidP="00E03C67">
      <w:pPr>
        <w:pStyle w:val="Bezodstpw"/>
        <w:jc w:val="both"/>
        <w:rPr>
          <w:noProof/>
        </w:rPr>
      </w:pPr>
      <w:r>
        <w:rPr>
          <w:noProof/>
        </w:rPr>
        <w:lastRenderedPageBreak/>
        <w:t xml:space="preserve">Tymczasem indeks sWIG80 zyskał w tym okresie </w:t>
      </w:r>
      <w:r w:rsidRPr="0070101C">
        <w:rPr>
          <w:b/>
          <w:noProof/>
          <w:color w:val="FF0000"/>
        </w:rPr>
        <w:t>41,3 %.</w:t>
      </w:r>
      <w:r>
        <w:rPr>
          <w:noProof/>
        </w:rPr>
        <w:t xml:space="preserve"> </w:t>
      </w:r>
    </w:p>
    <w:p w:rsidR="00E03C67" w:rsidRDefault="00E03C67" w:rsidP="00E03C67">
      <w:pPr>
        <w:pStyle w:val="Bezodstpw"/>
        <w:jc w:val="both"/>
        <w:rPr>
          <w:noProof/>
        </w:rPr>
      </w:pPr>
    </w:p>
    <w:p w:rsidR="00E03C67" w:rsidRDefault="00E03C67" w:rsidP="00E03C67">
      <w:pPr>
        <w:pStyle w:val="Bezodstpw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C67" w:rsidRDefault="00E03C67" w:rsidP="00E03C67">
      <w:pPr>
        <w:pStyle w:val="Bezodstpw"/>
        <w:jc w:val="both"/>
        <w:rPr>
          <w:noProof/>
        </w:rPr>
      </w:pPr>
    </w:p>
    <w:p w:rsidR="00E03C67" w:rsidRDefault="00E03C67" w:rsidP="00E03C67">
      <w:pPr>
        <w:pStyle w:val="Bezodstpw"/>
        <w:jc w:val="both"/>
        <w:rPr>
          <w:noProof/>
        </w:rPr>
      </w:pPr>
      <w:r>
        <w:rPr>
          <w:noProof/>
        </w:rPr>
        <w:t>Z kolei okres między dniem w którym nasz bank centralny dokuje ,,pierwszej podwyżki” a dniem bezpośrednio poprzedzającym ,,pierwszą obniżkę” był dotychczas zazwyczaj bardziej korzystny dla indeksu spółek dużych.</w:t>
      </w:r>
    </w:p>
    <w:p w:rsidR="00E03C67" w:rsidRDefault="00E03C67" w:rsidP="00E03C67">
      <w:pPr>
        <w:pStyle w:val="Bezodstpw"/>
        <w:jc w:val="both"/>
        <w:rPr>
          <w:noProof/>
        </w:rPr>
      </w:pPr>
    </w:p>
    <w:p w:rsidR="00E03C67" w:rsidRDefault="00E03C67" w:rsidP="00E03C67">
      <w:pPr>
        <w:pStyle w:val="Bezodstpw"/>
        <w:jc w:val="both"/>
        <w:rPr>
          <w:noProof/>
        </w:rPr>
      </w:pPr>
      <w:r>
        <w:rPr>
          <w:noProof/>
        </w:rPr>
        <w:t>Przez indeks spółek  małych rozumiem indeks WIG250. Przez indeks spółek dużych rozumiem z kolei po prostu indeks WIG20.</w:t>
      </w:r>
    </w:p>
    <w:p w:rsidR="00E03C67" w:rsidRDefault="00E03C67" w:rsidP="00E03C67">
      <w:pPr>
        <w:pStyle w:val="Bezodstpw"/>
        <w:jc w:val="both"/>
        <w:rPr>
          <w:noProof/>
        </w:rPr>
      </w:pPr>
    </w:p>
    <w:p w:rsidR="00E03C67" w:rsidRDefault="00E03C67" w:rsidP="00E03C67">
      <w:pPr>
        <w:pStyle w:val="Bezodstpw"/>
        <w:jc w:val="both"/>
        <w:rPr>
          <w:noProof/>
        </w:rPr>
      </w:pPr>
      <w:r>
        <w:rPr>
          <w:noProof/>
        </w:rPr>
        <w:t>,,Pierwsza obniżka” to obniżka stopy dokonana przez polski bank centralny następująca po poprzedniej podwyżce. ,,Pierwsza podwyżka” z kolei to podwyżka stopy dokonana przez polski bank centralny następująca po poprzedniej obniżce.</w:t>
      </w:r>
    </w:p>
    <w:p w:rsidR="00E03C67" w:rsidRDefault="00E03C67" w:rsidP="00E03C67">
      <w:pPr>
        <w:pStyle w:val="Bezodstpw"/>
        <w:jc w:val="both"/>
        <w:rPr>
          <w:noProof/>
        </w:rPr>
      </w:pPr>
    </w:p>
    <w:p w:rsidR="00E03C67" w:rsidRDefault="00E03C67" w:rsidP="00E03C67">
      <w:pPr>
        <w:pStyle w:val="Bezodstpw"/>
        <w:jc w:val="both"/>
        <w:rPr>
          <w:noProof/>
        </w:rPr>
      </w:pPr>
      <w:r>
        <w:rPr>
          <w:noProof/>
        </w:rPr>
        <w:t xml:space="preserve">Nawiąże w tym momencie do ważnego artykułu, który opublikował obecny dr hab. a ówczesny dr Eryk Łon z Wydziału Ekonomii Uniwersytetu Ekonomicznego w Poznaniu (zwanym wtedy Akademią Ekonomiczną) na lamach tygodnika </w:t>
      </w:r>
      <w:r w:rsidRPr="00E878CD">
        <w:rPr>
          <w:b/>
          <w:noProof/>
          <w:color w:val="FF0000"/>
        </w:rPr>
        <w:t>,,Gazeta Bankowa”</w:t>
      </w:r>
      <w:r>
        <w:rPr>
          <w:noProof/>
        </w:rPr>
        <w:t xml:space="preserve"> w numerze 21 z 2006 roku.</w:t>
      </w:r>
    </w:p>
    <w:p w:rsidR="00E03C67" w:rsidRDefault="00E03C67" w:rsidP="00E03C67">
      <w:pPr>
        <w:pStyle w:val="Bezodstpw"/>
        <w:jc w:val="both"/>
        <w:rPr>
          <w:noProof/>
        </w:rPr>
      </w:pPr>
    </w:p>
    <w:p w:rsidR="00E03C67" w:rsidRDefault="00E03C67" w:rsidP="00E03C67">
      <w:pPr>
        <w:pStyle w:val="Bezodstpw"/>
        <w:jc w:val="both"/>
        <w:rPr>
          <w:noProof/>
        </w:rPr>
      </w:pPr>
      <w:r>
        <w:rPr>
          <w:noProof/>
        </w:rPr>
        <w:t xml:space="preserve">Artykuł ten pod tytułem </w:t>
      </w:r>
      <w:r w:rsidRPr="00E878CD">
        <w:rPr>
          <w:b/>
          <w:noProof/>
          <w:color w:val="FF0000"/>
        </w:rPr>
        <w:t>,,Premia małych spółek”</w:t>
      </w:r>
      <w:r>
        <w:rPr>
          <w:noProof/>
        </w:rPr>
        <w:t xml:space="preserve"> porusza ważny problem związków pomiędzy polską polityką pieniężną a zachowaniem  indeksu małych spółek oraz indeksu spółek dużych.</w:t>
      </w:r>
    </w:p>
    <w:p w:rsidR="00E03C67" w:rsidRDefault="00E03C67" w:rsidP="00E03C67">
      <w:pPr>
        <w:pStyle w:val="Bezodstpw"/>
        <w:jc w:val="both"/>
        <w:rPr>
          <w:noProof/>
        </w:rPr>
      </w:pPr>
    </w:p>
    <w:p w:rsidR="00E03C67" w:rsidRDefault="00E03C67" w:rsidP="00E03C67">
      <w:pPr>
        <w:pStyle w:val="Bezodstpw"/>
        <w:jc w:val="both"/>
        <w:rPr>
          <w:noProof/>
        </w:rPr>
      </w:pPr>
      <w:r w:rsidRPr="00E878CD">
        <w:rPr>
          <w:noProof/>
        </w:rPr>
        <w:t xml:space="preserve">Dr </w:t>
      </w:r>
      <w:r w:rsidRPr="00E878CD">
        <w:rPr>
          <w:b/>
          <w:noProof/>
        </w:rPr>
        <w:t>Eryk Łon</w:t>
      </w:r>
      <w:r>
        <w:rPr>
          <w:noProof/>
        </w:rPr>
        <w:t xml:space="preserve"> </w:t>
      </w:r>
      <w:r w:rsidRPr="00E878CD">
        <w:rPr>
          <w:b/>
          <w:noProof/>
        </w:rPr>
        <w:t>(obecnie dr hab.)</w:t>
      </w:r>
      <w:r>
        <w:rPr>
          <w:noProof/>
        </w:rPr>
        <w:t xml:space="preserve"> wskazał wówczas w swoim artykule, że okresie pomiędzy dniem ,,pierwszej obniżki” a dniem bezpośrednio poprzedzającym ,,pierwszą podwyżkę” panują łagodne uwarunkowania monetarne. Z kolei w okresie pomiędzy dniem ,,pierwszej podwyżki” a dniem bezpośrednio poprzedzającym ,,pierwszą obniżkę” panują restrykcyjne uwarunkowania monetarne.</w:t>
      </w:r>
    </w:p>
    <w:p w:rsidR="00E03C67" w:rsidRDefault="00E03C67" w:rsidP="00E03C67">
      <w:pPr>
        <w:pStyle w:val="Bezodstpw"/>
        <w:jc w:val="both"/>
        <w:rPr>
          <w:noProof/>
        </w:rPr>
      </w:pPr>
    </w:p>
    <w:p w:rsidR="00E03C67" w:rsidRDefault="00E03C67" w:rsidP="00E03C67">
      <w:pPr>
        <w:pStyle w:val="Bezodstpw"/>
        <w:jc w:val="both"/>
        <w:rPr>
          <w:noProof/>
        </w:rPr>
      </w:pPr>
      <w:r>
        <w:rPr>
          <w:noProof/>
        </w:rPr>
        <w:t xml:space="preserve">Warto zauważyć, że w okresie od dnia 8 maja (dnia sesyjnego bezpośrednio poprzedzjącego dzień przeprowadzenia I tury wyborów prezydenckich) do 5 czerwca indkes indkes </w:t>
      </w:r>
      <w:r w:rsidRPr="00954D86">
        <w:rPr>
          <w:b/>
          <w:noProof/>
          <w:u w:val="single"/>
        </w:rPr>
        <w:t>sWIG80</w:t>
      </w:r>
      <w:r>
        <w:rPr>
          <w:noProof/>
        </w:rPr>
        <w:t xml:space="preserve"> zachował się </w:t>
      </w:r>
      <w:r w:rsidRPr="00954D86">
        <w:rPr>
          <w:b/>
          <w:noProof/>
          <w:u w:val="single"/>
        </w:rPr>
        <w:t>lepiej</w:t>
      </w:r>
      <w:r>
        <w:rPr>
          <w:noProof/>
        </w:rPr>
        <w:t xml:space="preserve"> od indeksu WIG20. Także w okresie od od dnia 23 maja (dnia sesyjnego bezpośrednio poprzedzjącego dzień przeprowadzenia II tury wyborów prezydenckich) do 5 czerwca indkes indkes sWIG80 zachował się </w:t>
      </w:r>
      <w:r w:rsidRPr="00954D86">
        <w:rPr>
          <w:b/>
          <w:noProof/>
          <w:u w:val="single"/>
        </w:rPr>
        <w:t>lepiej</w:t>
      </w:r>
      <w:r>
        <w:rPr>
          <w:noProof/>
        </w:rPr>
        <w:t xml:space="preserve"> od indeksu WIG20. </w:t>
      </w:r>
    </w:p>
    <w:p w:rsidR="00E03C67" w:rsidRDefault="00E03C67" w:rsidP="00E03C67">
      <w:pPr>
        <w:pStyle w:val="Bezodstpw"/>
        <w:jc w:val="both"/>
        <w:rPr>
          <w:noProof/>
        </w:rPr>
      </w:pPr>
    </w:p>
    <w:p w:rsidR="00E03C67" w:rsidRDefault="00E03C67" w:rsidP="00E03C67">
      <w:pPr>
        <w:pStyle w:val="Bezodstpw"/>
        <w:jc w:val="both"/>
        <w:rPr>
          <w:noProof/>
        </w:rPr>
      </w:pPr>
      <w:r>
        <w:rPr>
          <w:noProof/>
        </w:rPr>
        <w:t xml:space="preserve">Gdyby przyjąć przewidywania zawarte w artykule zamieszczonym na łamach ,,Pulsu Biznesu” </w:t>
      </w:r>
      <w:r w:rsidRPr="00E878CD">
        <w:rPr>
          <w:b/>
          <w:noProof/>
        </w:rPr>
        <w:t xml:space="preserve">relatywna </w:t>
      </w:r>
      <w:r w:rsidRPr="00E878CD">
        <w:rPr>
          <w:b/>
          <w:noProof/>
          <w:color w:val="FF0000"/>
        </w:rPr>
        <w:t>przewaga indeksu małych spółek sWIG80 nad indkesem WIG20</w:t>
      </w:r>
      <w:r w:rsidRPr="00E878CD">
        <w:rPr>
          <w:b/>
          <w:noProof/>
        </w:rPr>
        <w:t xml:space="preserve"> powinna być kontynułowana</w:t>
      </w:r>
      <w:r w:rsidRPr="00E878CD">
        <w:rPr>
          <w:noProof/>
        </w:rPr>
        <w:t>.</w:t>
      </w:r>
      <w:r>
        <w:rPr>
          <w:noProof/>
        </w:rPr>
        <w:t xml:space="preserve"> Oczywście, gdyby przyjąć…</w:t>
      </w:r>
    </w:p>
    <w:p w:rsidR="00E03C67" w:rsidRDefault="00E03C67" w:rsidP="00E03C67">
      <w:pPr>
        <w:pStyle w:val="Bezodstp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Wykres do przemyślenia – refleksje </w:t>
      </w:r>
    </w:p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</w:pPr>
      <w:r>
        <w:t xml:space="preserve">W pierwszym numerze ,,Raportu Tygodniowego” z 8 września 2014 roku pojawiły się wykresy akcji czterech spółek. Były to wykresy akcji następujących spółek: </w:t>
      </w:r>
    </w:p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numPr>
          <w:ilvl w:val="0"/>
          <w:numId w:val="1"/>
        </w:numPr>
        <w:jc w:val="both"/>
      </w:pPr>
      <w:proofErr w:type="spellStart"/>
      <w:r>
        <w:t>Immobile</w:t>
      </w:r>
      <w:proofErr w:type="spellEnd"/>
    </w:p>
    <w:p w:rsidR="00E03C67" w:rsidRDefault="00E03C67" w:rsidP="00E03C67">
      <w:pPr>
        <w:pStyle w:val="Bezodstpw"/>
        <w:numPr>
          <w:ilvl w:val="0"/>
          <w:numId w:val="1"/>
        </w:numPr>
        <w:jc w:val="both"/>
      </w:pPr>
      <w:r>
        <w:t>Lena</w:t>
      </w:r>
    </w:p>
    <w:p w:rsidR="00E03C67" w:rsidRDefault="00E03C67" w:rsidP="00E03C67">
      <w:pPr>
        <w:pStyle w:val="Bezodstpw"/>
        <w:numPr>
          <w:ilvl w:val="0"/>
          <w:numId w:val="1"/>
        </w:numPr>
        <w:jc w:val="both"/>
      </w:pPr>
      <w:proofErr w:type="spellStart"/>
      <w:r>
        <w:t>Netmedia</w:t>
      </w:r>
      <w:proofErr w:type="spellEnd"/>
      <w:r>
        <w:t xml:space="preserve"> </w:t>
      </w:r>
    </w:p>
    <w:p w:rsidR="00E03C67" w:rsidRDefault="00E03C67" w:rsidP="00E03C67">
      <w:pPr>
        <w:pStyle w:val="Bezodstpw"/>
        <w:numPr>
          <w:ilvl w:val="0"/>
          <w:numId w:val="1"/>
        </w:numPr>
        <w:jc w:val="both"/>
      </w:pPr>
      <w:r>
        <w:t>Rafako</w:t>
      </w:r>
    </w:p>
    <w:p w:rsidR="00E03C67" w:rsidRDefault="00E03C67" w:rsidP="00E03C67">
      <w:pPr>
        <w:pStyle w:val="Bezodstpw"/>
        <w:jc w:val="both"/>
      </w:pPr>
    </w:p>
    <w:p w:rsidR="00E03C67" w:rsidRPr="00DF5937" w:rsidRDefault="00E03C67" w:rsidP="00E03C67">
      <w:pPr>
        <w:pStyle w:val="Bezodstpw"/>
        <w:jc w:val="both"/>
        <w:rPr>
          <w:b/>
          <w:color w:val="FF0000"/>
        </w:rPr>
      </w:pPr>
      <w:r>
        <w:t xml:space="preserve">Kryterium pojawienia się wykresu akcji danej spółki w tej rubryce jest </w:t>
      </w:r>
      <w:r w:rsidRPr="0053119C">
        <w:rPr>
          <w:b/>
        </w:rPr>
        <w:t>wybicie z formacji podwójnego dna</w:t>
      </w:r>
      <w:r>
        <w:t xml:space="preserve">. </w:t>
      </w:r>
      <w:r w:rsidRPr="00DF5937">
        <w:rPr>
          <w:b/>
          <w:color w:val="FF66FF"/>
        </w:rPr>
        <w:t xml:space="preserve">Na str. </w:t>
      </w:r>
      <w:r>
        <w:rPr>
          <w:b/>
          <w:color w:val="FF66FF"/>
        </w:rPr>
        <w:t>6</w:t>
      </w:r>
      <w:r w:rsidRPr="00DF5937">
        <w:rPr>
          <w:b/>
          <w:color w:val="FF66FF"/>
        </w:rPr>
        <w:t>-</w:t>
      </w:r>
      <w:r>
        <w:rPr>
          <w:b/>
          <w:color w:val="FF66FF"/>
        </w:rPr>
        <w:t>10</w:t>
      </w:r>
      <w:r w:rsidRPr="00DF5937">
        <w:rPr>
          <w:b/>
          <w:color w:val="FF66FF"/>
        </w:rPr>
        <w:t xml:space="preserve"> przedstawiam listę 2</w:t>
      </w:r>
      <w:r>
        <w:rPr>
          <w:b/>
          <w:color w:val="FF66FF"/>
        </w:rPr>
        <w:t>6</w:t>
      </w:r>
      <w:r w:rsidRPr="00DF5937">
        <w:rPr>
          <w:b/>
          <w:color w:val="FF66FF"/>
        </w:rPr>
        <w:t xml:space="preserve"> spółek wpisanych do rubryki ,,Wykres do przemyślenia”.</w:t>
      </w:r>
      <w:r>
        <w:t xml:space="preserve"> </w:t>
      </w:r>
      <w:r w:rsidRPr="00DF5937">
        <w:rPr>
          <w:b/>
          <w:color w:val="FF66FF"/>
        </w:rPr>
        <w:t>Osoby znającą tą listę mogą listę tą pomi</w:t>
      </w:r>
      <w:r>
        <w:rPr>
          <w:b/>
          <w:color w:val="FF66FF"/>
        </w:rPr>
        <w:t>nąć i od razu przejść na stronę 9.</w:t>
      </w:r>
    </w:p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</w:pPr>
      <w:r>
        <w:t xml:space="preserve">Tabela: Procentowa zmiana cen akcji czterech spółek, których akcje zostały wymienione w pierwszym numerze ,,Raportu Tygodniowego” z 8 września 2014 roku w rubryce ,,Wykres do przemyślenia” w okresie od 5 września do 5 czerwca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05.09.2014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05.06.2015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Zmiana (w %)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2,04 zł.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2,30 zł.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  +12,7 %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Akcja spółki Lena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3,99 zł.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4,67 zł.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  +17,0 %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Akcja spółki  </w:t>
            </w:r>
            <w:proofErr w:type="spellStart"/>
            <w:r>
              <w:t>Netmedia</w:t>
            </w:r>
            <w:proofErr w:type="spellEnd"/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3,63 zł.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6,26 zł.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  +72,5 %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Akcja spółki Rafako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4,25 zł.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6,14 zł.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  +44,5 %</w:t>
            </w:r>
          </w:p>
        </w:tc>
      </w:tr>
      <w:tr w:rsidR="00E03C67" w:rsidTr="00DB53CD">
        <w:tc>
          <w:tcPr>
            <w:tcW w:w="3402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+36,7 %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2 541,42 pkt.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 w:rsidRPr="00662678">
              <w:t>2</w:t>
            </w:r>
            <w:r>
              <w:t> 365,58 pkt.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    -6,9 %</w:t>
            </w:r>
          </w:p>
        </w:tc>
      </w:tr>
    </w:tbl>
    <w:p w:rsidR="00E03C67" w:rsidRDefault="00E03C67" w:rsidP="00E03C67">
      <w:pPr>
        <w:pStyle w:val="Bezodstpw"/>
        <w:jc w:val="both"/>
      </w:pPr>
      <w:r>
        <w:t xml:space="preserve">Tabela: Procentowa zmiana ceny akcji spółki, której akcje zostały wymienione w drugim numerze ,,Raportu Tygodniowego” z 15 września 2014 roku w rubryce ,,Wykres do przemyślenia” w okresie od 12 września do 5 czerwca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12.09.2014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05.06.2015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Zmiana (w %)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Akcja spółki Boryszew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6,50 zł.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6,02 zł. 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 -7,4 %</w:t>
            </w:r>
          </w:p>
        </w:tc>
      </w:tr>
      <w:tr w:rsidR="00E03C67" w:rsidRPr="008F668F" w:rsidTr="00DB53CD">
        <w:tc>
          <w:tcPr>
            <w:tcW w:w="3402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-7,4 %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 w:rsidRPr="00662678">
              <w:t>2</w:t>
            </w:r>
            <w:r>
              <w:t> 365,58 pkt.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   -5,3 %</w:t>
            </w:r>
          </w:p>
        </w:tc>
      </w:tr>
    </w:tbl>
    <w:p w:rsidR="00E03C67" w:rsidRDefault="00E03C67" w:rsidP="00E03C67">
      <w:pPr>
        <w:pStyle w:val="Bezodstpw"/>
        <w:jc w:val="both"/>
      </w:pPr>
      <w:r>
        <w:t xml:space="preserve">Tabela: Procentowa zmiana ceny akcji spółki, której akcje zostały umieszczone 16 września na stronie internetowej </w:t>
      </w:r>
      <w:hyperlink r:id="rId15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15 września do 5 czerwca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15.09.2014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05.06.2015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Zmiana (w %)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26,50 zł.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33,50 zł.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 26,4 %</w:t>
            </w:r>
          </w:p>
        </w:tc>
      </w:tr>
      <w:tr w:rsidR="00E03C67" w:rsidRPr="008F668F" w:rsidTr="00DB53CD">
        <w:tc>
          <w:tcPr>
            <w:tcW w:w="3402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26,4 %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 w:rsidRPr="00662678">
              <w:t>2</w:t>
            </w:r>
            <w:r>
              <w:t> 365,58 pkt.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-5,0 %</w:t>
            </w:r>
          </w:p>
        </w:tc>
      </w:tr>
    </w:tbl>
    <w:p w:rsidR="00E03C67" w:rsidRDefault="00E03C67" w:rsidP="00E03C67">
      <w:pPr>
        <w:pStyle w:val="Bezodstpw"/>
        <w:jc w:val="both"/>
      </w:pPr>
      <w:r>
        <w:t xml:space="preserve">Tabela: Procentowa zmiana ceny akcji spółki, której akcje zostały wymienione w trzecim numerze ,,Raportu Tygodniowego” z 22 września 2014 roku w rubryce ,,Wykres do przemyślenia” w okresie od 19 września do 5 czerwca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19.09.2014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05.06.2015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Zmiana (w %)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Akcja spółki IF Capital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1,32 zł.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1,04 zł.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-21,2 %</w:t>
            </w:r>
          </w:p>
        </w:tc>
      </w:tr>
      <w:tr w:rsidR="00E03C67" w:rsidRPr="008F668F" w:rsidTr="00DB53CD">
        <w:trPr>
          <w:trHeight w:val="310"/>
        </w:trPr>
        <w:tc>
          <w:tcPr>
            <w:tcW w:w="3402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-21,2 %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 w:rsidRPr="00662678">
              <w:t>2</w:t>
            </w:r>
            <w:r>
              <w:t> 365,58 pkt.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-5,3 %</w:t>
            </w:r>
          </w:p>
        </w:tc>
      </w:tr>
    </w:tbl>
    <w:p w:rsidR="00E03C67" w:rsidRDefault="00E03C67" w:rsidP="00E03C67">
      <w:pPr>
        <w:pStyle w:val="Bezodstpw"/>
        <w:jc w:val="both"/>
      </w:pPr>
      <w:r>
        <w:lastRenderedPageBreak/>
        <w:t xml:space="preserve">Tabela: Procentowa zmiana ceny akcji spółki, której akcje zostały umieszczone 25 września na stronie internetowej </w:t>
      </w:r>
      <w:hyperlink r:id="rId16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24 września do 29 maja 2015 roku oraz procentowa zmiana indeksu WIG 20 w tym okresie. </w:t>
      </w:r>
    </w:p>
    <w:p w:rsidR="00E03C67" w:rsidRDefault="00E03C67" w:rsidP="00E03C6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24.09.2014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05.06.2015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Zmiana (w %)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Akcja spółki Capital Partners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1,85 zł.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2,67 zł.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+44,3 %</w:t>
            </w:r>
          </w:p>
        </w:tc>
      </w:tr>
      <w:tr w:rsidR="00E03C67" w:rsidRPr="008F668F" w:rsidTr="00DB53CD">
        <w:tc>
          <w:tcPr>
            <w:tcW w:w="3402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+44,3 %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 w:rsidRPr="00662678">
              <w:t>2</w:t>
            </w:r>
            <w:r>
              <w:t> 365,58 pkt.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 -5,0 %</w:t>
            </w:r>
          </w:p>
        </w:tc>
      </w:tr>
    </w:tbl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</w:pPr>
      <w:r>
        <w:t xml:space="preserve">Tabela: Procentowa zmiana cen akcji trzech spółek, których akcje zostały wymienione w czwartym numerze ,,Raportu Tygodniowego” z 29 września 2014 roku w rubryce ,,Wykres do przemyślenia” w okresie od 30 września do 5 czerwca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26.09.2014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05.06.2015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Zmiana (w %)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45,64 zł.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57,06 zł.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+25,0 %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Akcja spółki  CD Projekt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16,59 zł.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21,22 zł.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 +27,9 %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03C67" w:rsidRDefault="00E03C67" w:rsidP="00DB53CD">
            <w:pPr>
              <w:pStyle w:val="Bezodstpw"/>
              <w:jc w:val="center"/>
            </w:pPr>
            <w:r>
              <w:t>17,60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03C67" w:rsidRDefault="00E03C67" w:rsidP="00DB53CD">
            <w:pPr>
              <w:pStyle w:val="Bezodstpw"/>
              <w:jc w:val="center"/>
            </w:pPr>
            <w:r>
              <w:t>12,29 zł.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- 30,2 %</w:t>
            </w:r>
          </w:p>
        </w:tc>
      </w:tr>
      <w:tr w:rsidR="00E03C67" w:rsidTr="00DB53CD">
        <w:tc>
          <w:tcPr>
            <w:tcW w:w="3402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+7,6 %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2484,02 pkt.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 w:rsidRPr="00662678">
              <w:t>2</w:t>
            </w:r>
            <w:r>
              <w:t> 365,58 pkt.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 - 4,8 %</w:t>
            </w:r>
          </w:p>
        </w:tc>
      </w:tr>
    </w:tbl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</w:pPr>
      <w:r>
        <w:t xml:space="preserve">Tabela: Procentowa zmiana ceny akcji spółki, której akcje zostały wymienione w piątym numerze ,,Raportu Tygodniowego” z 6 października 2014 roku w rubryce ,,Wykres do przemyślenia” w okresie od 3 października do 5 czerwca 2015 roku oraz procentowa zmiana indeksu WIG 20 w tym okresie. </w:t>
      </w:r>
    </w:p>
    <w:p w:rsidR="00E03C67" w:rsidRDefault="00E03C67" w:rsidP="00E03C6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03.10.2014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05.06.2015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Zmiana (w %)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Akcja spółki Stalprodukt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244,10 zł.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481,90 zł.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+97,4 %</w:t>
            </w:r>
          </w:p>
        </w:tc>
      </w:tr>
      <w:tr w:rsidR="00E03C67" w:rsidRPr="008F668F" w:rsidTr="00DB53CD">
        <w:tc>
          <w:tcPr>
            <w:tcW w:w="3402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+97,4 %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2 444,06 pkt.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 w:rsidRPr="00662678">
              <w:t>2</w:t>
            </w:r>
            <w:r>
              <w:t> 365,58 pkt.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-3,2 %</w:t>
            </w:r>
          </w:p>
        </w:tc>
      </w:tr>
    </w:tbl>
    <w:p w:rsidR="00E03C67" w:rsidRDefault="00E03C67" w:rsidP="00E03C67">
      <w:pPr>
        <w:pStyle w:val="Bezodstpw"/>
        <w:jc w:val="both"/>
      </w:pPr>
      <w:r>
        <w:t xml:space="preserve">Tabela: Procentowa zmiana ceny akcji spółki, której akcje zostały wymienione w szóstym numerze ,,Raportu Tygodniowego” z 20 października 2014 roku w rubryce ,,Wykres do przemyślenia” w okresie od 17 września 5 czerwca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05.06.2015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Zmiana (w %)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5,21 zł.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4,54 zł. 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 -12,9 %</w:t>
            </w:r>
          </w:p>
        </w:tc>
      </w:tr>
      <w:tr w:rsidR="00E03C67" w:rsidRPr="008F668F" w:rsidTr="00DB53CD">
        <w:tc>
          <w:tcPr>
            <w:tcW w:w="3402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-12,9 %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 w:rsidRPr="00662678">
              <w:t>2</w:t>
            </w:r>
            <w:r>
              <w:t> 365,58 pkt.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   -1,5 %</w:t>
            </w:r>
          </w:p>
        </w:tc>
      </w:tr>
    </w:tbl>
    <w:p w:rsidR="00E03C67" w:rsidRDefault="00E03C67" w:rsidP="00E03C67">
      <w:pPr>
        <w:pStyle w:val="Bezodstpw"/>
        <w:jc w:val="both"/>
      </w:pPr>
      <w:r>
        <w:t xml:space="preserve">Tabela: Procentowa zmiana ceny akcji spółki, której akcje zostały umieszczone 22 października na stronie internetowej </w:t>
      </w:r>
      <w:hyperlink r:id="rId17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21 października do 5 czerwca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21.10.2014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05.06.2015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Zmiana (w %)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03C67" w:rsidRDefault="00E03C67" w:rsidP="00DB53CD">
            <w:pPr>
              <w:pStyle w:val="Bezodstpw"/>
              <w:jc w:val="center"/>
            </w:pPr>
            <w:r>
              <w:t>8,70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03C67" w:rsidRDefault="00E03C67" w:rsidP="00DB53CD">
            <w:pPr>
              <w:pStyle w:val="Bezodstpw"/>
              <w:jc w:val="center"/>
            </w:pPr>
            <w:r>
              <w:t>13,00 zł.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+ 49,4 %</w:t>
            </w:r>
          </w:p>
        </w:tc>
      </w:tr>
      <w:tr w:rsidR="00E03C67" w:rsidRPr="008F668F" w:rsidTr="00DB53CD">
        <w:tc>
          <w:tcPr>
            <w:tcW w:w="3402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E03C67" w:rsidRPr="00A556F3" w:rsidRDefault="00E03C67" w:rsidP="00DB53CD">
            <w:pPr>
              <w:pStyle w:val="Bezodstpw"/>
              <w:jc w:val="center"/>
              <w:rPr>
                <w:color w:val="000000" w:themeColor="text1"/>
              </w:rPr>
            </w:pPr>
            <w:r w:rsidRPr="00A556F3"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E03C67" w:rsidRPr="00A556F3" w:rsidRDefault="00E03C67" w:rsidP="00DB53CD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7,35 zł. </w:t>
            </w:r>
          </w:p>
        </w:tc>
        <w:tc>
          <w:tcPr>
            <w:tcW w:w="1134" w:type="dxa"/>
          </w:tcPr>
          <w:p w:rsidR="00E03C67" w:rsidRPr="00A556F3" w:rsidRDefault="00E03C67" w:rsidP="00DB53CD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+6,1  %</w:t>
            </w:r>
          </w:p>
        </w:tc>
      </w:tr>
      <w:tr w:rsidR="00E03C67" w:rsidTr="00DB53CD">
        <w:tc>
          <w:tcPr>
            <w:tcW w:w="3402" w:type="dxa"/>
          </w:tcPr>
          <w:p w:rsidR="00E03C67" w:rsidRPr="00A556F3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 w:rsidRPr="00A556F3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</w:p>
        </w:tc>
        <w:tc>
          <w:tcPr>
            <w:tcW w:w="1134" w:type="dxa"/>
          </w:tcPr>
          <w:p w:rsidR="00E03C67" w:rsidRPr="00581996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+ 27</w:t>
            </w:r>
            <w:r w:rsidRPr="00581996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7 %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2 423,29,77 pkt.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 w:rsidRPr="00662678">
              <w:t>2</w:t>
            </w:r>
            <w:r>
              <w:t> 365,58 pkt.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 -2,4 % </w:t>
            </w:r>
          </w:p>
        </w:tc>
      </w:tr>
    </w:tbl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</w:pPr>
      <w:r>
        <w:lastRenderedPageBreak/>
        <w:t xml:space="preserve">Tabela: Procentowa zmiana ceny akcji spółki, której akcje zostały wymienione w siódmym numerze ,,Raportu Tygodniowego” z 27 października 2014 roku w rubryce ,,Wykres do przemyślenia” w okresie od 24 października 2014 roku 5 czerwca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05.06.2015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Zmiana (w %)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4,32 zł.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3,55 zł. 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-17,8 %</w:t>
            </w:r>
          </w:p>
        </w:tc>
      </w:tr>
      <w:tr w:rsidR="00E03C67" w:rsidRPr="008F668F" w:rsidTr="00DB53CD">
        <w:tc>
          <w:tcPr>
            <w:tcW w:w="3402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-17,8 %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 w:rsidRPr="00662678">
              <w:t>2</w:t>
            </w:r>
            <w:r>
              <w:t> 365,58 pkt.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 -2,5 %</w:t>
            </w:r>
          </w:p>
        </w:tc>
      </w:tr>
    </w:tbl>
    <w:p w:rsidR="00E03C67" w:rsidRDefault="00E03C67" w:rsidP="00E03C67">
      <w:pPr>
        <w:pStyle w:val="Bezodstpw"/>
        <w:jc w:val="both"/>
      </w:pPr>
      <w:r>
        <w:t xml:space="preserve">Tabela: Procentowa zmiana ceny akcji spółki, której akcje zostały wymienione w numerze ,,Raportu Tygodniowego” z 3 listopada 2014 roku w rubryce ,,Wykres do przemyślenia” w okresie od 31 października 2014 roku do 5 czerwca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31.10.2014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05.06.2015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Zmiana (w %)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Akcja spółki Enea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16,00 zł.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16,19 zł. 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 +1,2 %</w:t>
            </w:r>
          </w:p>
        </w:tc>
      </w:tr>
      <w:tr w:rsidR="00E03C67" w:rsidRPr="008F668F" w:rsidTr="00DB53CD">
        <w:tc>
          <w:tcPr>
            <w:tcW w:w="3402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+1,2 %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2 463,68 pkt.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 w:rsidRPr="00662678">
              <w:t>2</w:t>
            </w:r>
            <w:r>
              <w:t> 365,58 pkt.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 -4,0 %</w:t>
            </w:r>
          </w:p>
        </w:tc>
      </w:tr>
    </w:tbl>
    <w:p w:rsidR="00E03C67" w:rsidRDefault="00E03C67" w:rsidP="00E03C67">
      <w:pPr>
        <w:pStyle w:val="Bezodstpw"/>
        <w:jc w:val="both"/>
      </w:pPr>
      <w:r>
        <w:t xml:space="preserve">Tabela: Procentowa zmiana ceny akcji spółki, której akcje zostały wymienione w numerze ,,Raportu Tygodniowego” z 1 grudnia 2014 roku w rubryce ,,Wykres do przemyślenia” w okresie od 28 listopada 2014 roku do 5 czerwca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28.11.2014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05.06.2015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Zmiana (w %)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1,06 zł.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2,15 zł.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+102,8 %</w:t>
            </w:r>
          </w:p>
        </w:tc>
      </w:tr>
      <w:tr w:rsidR="00E03C67" w:rsidRPr="008F668F" w:rsidTr="00DB53CD">
        <w:tc>
          <w:tcPr>
            <w:tcW w:w="3402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+102,8 %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2 416,93 pkt.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 w:rsidRPr="00662678">
              <w:t>2</w:t>
            </w:r>
            <w:r>
              <w:t> 365,58 pkt.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-2,1 %</w:t>
            </w:r>
          </w:p>
        </w:tc>
      </w:tr>
    </w:tbl>
    <w:p w:rsidR="00E03C67" w:rsidRDefault="00E03C67" w:rsidP="00E03C67">
      <w:pPr>
        <w:pStyle w:val="Bezodstpw"/>
        <w:jc w:val="both"/>
      </w:pPr>
      <w:r>
        <w:t xml:space="preserve">Tabela: Procentowa zmiana ceny akcji spółki, której akcje zostały umieszczone 2 grudnia na stronie internetowej </w:t>
      </w:r>
      <w:hyperlink r:id="rId18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grudnia 2014 roku do 5 czerwca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05.06.2015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Zmiana (w %)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Akcja spółki PKO BP 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37,65 zł.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32,38 zł.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-14,0 %</w:t>
            </w:r>
          </w:p>
        </w:tc>
      </w:tr>
      <w:tr w:rsidR="00E03C67" w:rsidRPr="008F668F" w:rsidTr="00DB53CD">
        <w:tc>
          <w:tcPr>
            <w:tcW w:w="3402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-14,0 %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 w:rsidRPr="00662678">
              <w:t>2</w:t>
            </w:r>
            <w:r>
              <w:t> 365,58 pkt.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 -2,1 %</w:t>
            </w:r>
          </w:p>
        </w:tc>
      </w:tr>
    </w:tbl>
    <w:p w:rsidR="00E03C67" w:rsidRDefault="00E03C67" w:rsidP="00E03C67">
      <w:pPr>
        <w:pStyle w:val="Bezodstpw"/>
        <w:jc w:val="both"/>
      </w:pPr>
      <w:r>
        <w:t xml:space="preserve">Tabela: Procentowa zmiana ceny akcji spółki, której akcje zostały wymienione w numerze ,,Raportu Tygodniowego” z 15 grudnia 2014 roku w rubryce ,,Wykres do przemyślenia” w okresie od 12 grudnia 2014 roku do 5 czerwca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05.06.2015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Zmiana (w %)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8,14 zł.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10,48 zł. 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 +28,7 %</w:t>
            </w:r>
          </w:p>
        </w:tc>
      </w:tr>
      <w:tr w:rsidR="00E03C67" w:rsidRPr="008F668F" w:rsidTr="00DB53CD">
        <w:tc>
          <w:tcPr>
            <w:tcW w:w="3402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+28,7 %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2 360,00 pkt.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 w:rsidRPr="00662678">
              <w:t>2</w:t>
            </w:r>
            <w:r>
              <w:t> 365,58 pkt.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 + 0,2 %</w:t>
            </w:r>
          </w:p>
        </w:tc>
      </w:tr>
    </w:tbl>
    <w:p w:rsidR="00E03C67" w:rsidRDefault="00E03C67" w:rsidP="00E03C67">
      <w:pPr>
        <w:pStyle w:val="Bezodstpw"/>
        <w:jc w:val="both"/>
      </w:pPr>
      <w:r>
        <w:t xml:space="preserve">Tabela: Procentowa zmiana ceny akcji spółki, której akcje zostały umieszczone 2 stycznia 2015 roku na  stronie internetowej </w:t>
      </w:r>
      <w:hyperlink r:id="rId19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grudnia do 5 czerwca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05.06.2015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Zmiana (w %)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Akcja spółki Comarch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115,50 zł.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134,05 zł.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+16,1 %</w:t>
            </w:r>
          </w:p>
        </w:tc>
      </w:tr>
      <w:tr w:rsidR="00E03C67" w:rsidRPr="008F668F" w:rsidTr="00DB53CD">
        <w:tc>
          <w:tcPr>
            <w:tcW w:w="3402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+16,1 %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 w:rsidRPr="00662678">
              <w:t>2</w:t>
            </w:r>
            <w:r>
              <w:t> 365,58 pkt.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+ 2,1 %</w:t>
            </w:r>
          </w:p>
        </w:tc>
      </w:tr>
    </w:tbl>
    <w:p w:rsidR="00E03C67" w:rsidRDefault="00E03C67" w:rsidP="00E03C67">
      <w:pPr>
        <w:pStyle w:val="Bezodstpw"/>
        <w:jc w:val="both"/>
      </w:pPr>
      <w:r>
        <w:lastRenderedPageBreak/>
        <w:t xml:space="preserve">Tabela: Procentowa zmiana ceny akcji spółki, której akcje zostały umieszczone 12 stycznia 2015 roku na  stronie internetowej </w:t>
      </w:r>
      <w:hyperlink r:id="rId20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9 stycznia do 5 czerwca 2015 roku oraz procentowa zmiana indeksu WIG 20 w tym okresie. </w:t>
      </w:r>
    </w:p>
    <w:p w:rsidR="00E03C67" w:rsidRDefault="00E03C67" w:rsidP="00E03C6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05.06.2015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Zmiana (w %)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Akcja spółki Muza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3,34 zł.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3,65 zł.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+9,3 %</w:t>
            </w:r>
          </w:p>
        </w:tc>
      </w:tr>
      <w:tr w:rsidR="00E03C67" w:rsidRPr="008F668F" w:rsidTr="00DB53CD">
        <w:tc>
          <w:tcPr>
            <w:tcW w:w="3402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+9,3 %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 w:rsidRPr="00662678">
              <w:t>2</w:t>
            </w:r>
            <w:r>
              <w:t> 365,58 pkt.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+1,2 %</w:t>
            </w:r>
          </w:p>
        </w:tc>
      </w:tr>
    </w:tbl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</w:pPr>
      <w:r>
        <w:t xml:space="preserve">Tabela: Procentowa zmiana ceny akcji spółki, której akcje zostały umieszczone 30 stycznia 2015 roku na  stronie internetowej </w:t>
      </w:r>
      <w:hyperlink r:id="rId21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29 stycznia do 5 czerwca 2015 roku oraz procentowa zmiana indeksu WIG 20 w tym okresie. </w:t>
      </w:r>
    </w:p>
    <w:p w:rsidR="00E03C67" w:rsidRDefault="00E03C67" w:rsidP="00E03C6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29.01.2015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05.06.2015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Zmiana (w %)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Akcja spółki Lubawa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1,11 zł.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1,22 zł.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+9,9 %</w:t>
            </w:r>
          </w:p>
        </w:tc>
      </w:tr>
      <w:tr w:rsidR="00E03C67" w:rsidRPr="008F668F" w:rsidTr="00DB53CD">
        <w:tc>
          <w:tcPr>
            <w:tcW w:w="3402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+9,9 %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 w:rsidRPr="00662678">
              <w:t>2</w:t>
            </w:r>
            <w:r>
              <w:t> 365,58 pkt.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+ 1,1  %</w:t>
            </w:r>
          </w:p>
        </w:tc>
      </w:tr>
    </w:tbl>
    <w:p w:rsidR="00E03C67" w:rsidRDefault="00E03C67" w:rsidP="00E03C67">
      <w:pPr>
        <w:pStyle w:val="Bezodstpw"/>
        <w:jc w:val="both"/>
        <w:rPr>
          <w:b/>
          <w:u w:val="single"/>
        </w:rPr>
      </w:pPr>
    </w:p>
    <w:p w:rsidR="00E03C67" w:rsidRDefault="00E03C67" w:rsidP="00E03C67">
      <w:pPr>
        <w:pStyle w:val="Bezodstpw"/>
        <w:jc w:val="both"/>
      </w:pPr>
      <w:r>
        <w:t xml:space="preserve">Tabela: Procentowa zmiana ceny akcji spółki, której akcje zostały umieszczone 10 lutego 2015 roku na  stronie internetowej </w:t>
      </w:r>
      <w:hyperlink r:id="rId22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9 lutego do 5 czerwca 2015 roku oraz procentowa zmiana indeksu WIG 20 w tym okresie. </w:t>
      </w:r>
    </w:p>
    <w:p w:rsidR="00E03C67" w:rsidRDefault="00E03C67" w:rsidP="00E03C6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09.02.2015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05.06.2015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Zmiana (w %)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4,50 zł.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6,35 zł.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+41,1 %</w:t>
            </w:r>
          </w:p>
        </w:tc>
      </w:tr>
      <w:tr w:rsidR="00E03C67" w:rsidRPr="008F668F" w:rsidTr="00DB53CD">
        <w:tc>
          <w:tcPr>
            <w:tcW w:w="3402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+41,1 %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 w:rsidRPr="00662678">
              <w:t>2</w:t>
            </w:r>
            <w:r>
              <w:t> 365,58 pkt.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+1,1  %</w:t>
            </w:r>
          </w:p>
        </w:tc>
      </w:tr>
    </w:tbl>
    <w:p w:rsidR="00E03C67" w:rsidRDefault="00E03C67" w:rsidP="00E03C67">
      <w:pPr>
        <w:pStyle w:val="Bezodstpw"/>
        <w:jc w:val="both"/>
        <w:rPr>
          <w:b/>
        </w:rPr>
      </w:pPr>
    </w:p>
    <w:p w:rsidR="00E03C67" w:rsidRDefault="00E03C67" w:rsidP="00E03C67">
      <w:pPr>
        <w:pStyle w:val="Bezodstpw"/>
        <w:jc w:val="both"/>
      </w:pPr>
      <w:r>
        <w:t xml:space="preserve">Tabela: Procentowa zmiana ceny akcji spółki, której akcje zostały umieszczone 3 marca 2015 roku na  stronie internetowej </w:t>
      </w:r>
      <w:hyperlink r:id="rId23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 marca do 5 czerwca 2015 roku 2015 roku oraz procentowa zmiana indeksu WIG 20 w tym okresie. </w:t>
      </w:r>
    </w:p>
    <w:p w:rsidR="00E03C67" w:rsidRDefault="00E03C67" w:rsidP="00E03C6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02.03.2015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05.06.2015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Zmiana (w %)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Akcja spółki Mostostal Warszawa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7,57 zł.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11,05 zł.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+46,0 %</w:t>
            </w:r>
          </w:p>
        </w:tc>
      </w:tr>
      <w:tr w:rsidR="00E03C67" w:rsidRPr="008F668F" w:rsidTr="00DB53CD">
        <w:tc>
          <w:tcPr>
            <w:tcW w:w="3402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+46,0 %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 w:rsidRPr="00662678">
              <w:t>2</w:t>
            </w:r>
            <w:r>
              <w:t> 365,58 pkt.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+0,3 %</w:t>
            </w:r>
          </w:p>
        </w:tc>
      </w:tr>
    </w:tbl>
    <w:p w:rsidR="00E03C67" w:rsidRDefault="00E03C67" w:rsidP="00E03C67">
      <w:pPr>
        <w:pStyle w:val="Bezodstpw"/>
        <w:jc w:val="both"/>
        <w:rPr>
          <w:b/>
        </w:rPr>
      </w:pPr>
    </w:p>
    <w:p w:rsidR="00E03C67" w:rsidRDefault="00E03C67" w:rsidP="00E03C67">
      <w:pPr>
        <w:pStyle w:val="Bezodstpw"/>
        <w:jc w:val="both"/>
      </w:pPr>
      <w:r>
        <w:t xml:space="preserve">Tabela: Procentowa zmiana ceny akcji spółki, której akcje zostały umieszczone 9 kwietnia 2015 roku na  stronie internetowej </w:t>
      </w:r>
      <w:hyperlink r:id="rId24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8 do 5 czerwca 2015 roku oraz procentowa zmiana indeksu WIG 20 w tym okresie. </w:t>
      </w:r>
    </w:p>
    <w:p w:rsidR="00E03C67" w:rsidRDefault="00E03C67" w:rsidP="00E03C6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08.04.2015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05.06.2015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Zmiana (w %)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Akcja spółki Ceramika Nowa Gala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1,25 zł.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1,39 zł.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+ 11,2 %</w:t>
            </w:r>
          </w:p>
        </w:tc>
      </w:tr>
      <w:tr w:rsidR="00E03C67" w:rsidRPr="008F668F" w:rsidTr="00DB53CD">
        <w:tc>
          <w:tcPr>
            <w:tcW w:w="3402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+ 11,2 %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2 424,82 pkt.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 w:rsidRPr="00662678">
              <w:t>2</w:t>
            </w:r>
            <w:r>
              <w:t> 365,58 pkt.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-2 ,4,%</w:t>
            </w:r>
          </w:p>
        </w:tc>
      </w:tr>
    </w:tbl>
    <w:p w:rsidR="00E03C67" w:rsidRDefault="00E03C67" w:rsidP="00E03C67">
      <w:pPr>
        <w:pStyle w:val="Bezodstpw"/>
        <w:jc w:val="both"/>
        <w:rPr>
          <w:sz w:val="34"/>
          <w:szCs w:val="34"/>
        </w:rPr>
      </w:pPr>
    </w:p>
    <w:p w:rsidR="00E03C67" w:rsidRDefault="00E03C67" w:rsidP="00E03C67">
      <w:pPr>
        <w:pStyle w:val="Bezodstpw"/>
        <w:jc w:val="both"/>
      </w:pPr>
      <w:r>
        <w:lastRenderedPageBreak/>
        <w:t xml:space="preserve">Tabela: Procentowa zmiana ceny akcji spółki, której akcje zostały umieszczone 5 maja 2015 roku na  stronie internetowej </w:t>
      </w:r>
      <w:hyperlink r:id="rId25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4 do 5 czerwca 2015 roku oraz procentowa zmiana indeksu WIG 20 w tym okresie. </w:t>
      </w:r>
    </w:p>
    <w:p w:rsidR="00E03C67" w:rsidRDefault="00E03C67" w:rsidP="00E03C6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04.05.2015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Poziom – 05.06.2015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Zmiana (w %)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Akcja spółki Polnord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>11,10 zł.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>
              <w:t>9,77 zł.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-12,0 %</w:t>
            </w:r>
          </w:p>
        </w:tc>
      </w:tr>
      <w:tr w:rsidR="00E03C67" w:rsidRPr="008F668F" w:rsidTr="00DB53CD">
        <w:tc>
          <w:tcPr>
            <w:tcW w:w="3402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03C67" w:rsidRPr="008F668F" w:rsidRDefault="00E03C67" w:rsidP="00DB53CD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-12,0 %</w:t>
            </w:r>
          </w:p>
        </w:tc>
      </w:tr>
      <w:tr w:rsidR="00E03C67" w:rsidTr="00DB53CD">
        <w:tc>
          <w:tcPr>
            <w:tcW w:w="3402" w:type="dxa"/>
          </w:tcPr>
          <w:p w:rsidR="00E03C67" w:rsidRDefault="00E03C67" w:rsidP="00DB53CD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03C67" w:rsidRDefault="00E03C67" w:rsidP="00DB53CD">
            <w:pPr>
              <w:pStyle w:val="Bezodstpw"/>
              <w:jc w:val="center"/>
            </w:pPr>
            <w:r>
              <w:t xml:space="preserve">2 424,82 pkt. </w:t>
            </w:r>
          </w:p>
        </w:tc>
        <w:tc>
          <w:tcPr>
            <w:tcW w:w="2303" w:type="dxa"/>
          </w:tcPr>
          <w:p w:rsidR="00E03C67" w:rsidRDefault="00E03C67" w:rsidP="00DB53CD">
            <w:pPr>
              <w:pStyle w:val="Bezodstpw"/>
              <w:jc w:val="center"/>
            </w:pPr>
            <w:r w:rsidRPr="00662678">
              <w:t>2</w:t>
            </w:r>
            <w:r>
              <w:t> 365,58 pkt.</w:t>
            </w:r>
          </w:p>
        </w:tc>
        <w:tc>
          <w:tcPr>
            <w:tcW w:w="1134" w:type="dxa"/>
          </w:tcPr>
          <w:p w:rsidR="00E03C67" w:rsidRDefault="00E03C67" w:rsidP="00DB53CD">
            <w:pPr>
              <w:pStyle w:val="Bezodstpw"/>
              <w:jc w:val="center"/>
            </w:pPr>
            <w:r>
              <w:t>-2,4 %</w:t>
            </w:r>
          </w:p>
        </w:tc>
      </w:tr>
    </w:tbl>
    <w:p w:rsidR="00E03C67" w:rsidRDefault="00E03C67" w:rsidP="00E03C67">
      <w:pPr>
        <w:pStyle w:val="Bezodstpw"/>
        <w:jc w:val="both"/>
        <w:rPr>
          <w:sz w:val="34"/>
          <w:szCs w:val="34"/>
        </w:rPr>
      </w:pPr>
    </w:p>
    <w:p w:rsidR="00E03C67" w:rsidRPr="00360DB8" w:rsidRDefault="00E03C67" w:rsidP="00E03C67">
      <w:pPr>
        <w:pStyle w:val="Bezodstpw"/>
        <w:jc w:val="both"/>
        <w:rPr>
          <w:b/>
          <w:sz w:val="32"/>
          <w:szCs w:val="32"/>
          <w:u w:val="single"/>
        </w:rPr>
      </w:pPr>
      <w:r w:rsidRPr="00360DB8">
        <w:rPr>
          <w:sz w:val="32"/>
          <w:szCs w:val="32"/>
        </w:rPr>
        <w:t xml:space="preserve">Warto zauważyć, że </w:t>
      </w:r>
      <w:r w:rsidRPr="00360DB8">
        <w:rPr>
          <w:b/>
          <w:color w:val="FF0000"/>
          <w:sz w:val="32"/>
          <w:szCs w:val="32"/>
        </w:rPr>
        <w:t>spośród</w:t>
      </w:r>
      <w:r w:rsidRPr="00360DB8">
        <w:rPr>
          <w:b/>
          <w:sz w:val="32"/>
          <w:szCs w:val="32"/>
        </w:rPr>
        <w:t xml:space="preserve"> </w:t>
      </w:r>
      <w:r w:rsidRPr="00360DB8">
        <w:rPr>
          <w:b/>
          <w:color w:val="FF0000"/>
          <w:sz w:val="32"/>
          <w:szCs w:val="32"/>
        </w:rPr>
        <w:t>2</w:t>
      </w:r>
      <w:r>
        <w:rPr>
          <w:b/>
          <w:color w:val="FF0000"/>
          <w:sz w:val="32"/>
          <w:szCs w:val="32"/>
        </w:rPr>
        <w:t>7</w:t>
      </w:r>
      <w:r w:rsidRPr="00360DB8">
        <w:rPr>
          <w:b/>
          <w:color w:val="FF0000"/>
          <w:sz w:val="32"/>
          <w:szCs w:val="32"/>
        </w:rPr>
        <w:t xml:space="preserve"> spółek</w:t>
      </w:r>
      <w:r w:rsidRPr="00360DB8">
        <w:rPr>
          <w:b/>
          <w:sz w:val="32"/>
          <w:szCs w:val="32"/>
        </w:rPr>
        <w:t>, których akcje zakwalifikowane zostały do rubryki ,,Wykres do przemyślenia”</w:t>
      </w:r>
      <w:r w:rsidRPr="00360DB8">
        <w:rPr>
          <w:sz w:val="32"/>
          <w:szCs w:val="32"/>
        </w:rPr>
        <w:t xml:space="preserve"> (gdyż wybiły się już z formacji podwójnego dna) </w:t>
      </w:r>
      <w:r w:rsidRPr="00360DB8">
        <w:rPr>
          <w:b/>
          <w:sz w:val="32"/>
          <w:szCs w:val="32"/>
        </w:rPr>
        <w:t xml:space="preserve">kursy akcji </w:t>
      </w:r>
      <w:r>
        <w:rPr>
          <w:b/>
          <w:color w:val="FF0000"/>
          <w:sz w:val="32"/>
          <w:szCs w:val="32"/>
        </w:rPr>
        <w:t>20</w:t>
      </w:r>
      <w:r w:rsidRPr="00360DB8">
        <w:rPr>
          <w:b/>
          <w:color w:val="FF0000"/>
          <w:sz w:val="32"/>
          <w:szCs w:val="32"/>
        </w:rPr>
        <w:t xml:space="preserve"> spółek</w:t>
      </w:r>
      <w:r w:rsidRPr="00360DB8">
        <w:rPr>
          <w:sz w:val="32"/>
          <w:szCs w:val="32"/>
        </w:rPr>
        <w:t xml:space="preserve"> od momentu owego zakwalifikowania do tej rubryki do dnia </w:t>
      </w:r>
      <w:r>
        <w:rPr>
          <w:sz w:val="32"/>
          <w:szCs w:val="32"/>
        </w:rPr>
        <w:t xml:space="preserve">5 czerwca </w:t>
      </w:r>
      <w:r w:rsidRPr="00360DB8">
        <w:rPr>
          <w:sz w:val="32"/>
          <w:szCs w:val="32"/>
        </w:rPr>
        <w:t xml:space="preserve">2015 roku zachowywały się </w:t>
      </w:r>
      <w:r w:rsidRPr="00360DB8">
        <w:rPr>
          <w:b/>
          <w:color w:val="FF0000"/>
          <w:sz w:val="32"/>
          <w:szCs w:val="32"/>
          <w:u w:val="single"/>
        </w:rPr>
        <w:t>lepiej</w:t>
      </w:r>
      <w:r w:rsidRPr="00360DB8">
        <w:rPr>
          <w:b/>
          <w:color w:val="FF0000"/>
          <w:sz w:val="32"/>
          <w:szCs w:val="32"/>
        </w:rPr>
        <w:t xml:space="preserve"> od indeksu WIG20</w:t>
      </w:r>
      <w:r w:rsidRPr="00360DB8">
        <w:rPr>
          <w:b/>
          <w:sz w:val="32"/>
          <w:szCs w:val="32"/>
        </w:rPr>
        <w:t xml:space="preserve"> a </w:t>
      </w:r>
      <w:r>
        <w:rPr>
          <w:b/>
          <w:sz w:val="32"/>
          <w:szCs w:val="32"/>
        </w:rPr>
        <w:t>7</w:t>
      </w:r>
      <w:r w:rsidRPr="00360DB8">
        <w:rPr>
          <w:b/>
          <w:sz w:val="32"/>
          <w:szCs w:val="32"/>
        </w:rPr>
        <w:t xml:space="preserve"> </w:t>
      </w:r>
      <w:r w:rsidRPr="00360DB8">
        <w:rPr>
          <w:b/>
          <w:sz w:val="32"/>
          <w:szCs w:val="32"/>
          <w:u w:val="single"/>
        </w:rPr>
        <w:t xml:space="preserve">gorzej </w:t>
      </w:r>
      <w:r w:rsidRPr="00360DB8">
        <w:rPr>
          <w:b/>
          <w:sz w:val="32"/>
          <w:szCs w:val="32"/>
        </w:rPr>
        <w:t>od indeksu WIG20.</w:t>
      </w:r>
      <w:r w:rsidRPr="00360DB8">
        <w:rPr>
          <w:b/>
          <w:sz w:val="32"/>
          <w:szCs w:val="32"/>
          <w:u w:val="single"/>
        </w:rPr>
        <w:t xml:space="preserve"> </w:t>
      </w:r>
    </w:p>
    <w:p w:rsidR="00E03C67" w:rsidRPr="00360DB8" w:rsidRDefault="00E03C67" w:rsidP="00E03C67">
      <w:pPr>
        <w:pStyle w:val="Bezodstpw"/>
        <w:jc w:val="both"/>
        <w:rPr>
          <w:b/>
          <w:sz w:val="32"/>
          <w:szCs w:val="32"/>
          <w:u w:val="single"/>
        </w:rPr>
      </w:pPr>
    </w:p>
    <w:p w:rsidR="00E03C67" w:rsidRPr="00360DB8" w:rsidRDefault="00E03C67" w:rsidP="00E03C67">
      <w:pPr>
        <w:pStyle w:val="Bezodstpw"/>
        <w:jc w:val="center"/>
        <w:rPr>
          <w:b/>
          <w:emboss/>
          <w:color w:val="FF0000"/>
          <w:sz w:val="32"/>
          <w:szCs w:val="32"/>
        </w:rPr>
      </w:pPr>
      <w:r w:rsidRPr="00360DB8">
        <w:rPr>
          <w:b/>
          <w:emboss/>
          <w:color w:val="FF0000"/>
          <w:sz w:val="32"/>
          <w:szCs w:val="32"/>
        </w:rPr>
        <w:t>Porównanie</w:t>
      </w:r>
    </w:p>
    <w:p w:rsidR="00E03C67" w:rsidRPr="00360DB8" w:rsidRDefault="00E03C67" w:rsidP="00E03C67">
      <w:pPr>
        <w:pStyle w:val="Bezodstpw"/>
        <w:jc w:val="both"/>
        <w:rPr>
          <w:sz w:val="32"/>
          <w:szCs w:val="32"/>
        </w:rPr>
      </w:pPr>
      <w:r w:rsidRPr="00360DB8">
        <w:rPr>
          <w:sz w:val="32"/>
          <w:szCs w:val="32"/>
        </w:rPr>
        <w:t xml:space="preserve">Wykres: </w:t>
      </w:r>
      <w:r w:rsidRPr="00360DB8">
        <w:rPr>
          <w:color w:val="000000" w:themeColor="text1"/>
          <w:sz w:val="32"/>
          <w:szCs w:val="32"/>
        </w:rPr>
        <w:t>Średnia procentowa zmiana kursu akcji spółki po wprowadzeniu jej do rubryki ,,Wykres do przemyślenia”</w:t>
      </w:r>
      <w:r w:rsidRPr="00360DB8">
        <w:rPr>
          <w:b/>
          <w:color w:val="FF0000"/>
          <w:sz w:val="32"/>
          <w:szCs w:val="32"/>
        </w:rPr>
        <w:t xml:space="preserve"> w okresie 6 miesięcy</w:t>
      </w:r>
      <w:r w:rsidRPr="00360DB8">
        <w:rPr>
          <w:sz w:val="32"/>
          <w:szCs w:val="32"/>
        </w:rPr>
        <w:t xml:space="preserve"> po jej wprowadzeniu do tej rubryki wynosiła </w:t>
      </w:r>
      <w:r w:rsidRPr="00360DB8">
        <w:rPr>
          <w:b/>
          <w:color w:val="FF0000"/>
          <w:sz w:val="32"/>
          <w:szCs w:val="32"/>
        </w:rPr>
        <w:t xml:space="preserve">plus </w:t>
      </w:r>
      <w:r>
        <w:rPr>
          <w:b/>
          <w:color w:val="FF0000"/>
          <w:sz w:val="32"/>
          <w:szCs w:val="32"/>
        </w:rPr>
        <w:t>22,6</w:t>
      </w:r>
      <w:r w:rsidRPr="00360DB8">
        <w:rPr>
          <w:b/>
          <w:color w:val="FF0000"/>
          <w:sz w:val="32"/>
          <w:szCs w:val="32"/>
        </w:rPr>
        <w:t xml:space="preserve"> %</w:t>
      </w:r>
      <w:r w:rsidRPr="00360DB8">
        <w:rPr>
          <w:sz w:val="32"/>
          <w:szCs w:val="32"/>
        </w:rPr>
        <w:t xml:space="preserve"> a średnia procentowa zmiana indeksu WIG20 wynosiła w tym okresie minus </w:t>
      </w:r>
      <w:r>
        <w:rPr>
          <w:sz w:val="32"/>
          <w:szCs w:val="32"/>
        </w:rPr>
        <w:t>2</w:t>
      </w:r>
      <w:r w:rsidRPr="00360DB8">
        <w:rPr>
          <w:sz w:val="32"/>
          <w:szCs w:val="32"/>
        </w:rPr>
        <w:t>,</w:t>
      </w:r>
      <w:r>
        <w:rPr>
          <w:sz w:val="32"/>
          <w:szCs w:val="32"/>
        </w:rPr>
        <w:t>8</w:t>
      </w:r>
      <w:r w:rsidRPr="00360DB8">
        <w:rPr>
          <w:sz w:val="32"/>
          <w:szCs w:val="32"/>
        </w:rPr>
        <w:t xml:space="preserve"> % (</w:t>
      </w:r>
      <w:r w:rsidRPr="00360DB8">
        <w:rPr>
          <w:sz w:val="32"/>
          <w:szCs w:val="32"/>
          <w:u w:val="single"/>
        </w:rPr>
        <w:t xml:space="preserve">obliczenia według stanu na </w:t>
      </w:r>
      <w:r>
        <w:rPr>
          <w:sz w:val="32"/>
          <w:szCs w:val="32"/>
          <w:u w:val="single"/>
        </w:rPr>
        <w:t xml:space="preserve">5 czerwca </w:t>
      </w:r>
      <w:r w:rsidRPr="00360DB8">
        <w:rPr>
          <w:sz w:val="32"/>
          <w:szCs w:val="32"/>
          <w:u w:val="single"/>
        </w:rPr>
        <w:t>2015 roku</w:t>
      </w:r>
      <w:r w:rsidRPr="00360DB8">
        <w:rPr>
          <w:sz w:val="32"/>
          <w:szCs w:val="32"/>
        </w:rPr>
        <w:t>). Dane o procentowej zmianie kursu dla okresu 6-miesięcznego można było obliczyć dla akcji 1</w:t>
      </w:r>
      <w:r>
        <w:rPr>
          <w:sz w:val="32"/>
          <w:szCs w:val="32"/>
        </w:rPr>
        <w:t>8</w:t>
      </w:r>
      <w:r w:rsidRPr="00360DB8">
        <w:rPr>
          <w:sz w:val="32"/>
          <w:szCs w:val="32"/>
        </w:rPr>
        <w:t xml:space="preserve"> spółek. </w:t>
      </w:r>
    </w:p>
    <w:p w:rsidR="00E03C67" w:rsidRPr="00360DB8" w:rsidRDefault="00E03C67" w:rsidP="00E03C67">
      <w:pPr>
        <w:pStyle w:val="Bezodstpw"/>
        <w:jc w:val="both"/>
        <w:rPr>
          <w:sz w:val="28"/>
          <w:szCs w:val="28"/>
        </w:rPr>
      </w:pPr>
    </w:p>
    <w:p w:rsidR="00E03C67" w:rsidRDefault="00E03C67" w:rsidP="00E03C67">
      <w:pPr>
        <w:pStyle w:val="Bezodstpw"/>
        <w:jc w:val="both"/>
      </w:pPr>
      <w:r w:rsidRPr="00AF56EB">
        <w:rPr>
          <w:noProof/>
          <w:bdr w:val="single" w:sz="24" w:space="0" w:color="00B050"/>
        </w:rPr>
        <w:drawing>
          <wp:inline distT="0" distB="0" distL="0" distR="0">
            <wp:extent cx="4162425" cy="2095500"/>
            <wp:effectExtent l="19050" t="0" r="9525" b="0"/>
            <wp:docPr id="1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  <w:rPr>
          <w:sz w:val="24"/>
          <w:szCs w:val="24"/>
        </w:rPr>
      </w:pPr>
      <w:r w:rsidRPr="004B4AAC">
        <w:rPr>
          <w:sz w:val="24"/>
          <w:szCs w:val="24"/>
        </w:rPr>
        <w:t xml:space="preserve">Z powyższego porównania wynika, że </w:t>
      </w:r>
      <w:r w:rsidRPr="004B4AAC">
        <w:rPr>
          <w:b/>
          <w:sz w:val="24"/>
          <w:szCs w:val="24"/>
        </w:rPr>
        <w:t>wybicie kursu akcji spółki z formacji podwójnego dna</w:t>
      </w:r>
      <w:r w:rsidRPr="004B4AAC">
        <w:rPr>
          <w:sz w:val="24"/>
          <w:szCs w:val="24"/>
        </w:rPr>
        <w:t xml:space="preserve"> będące </w:t>
      </w:r>
      <w:r w:rsidRPr="004B4AAC">
        <w:rPr>
          <w:b/>
          <w:color w:val="000000" w:themeColor="text1"/>
          <w:sz w:val="24"/>
          <w:szCs w:val="24"/>
        </w:rPr>
        <w:t>niezbędnym kryterium kwalifikującym</w:t>
      </w:r>
      <w:r w:rsidRPr="004B4AAC">
        <w:rPr>
          <w:sz w:val="24"/>
          <w:szCs w:val="24"/>
        </w:rPr>
        <w:t xml:space="preserve"> do wprowadzenie spółki do rubryki ,,Wykres do przemyślenia” sprzyja relatywnie mocnemu zachowaniu kursu akcji tej spółki w okresie pierwszych </w:t>
      </w:r>
      <w:r>
        <w:rPr>
          <w:sz w:val="24"/>
          <w:szCs w:val="24"/>
        </w:rPr>
        <w:t>6</w:t>
      </w:r>
      <w:r w:rsidRPr="004B4AAC">
        <w:rPr>
          <w:sz w:val="24"/>
          <w:szCs w:val="24"/>
        </w:rPr>
        <w:t xml:space="preserve"> miesięcy po wprowadzeniu spółki do tej rubryki.</w:t>
      </w:r>
    </w:p>
    <w:p w:rsidR="00E03C67" w:rsidRPr="00295250" w:rsidRDefault="00E03C67" w:rsidP="00E03C67">
      <w:pPr>
        <w:pStyle w:val="Bezodstpw"/>
        <w:jc w:val="both"/>
        <w:rPr>
          <w:b/>
        </w:rPr>
      </w:pPr>
      <w:r w:rsidRPr="00295250">
        <w:rPr>
          <w:b/>
        </w:rPr>
        <w:lastRenderedPageBreak/>
        <w:t>Wnioski końcowe</w:t>
      </w:r>
    </w:p>
    <w:p w:rsidR="00E03C67" w:rsidRDefault="00E03C67" w:rsidP="00E03C67">
      <w:pPr>
        <w:pStyle w:val="Bezodstpw"/>
        <w:jc w:val="both"/>
      </w:pPr>
    </w:p>
    <w:p w:rsidR="00E03C67" w:rsidRPr="00F904FA" w:rsidRDefault="00E03C67" w:rsidP="00E03C67">
      <w:pPr>
        <w:pStyle w:val="Bezodstpw"/>
        <w:numPr>
          <w:ilvl w:val="0"/>
          <w:numId w:val="1"/>
        </w:numPr>
        <w:jc w:val="both"/>
        <w:rPr>
          <w:color w:val="000000" w:themeColor="text1"/>
        </w:rPr>
      </w:pPr>
      <w:r w:rsidRPr="00F904FA">
        <w:rPr>
          <w:b/>
          <w:color w:val="000000" w:themeColor="text1"/>
        </w:rPr>
        <w:t>Kurs dolara amerykańskiego (w złotych)</w:t>
      </w:r>
      <w:r w:rsidRPr="00F904FA">
        <w:rPr>
          <w:color w:val="000000" w:themeColor="text1"/>
        </w:rPr>
        <w:t xml:space="preserve"> spadł poniżej bardzo ważnego oporu na poziomie 3,9130 zł. z lutego 2009 roku. W tej sytuacji można oczekiwać rozpoczęcia się fali spadków w kierunku linii trendu wzrostowego poprowadzonej przez dołki z lipca 2008 roku oraz czerwca 2014 roku, która aktualnie przebiega na poziomie </w:t>
      </w:r>
      <w:r w:rsidRPr="00F904FA">
        <w:rPr>
          <w:b/>
          <w:color w:val="FF0000"/>
        </w:rPr>
        <w:t>3,10</w:t>
      </w:r>
      <w:r w:rsidRPr="00F904FA">
        <w:rPr>
          <w:color w:val="000000" w:themeColor="text1"/>
        </w:rPr>
        <w:t xml:space="preserve">. Osłabienie kursu dolara amerykańskiego (w złotych) może być związane z napływem kapitału zagranicznego na polski rynek akcji, czemu towarzyszyć może także osłabienie kursów innych walut zagranicznych (w tym jena japońskiego złotych). Mark </w:t>
      </w:r>
      <w:proofErr w:type="spellStart"/>
      <w:r w:rsidRPr="00F904FA">
        <w:rPr>
          <w:color w:val="000000" w:themeColor="text1"/>
        </w:rPr>
        <w:t>Mobius</w:t>
      </w:r>
      <w:proofErr w:type="spellEnd"/>
      <w:r w:rsidRPr="00F904FA">
        <w:rPr>
          <w:color w:val="000000" w:themeColor="text1"/>
        </w:rPr>
        <w:t xml:space="preserve">, szef </w:t>
      </w:r>
      <w:proofErr w:type="spellStart"/>
      <w:r w:rsidRPr="00F904FA">
        <w:rPr>
          <w:color w:val="000000" w:themeColor="text1"/>
        </w:rPr>
        <w:t>Templeton</w:t>
      </w:r>
      <w:proofErr w:type="spellEnd"/>
      <w:r w:rsidRPr="00F904FA">
        <w:rPr>
          <w:color w:val="000000" w:themeColor="text1"/>
        </w:rPr>
        <w:t xml:space="preserve"> </w:t>
      </w:r>
      <w:proofErr w:type="spellStart"/>
      <w:r w:rsidRPr="00F904FA">
        <w:rPr>
          <w:color w:val="000000" w:themeColor="text1"/>
        </w:rPr>
        <w:t>Emerging</w:t>
      </w:r>
      <w:proofErr w:type="spellEnd"/>
      <w:r w:rsidRPr="00F904FA">
        <w:rPr>
          <w:color w:val="000000" w:themeColor="text1"/>
        </w:rPr>
        <w:t xml:space="preserve"> </w:t>
      </w:r>
      <w:proofErr w:type="spellStart"/>
      <w:r w:rsidRPr="00F904FA">
        <w:rPr>
          <w:color w:val="000000" w:themeColor="text1"/>
        </w:rPr>
        <w:t>Markets</w:t>
      </w:r>
      <w:proofErr w:type="spellEnd"/>
      <w:r w:rsidRPr="00F904FA">
        <w:rPr>
          <w:color w:val="000000" w:themeColor="text1"/>
        </w:rPr>
        <w:t xml:space="preserve"> Group powiedział niedawno: ,,</w:t>
      </w:r>
      <w:r w:rsidRPr="00F904FA">
        <w:rPr>
          <w:b/>
          <w:color w:val="000000" w:themeColor="text1"/>
        </w:rPr>
        <w:t>nadszedł czas, aby inwestorzy zaczęli przenosić się z drogiego amerykańskiego rynku akcji na rynki akcji gospodarek wschodzących</w:t>
      </w:r>
      <w:r w:rsidRPr="00F904FA">
        <w:rPr>
          <w:color w:val="000000" w:themeColor="text1"/>
        </w:rPr>
        <w:t>”</w:t>
      </w:r>
    </w:p>
    <w:p w:rsidR="00E03C67" w:rsidRPr="00F904FA" w:rsidRDefault="00E03C67" w:rsidP="00E03C67">
      <w:pPr>
        <w:pStyle w:val="Bezodstpw"/>
        <w:jc w:val="both"/>
        <w:rPr>
          <w:color w:val="000000" w:themeColor="text1"/>
        </w:rPr>
      </w:pPr>
    </w:p>
    <w:p w:rsidR="00E03C67" w:rsidRDefault="00E03C67" w:rsidP="00E03C67">
      <w:pPr>
        <w:pStyle w:val="Bezodstpw"/>
        <w:numPr>
          <w:ilvl w:val="0"/>
          <w:numId w:val="1"/>
        </w:numPr>
        <w:jc w:val="both"/>
        <w:rPr>
          <w:color w:val="000000" w:themeColor="text1"/>
        </w:rPr>
      </w:pPr>
      <w:r w:rsidRPr="000F15ED">
        <w:rPr>
          <w:color w:val="000000" w:themeColor="text1"/>
        </w:rPr>
        <w:t xml:space="preserve">W przypadku </w:t>
      </w:r>
      <w:r w:rsidRPr="000F15ED">
        <w:rPr>
          <w:b/>
          <w:color w:val="000000" w:themeColor="text1"/>
        </w:rPr>
        <w:t>kursu euro (w złotych)</w:t>
      </w:r>
      <w:r w:rsidRPr="000F15ED">
        <w:rPr>
          <w:color w:val="000000" w:themeColor="text1"/>
        </w:rPr>
        <w:t xml:space="preserve"> bardzo ważnym poziomem oporu jest poziom 4,3668 (szczyt z czerwca 2013 roku). Po dojściu do tego oporu rozpoczęła się fala spadków w kierunku ważnego wsparcia, którym był dołek z 6 czerwca 2014 roku przebiegający na poziomie  4,092. Najbliższym ważnym wsparciem jest poziom </w:t>
      </w:r>
      <w:r w:rsidRPr="000F15ED">
        <w:rPr>
          <w:b/>
          <w:color w:val="FF0000"/>
        </w:rPr>
        <w:t>3,8932 zł</w:t>
      </w:r>
      <w:r w:rsidRPr="000F15ED">
        <w:rPr>
          <w:color w:val="000000" w:themeColor="text1"/>
        </w:rPr>
        <w:t xml:space="preserve"> (dołek z maja 2011 roku).</w:t>
      </w:r>
    </w:p>
    <w:p w:rsidR="00E03C67" w:rsidRPr="000F15ED" w:rsidRDefault="00E03C67" w:rsidP="00E03C67">
      <w:pPr>
        <w:pStyle w:val="Bezodstpw"/>
        <w:ind w:left="720"/>
        <w:jc w:val="both"/>
        <w:rPr>
          <w:color w:val="000000" w:themeColor="text1"/>
        </w:rPr>
      </w:pPr>
    </w:p>
    <w:p w:rsidR="00E03C67" w:rsidRDefault="00E03C67" w:rsidP="00E03C67">
      <w:pPr>
        <w:pStyle w:val="Bezodstpw"/>
        <w:numPr>
          <w:ilvl w:val="0"/>
          <w:numId w:val="1"/>
        </w:numPr>
        <w:jc w:val="both"/>
        <w:rPr>
          <w:color w:val="000000" w:themeColor="text1"/>
        </w:rPr>
      </w:pPr>
      <w:r w:rsidRPr="00F904FA">
        <w:rPr>
          <w:color w:val="000000" w:themeColor="text1"/>
        </w:rPr>
        <w:t xml:space="preserve">Z fundamentalnego punktu widzenia przewidywane w 2015 roku wzrosty indeksów giełdowych opisujących sytuację na polskim rynku akcji mogą być przejawem </w:t>
      </w:r>
      <w:r w:rsidRPr="00F904FA">
        <w:rPr>
          <w:b/>
          <w:color w:val="000000" w:themeColor="text1"/>
        </w:rPr>
        <w:t>dyskontowania przez uczestników polskiego rynku akcji ożywienia gospodarczego w Polsce, które</w:t>
      </w:r>
      <w:r w:rsidRPr="00F904FA">
        <w:rPr>
          <w:color w:val="000000" w:themeColor="text1"/>
        </w:rPr>
        <w:t xml:space="preserve"> (zgodnie z np. prognozami analityków NBP, Instytutu Badań nad Gospodarką Rynkową, czy też np. banku inwestycyjnego Morgan Stanley) </w:t>
      </w:r>
      <w:r w:rsidRPr="00F904FA">
        <w:rPr>
          <w:b/>
          <w:color w:val="000000" w:themeColor="text1"/>
        </w:rPr>
        <w:t>powinno nastąpić w 2016 roku</w:t>
      </w:r>
      <w:r w:rsidRPr="00F904FA">
        <w:rPr>
          <w:color w:val="000000" w:themeColor="text1"/>
        </w:rPr>
        <w:t xml:space="preserve"> (kiedy to zdaniem, wyżej wymienionych analityków można oczekiwać, wedle wyżej wymienionych prognoz przyspieszenia realnego wzrostu PKB. </w:t>
      </w:r>
    </w:p>
    <w:p w:rsidR="00E03C67" w:rsidRDefault="00E03C67" w:rsidP="00E03C67">
      <w:pPr>
        <w:pStyle w:val="Bezodstpw"/>
        <w:jc w:val="both"/>
        <w:rPr>
          <w:color w:val="000000" w:themeColor="text1"/>
        </w:rPr>
      </w:pPr>
    </w:p>
    <w:p w:rsidR="00E03C67" w:rsidRPr="005F3667" w:rsidRDefault="00E03C67" w:rsidP="00E03C67">
      <w:pPr>
        <w:pStyle w:val="Bezodstpw"/>
        <w:numPr>
          <w:ilvl w:val="0"/>
          <w:numId w:val="1"/>
        </w:numPr>
        <w:jc w:val="both"/>
      </w:pPr>
      <w:r w:rsidRPr="005F3667">
        <w:rPr>
          <w:color w:val="000000" w:themeColor="text1"/>
        </w:rPr>
        <w:t>Indeks WIG 20 w poprzednim tygodniu stracił na wartości</w:t>
      </w:r>
      <w:r>
        <w:rPr>
          <w:color w:val="000000" w:themeColor="text1"/>
        </w:rPr>
        <w:t>. Realna perspektywa spadku cen kontraktów terminowych na miedź może przyczyniać się do pogłębiania się spadków indeksu WIG20. P</w:t>
      </w:r>
      <w:r w:rsidRPr="005F3667">
        <w:rPr>
          <w:b/>
          <w:color w:val="000000" w:themeColor="text1"/>
          <w:u w:val="single"/>
        </w:rPr>
        <w:t>rzewidywane zmiany w składzie Rady Polityki Pieniężnej oraz na stanowisku prezesa NBP</w:t>
      </w:r>
      <w:r>
        <w:rPr>
          <w:color w:val="000000" w:themeColor="text1"/>
        </w:rPr>
        <w:t xml:space="preserve"> mogą powodować, że z ,,pierwszą podwyżką” stóp procentowych mieć będziemy do czynienia później, niż do tej pory sądzono. Powinno to sprzyjać </w:t>
      </w:r>
      <w:r w:rsidRPr="005F3667">
        <w:rPr>
          <w:b/>
          <w:color w:val="000000" w:themeColor="text1"/>
          <w:u w:val="single"/>
        </w:rPr>
        <w:t>lepszemu</w:t>
      </w:r>
      <w:r>
        <w:rPr>
          <w:color w:val="000000" w:themeColor="text1"/>
        </w:rPr>
        <w:t xml:space="preserve"> w średnim terminie </w:t>
      </w:r>
      <w:r w:rsidRPr="005F3667">
        <w:rPr>
          <w:b/>
          <w:color w:val="000000" w:themeColor="text1"/>
          <w:u w:val="single"/>
        </w:rPr>
        <w:t>zachowaniu indeksu małych spółek sWIG80</w:t>
      </w:r>
      <w:r>
        <w:rPr>
          <w:color w:val="000000" w:themeColor="text1"/>
        </w:rPr>
        <w:t xml:space="preserve">, niż indeksu dużych spółek WIG20. </w:t>
      </w:r>
      <w:r w:rsidR="000D5A92">
        <w:rPr>
          <w:color w:val="000000" w:themeColor="text1"/>
        </w:rPr>
        <w:t xml:space="preserve">Okres pomiędzy dniem ,,pierwszej obniżki” a dniem bezpośrednio poprzedzającym ,,pierwszą podwyżkę” jest z reguły bardziej korzystny dla indeksu małych spółek, niż dla indeksu spółek dużych. </w:t>
      </w:r>
    </w:p>
    <w:p w:rsidR="00E03C67" w:rsidRDefault="00E03C67" w:rsidP="00E03C67">
      <w:pPr>
        <w:pStyle w:val="Bezodstpw"/>
        <w:ind w:left="720"/>
        <w:jc w:val="both"/>
      </w:pPr>
    </w:p>
    <w:p w:rsidR="00E03C67" w:rsidRDefault="00E03C67" w:rsidP="00E03C67">
      <w:pPr>
        <w:pStyle w:val="Bezodstpw"/>
        <w:jc w:val="both"/>
      </w:pPr>
      <w:r>
        <w:t xml:space="preserve">Opracował: </w:t>
      </w:r>
      <w:r w:rsidRPr="00AA453E">
        <w:t>Sławomir Kłusek</w:t>
      </w:r>
      <w:r>
        <w:t>, 8 czerwca 2015 r.</w:t>
      </w:r>
    </w:p>
    <w:p w:rsidR="00E03C67" w:rsidRDefault="00E03C67" w:rsidP="00E03C67">
      <w:pPr>
        <w:pStyle w:val="Bezodstpw"/>
        <w:ind w:left="720"/>
        <w:jc w:val="both"/>
      </w:pPr>
    </w:p>
    <w:p w:rsidR="00E03C67" w:rsidRDefault="00E03C67" w:rsidP="00E03C67">
      <w:pPr>
        <w:pStyle w:val="Bezodstpw"/>
        <w:jc w:val="both"/>
      </w:pPr>
      <w:r>
        <w:t xml:space="preserve">Powyższy raport stanowi wyłącznie wyraz osobistych opinii autora. </w:t>
      </w:r>
    </w:p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</w:pPr>
      <w:r>
        <w:t xml:space="preserve">Treści zawarte na stronie internetowej </w:t>
      </w:r>
      <w:hyperlink r:id="rId27" w:history="1">
        <w:r w:rsidRPr="00093965">
          <w:rPr>
            <w:rStyle w:val="Hipercze"/>
          </w:rPr>
          <w:t>www.analizy-rynkowe.pl</w:t>
        </w:r>
      </w:hyperlink>
      <w:r>
        <w:t xml:space="preserve"> </w:t>
      </w:r>
      <w:r w:rsidRPr="00875D60">
        <w:t>nie stanowi</w:t>
      </w:r>
      <w:r>
        <w:t>ą</w:t>
      </w:r>
      <w:r w:rsidRPr="00875D60">
        <w:t xml:space="preserve">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875D60">
        <w:t>Dz.U</w:t>
      </w:r>
      <w:proofErr w:type="spellEnd"/>
      <w:r w:rsidRPr="00875D60">
        <w:t>. z 2005 r. Nr 206, poz. 1715).</w:t>
      </w:r>
    </w:p>
    <w:p w:rsidR="00E03C67" w:rsidRDefault="00E03C67" w:rsidP="00E03C67">
      <w:pPr>
        <w:pStyle w:val="Bezodstpw"/>
        <w:jc w:val="both"/>
      </w:pPr>
    </w:p>
    <w:p w:rsidR="00E03C67" w:rsidRDefault="00E03C67" w:rsidP="00E03C67">
      <w:pPr>
        <w:pStyle w:val="Bezodstpw"/>
        <w:jc w:val="both"/>
      </w:pPr>
      <w:r>
        <w:t xml:space="preserve">Autor nie ponosi odpowiedzialności za jakiekolwiek decyzje inwestycyjne podjęte na podstawie treści zawartych na stronie internetowej </w:t>
      </w:r>
      <w:hyperlink r:id="rId28" w:history="1">
        <w:r w:rsidRPr="00093965">
          <w:rPr>
            <w:rStyle w:val="Hipercze"/>
          </w:rPr>
          <w:t>www.analizy-rynkowe.pl</w:t>
        </w:r>
      </w:hyperlink>
    </w:p>
    <w:sectPr w:rsidR="00E03C67" w:rsidSect="0073675B">
      <w:footerReference w:type="default" r:id="rId2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28" w:rsidRDefault="005A0628" w:rsidP="005969F1">
      <w:pPr>
        <w:spacing w:after="0" w:line="240" w:lineRule="auto"/>
      </w:pPr>
      <w:r>
        <w:separator/>
      </w:r>
    </w:p>
  </w:endnote>
  <w:endnote w:type="continuationSeparator" w:id="0">
    <w:p w:rsidR="005A0628" w:rsidRDefault="005A0628" w:rsidP="0059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Content>
      <w:p w:rsidR="0073675B" w:rsidRDefault="006362E5">
        <w:pPr>
          <w:pStyle w:val="Stopka"/>
          <w:jc w:val="center"/>
        </w:pPr>
        <w:r>
          <w:fldChar w:fldCharType="begin"/>
        </w:r>
        <w:r w:rsidR="00E03C67">
          <w:instrText>PAGE   \* MERGEFORMAT</w:instrText>
        </w:r>
        <w:r>
          <w:fldChar w:fldCharType="separate"/>
        </w:r>
        <w:r w:rsidR="00135DA0">
          <w:rPr>
            <w:noProof/>
          </w:rPr>
          <w:t>2</w:t>
        </w:r>
        <w:r>
          <w:fldChar w:fldCharType="end"/>
        </w:r>
      </w:p>
    </w:sdtContent>
  </w:sdt>
  <w:p w:rsidR="0073675B" w:rsidRDefault="005A06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28" w:rsidRDefault="005A0628" w:rsidP="005969F1">
      <w:pPr>
        <w:spacing w:after="0" w:line="240" w:lineRule="auto"/>
      </w:pPr>
      <w:r>
        <w:separator/>
      </w:r>
    </w:p>
  </w:footnote>
  <w:footnote w:type="continuationSeparator" w:id="0">
    <w:p w:rsidR="005A0628" w:rsidRDefault="005A0628" w:rsidP="00596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C67"/>
    <w:rsid w:val="000D5A92"/>
    <w:rsid w:val="00135DA0"/>
    <w:rsid w:val="005969F1"/>
    <w:rsid w:val="005A0628"/>
    <w:rsid w:val="006362E5"/>
    <w:rsid w:val="00865465"/>
    <w:rsid w:val="00CE7A65"/>
    <w:rsid w:val="00DF0D69"/>
    <w:rsid w:val="00E0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6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3C67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C67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03C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03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C6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18" Type="http://schemas.openxmlformats.org/officeDocument/2006/relationships/hyperlink" Target="http://www.analizy-rynkowe.pl" TargetMode="External"/><Relationship Id="rId26" Type="http://schemas.openxmlformats.org/officeDocument/2006/relationships/chart" Target="charts/chart1.xml"/><Relationship Id="rId3" Type="http://schemas.openxmlformats.org/officeDocument/2006/relationships/settings" Target="settings.xml"/><Relationship Id="rId21" Type="http://schemas.openxmlformats.org/officeDocument/2006/relationships/hyperlink" Target="http://www.analizy-rynkowe.pl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pb.pl/4167471,32135,golebie-przyleca-do-banku-centralnego" TargetMode="External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lade.pl/index.php?p=1_2_PULS-WYBORCZY" TargetMode="External"/><Relationship Id="rId24" Type="http://schemas.openxmlformats.org/officeDocument/2006/relationships/hyperlink" Target="http://www.analizy-rynkowe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28" Type="http://schemas.openxmlformats.org/officeDocument/2006/relationships/hyperlink" Target="http://www.analizy-rynkowe.pl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www.analizy-rynkowe.p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gif"/><Relationship Id="rId22" Type="http://schemas.openxmlformats.org/officeDocument/2006/relationships/hyperlink" Target="http://www.analizy-rynkowe.pl" TargetMode="External"/><Relationship Id="rId27" Type="http://schemas.openxmlformats.org/officeDocument/2006/relationships/hyperlink" Target="http://www.analizy-rynkowe.pl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wydi\Moje%20dokumenty\EFEKT-MALYCH-SPOLE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7"/>
  <c:chart>
    <c:title>
      <c:tx>
        <c:rich>
          <a:bodyPr/>
          <a:lstStyle/>
          <a:p>
            <a:pPr>
              <a:defRPr/>
            </a:pPr>
            <a:r>
              <a:rPr lang="pl-PL"/>
              <a:t>Porównanie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Arkusz1!$A$1</c:f>
              <c:strCache>
                <c:ptCount val="1"/>
                <c:pt idx="0">
                  <c:v>Wykres do przemyślenia</c:v>
                </c:pt>
              </c:strCache>
            </c:strRef>
          </c:tx>
          <c:val>
            <c:numRef>
              <c:f>Arkusz1!$B$1</c:f>
              <c:numCache>
                <c:formatCode>0.0</c:formatCode>
                <c:ptCount val="1"/>
                <c:pt idx="0">
                  <c:v>22.6</c:v>
                </c:pt>
              </c:numCache>
            </c:numRef>
          </c:val>
        </c:ser>
        <c:ser>
          <c:idx val="1"/>
          <c:order val="1"/>
          <c:tx>
            <c:strRef>
              <c:f>Arkusz1!$A$2</c:f>
              <c:strCache>
                <c:ptCount val="1"/>
                <c:pt idx="0">
                  <c:v>WIG20</c:v>
                </c:pt>
              </c:strCache>
            </c:strRef>
          </c:tx>
          <c:val>
            <c:numRef>
              <c:f>Arkusz1!$B$2</c:f>
              <c:numCache>
                <c:formatCode>0.0</c:formatCode>
                <c:ptCount val="1"/>
                <c:pt idx="0">
                  <c:v>-2.8</c:v>
                </c:pt>
              </c:numCache>
            </c:numRef>
          </c:val>
        </c:ser>
        <c:dLbls>
          <c:showVal val="1"/>
        </c:dLbls>
        <c:overlap val="-25"/>
        <c:axId val="90940544"/>
        <c:axId val="90942080"/>
      </c:barChart>
      <c:catAx>
        <c:axId val="9094054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90942080"/>
        <c:crosses val="autoZero"/>
        <c:auto val="1"/>
        <c:lblAlgn val="ctr"/>
        <c:lblOffset val="100"/>
      </c:catAx>
      <c:valAx>
        <c:axId val="90942080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9094054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3151</Words>
  <Characters>18912</Characters>
  <Application>Microsoft Office Word</Application>
  <DocSecurity>0</DocSecurity>
  <Lines>157</Lines>
  <Paragraphs>44</Paragraphs>
  <ScaleCrop>false</ScaleCrop>
  <Company/>
  <LinksUpToDate>false</LinksUpToDate>
  <CharactersWithSpaces>22019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3</cp:revision>
  <cp:lastPrinted>2015-06-07T06:59:00Z</cp:lastPrinted>
  <dcterms:created xsi:type="dcterms:W3CDTF">2015-06-07T06:58:00Z</dcterms:created>
  <dcterms:modified xsi:type="dcterms:W3CDTF">2015-06-07T07:00:00Z</dcterms:modified>
</cp:coreProperties>
</file>