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2E" w:rsidRPr="00C16D3A" w:rsidRDefault="00B7182E" w:rsidP="00B7182E">
      <w:pPr>
        <w:pStyle w:val="Bezodstpw"/>
        <w:jc w:val="center"/>
        <w:rPr>
          <w:shadow/>
          <w:color w:val="FF0000"/>
          <w:sz w:val="180"/>
          <w:szCs w:val="180"/>
        </w:rPr>
      </w:pPr>
      <w:r w:rsidRPr="00C16D3A">
        <w:rPr>
          <w:shadow/>
          <w:color w:val="FF0000"/>
          <w:sz w:val="180"/>
          <w:szCs w:val="180"/>
        </w:rPr>
        <w:t>Raport</w:t>
      </w:r>
    </w:p>
    <w:p w:rsidR="00B7182E" w:rsidRDefault="00B7182E" w:rsidP="00B7182E">
      <w:pPr>
        <w:pStyle w:val="Bezodstpw"/>
        <w:jc w:val="center"/>
        <w:rPr>
          <w:shadow/>
          <w:color w:val="FF0000"/>
          <w:sz w:val="180"/>
          <w:szCs w:val="180"/>
        </w:rPr>
      </w:pPr>
      <w:r w:rsidRPr="00C16D3A">
        <w:rPr>
          <w:shadow/>
          <w:color w:val="FF0000"/>
          <w:sz w:val="180"/>
          <w:szCs w:val="180"/>
        </w:rPr>
        <w:t>Tygodniowy</w:t>
      </w:r>
    </w:p>
    <w:p w:rsidR="00B7182E" w:rsidRPr="00BB2EC3" w:rsidRDefault="00B7182E" w:rsidP="00B7182E">
      <w:pPr>
        <w:pStyle w:val="Bezodstpw"/>
        <w:jc w:val="center"/>
        <w:rPr>
          <w:shadow/>
          <w:color w:val="FF0000"/>
          <w:sz w:val="100"/>
          <w:szCs w:val="100"/>
        </w:rPr>
      </w:pPr>
      <w:r w:rsidRPr="00BB2EC3">
        <w:rPr>
          <w:shadow/>
          <w:color w:val="FF0000"/>
          <w:sz w:val="100"/>
          <w:szCs w:val="100"/>
        </w:rPr>
        <w:t>o sytuacji na</w:t>
      </w:r>
    </w:p>
    <w:p w:rsidR="00B7182E" w:rsidRPr="00BB2EC3" w:rsidRDefault="00B7182E" w:rsidP="00B7182E">
      <w:pPr>
        <w:pStyle w:val="Bezodstpw"/>
        <w:jc w:val="center"/>
        <w:rPr>
          <w:shadow/>
          <w:color w:val="FF0000"/>
          <w:sz w:val="100"/>
          <w:szCs w:val="100"/>
        </w:rPr>
      </w:pPr>
      <w:r w:rsidRPr="00BB2EC3">
        <w:rPr>
          <w:shadow/>
          <w:color w:val="FF0000"/>
          <w:sz w:val="100"/>
          <w:szCs w:val="100"/>
        </w:rPr>
        <w:t>rynkach finansowych</w:t>
      </w:r>
    </w:p>
    <w:p w:rsidR="00B7182E" w:rsidRPr="00400806" w:rsidRDefault="00B7182E" w:rsidP="00B7182E">
      <w:pPr>
        <w:pStyle w:val="Bezodstpw"/>
        <w:jc w:val="center"/>
        <w:rPr>
          <w:sz w:val="48"/>
          <w:szCs w:val="48"/>
        </w:rPr>
      </w:pPr>
    </w:p>
    <w:p w:rsidR="00B7182E" w:rsidRDefault="00B7182E" w:rsidP="00B7182E">
      <w:pPr>
        <w:pStyle w:val="Bezodstpw"/>
        <w:jc w:val="center"/>
        <w:rPr>
          <w:sz w:val="48"/>
          <w:szCs w:val="48"/>
        </w:rPr>
      </w:pPr>
    </w:p>
    <w:p w:rsidR="00B7182E" w:rsidRPr="009A4255" w:rsidRDefault="00B7182E" w:rsidP="00B7182E">
      <w:pPr>
        <w:pStyle w:val="Bezodstpw"/>
        <w:jc w:val="center"/>
        <w:rPr>
          <w:shadow/>
          <w:sz w:val="100"/>
          <w:szCs w:val="100"/>
          <w:u w:val="single"/>
        </w:rPr>
      </w:pPr>
      <w:r w:rsidRPr="009A4255">
        <w:rPr>
          <w:shadow/>
          <w:sz w:val="100"/>
          <w:szCs w:val="100"/>
          <w:u w:val="single"/>
        </w:rPr>
        <w:t>Rynek walutowy</w:t>
      </w:r>
    </w:p>
    <w:p w:rsidR="00B7182E" w:rsidRPr="009A4255" w:rsidRDefault="00B7182E" w:rsidP="00B7182E">
      <w:pPr>
        <w:pStyle w:val="Bezodstpw"/>
        <w:jc w:val="center"/>
        <w:rPr>
          <w:shadow/>
          <w:sz w:val="100"/>
          <w:szCs w:val="100"/>
        </w:rPr>
      </w:pPr>
    </w:p>
    <w:p w:rsidR="00B7182E" w:rsidRPr="009A4255" w:rsidRDefault="00B7182E" w:rsidP="00B7182E">
      <w:pPr>
        <w:pStyle w:val="Bezodstpw"/>
        <w:jc w:val="center"/>
        <w:rPr>
          <w:shadow/>
          <w:sz w:val="100"/>
          <w:szCs w:val="100"/>
          <w:u w:val="single"/>
        </w:rPr>
      </w:pPr>
      <w:r w:rsidRPr="009A4255">
        <w:rPr>
          <w:shadow/>
          <w:sz w:val="100"/>
          <w:szCs w:val="100"/>
          <w:u w:val="single"/>
        </w:rPr>
        <w:t>Rynek akcji</w:t>
      </w: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5A3E54" w:rsidRDefault="005A3E54" w:rsidP="005A3E54">
      <w:pPr>
        <w:pStyle w:val="Bezodstpw"/>
        <w:jc w:val="both"/>
        <w:rPr>
          <w:shadow/>
          <w:sz w:val="24"/>
          <w:szCs w:val="24"/>
        </w:rPr>
      </w:pPr>
      <w:r w:rsidRPr="00D72F94">
        <w:rPr>
          <w:shadow/>
          <w:sz w:val="24"/>
          <w:szCs w:val="24"/>
        </w:rPr>
        <w:lastRenderedPageBreak/>
        <w:t xml:space="preserve">Poniedziałek, </w:t>
      </w:r>
      <w:r>
        <w:rPr>
          <w:shadow/>
          <w:sz w:val="24"/>
          <w:szCs w:val="24"/>
        </w:rPr>
        <w:t xml:space="preserve">11 maja </w:t>
      </w:r>
      <w:r w:rsidRPr="00D72F94">
        <w:rPr>
          <w:shadow/>
          <w:sz w:val="24"/>
          <w:szCs w:val="24"/>
        </w:rPr>
        <w:t>201</w:t>
      </w:r>
      <w:r>
        <w:rPr>
          <w:shadow/>
          <w:sz w:val="24"/>
          <w:szCs w:val="24"/>
        </w:rPr>
        <w:t>5</w:t>
      </w:r>
      <w:r w:rsidRPr="00D72F94">
        <w:rPr>
          <w:shadow/>
          <w:sz w:val="24"/>
          <w:szCs w:val="24"/>
        </w:rPr>
        <w:t xml:space="preserve"> roku</w:t>
      </w:r>
    </w:p>
    <w:p w:rsidR="005A3E54" w:rsidRPr="00D72F94" w:rsidRDefault="005A3E54" w:rsidP="005A3E54">
      <w:pPr>
        <w:pStyle w:val="Bezodstpw"/>
        <w:jc w:val="both"/>
        <w:rPr>
          <w:shadow/>
          <w:sz w:val="24"/>
          <w:szCs w:val="24"/>
        </w:rPr>
      </w:pPr>
    </w:p>
    <w:p w:rsidR="005A3E54" w:rsidRDefault="005A3E54" w:rsidP="005A3E54">
      <w:pPr>
        <w:pStyle w:val="Bezodstpw"/>
        <w:pBdr>
          <w:top w:val="single" w:sz="4" w:space="1" w:color="auto"/>
          <w:left w:val="single" w:sz="4" w:space="4" w:color="auto"/>
          <w:bottom w:val="single" w:sz="4" w:space="1" w:color="auto"/>
          <w:right w:val="single" w:sz="4" w:space="4" w:color="auto"/>
        </w:pBdr>
        <w:jc w:val="center"/>
      </w:pPr>
      <w:r>
        <w:t>Kurs USD/PLN – perspektywa długoterminowa, kurs z 8 maja 2015 roku = 3,6098</w:t>
      </w:r>
    </w:p>
    <w:p w:rsidR="005A3E54" w:rsidRDefault="005A3E54" w:rsidP="005A3E54">
      <w:pPr>
        <w:pStyle w:val="Bezodstpw"/>
        <w:jc w:val="both"/>
      </w:pPr>
    </w:p>
    <w:p w:rsidR="005A3E54" w:rsidRDefault="005A3E54" w:rsidP="005A3E54">
      <w:pPr>
        <w:pStyle w:val="Bezodstpw"/>
        <w:jc w:val="both"/>
      </w:pPr>
      <w:r>
        <w:rPr>
          <w:noProof/>
        </w:rPr>
        <w:drawing>
          <wp:inline distT="0" distB="0" distL="0" distR="0">
            <wp:extent cx="4829175" cy="2905125"/>
            <wp:effectExtent l="19050" t="0" r="9525" b="0"/>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5A3E54" w:rsidRDefault="005A3E54" w:rsidP="005A3E54">
      <w:pPr>
        <w:pStyle w:val="Bezodstpw"/>
        <w:jc w:val="both"/>
      </w:pPr>
      <w:r>
        <w:t xml:space="preserve">Kurs spadł </w:t>
      </w:r>
      <w:r w:rsidRPr="006D27DC">
        <w:rPr>
          <w:b/>
          <w:color w:val="FF0000"/>
        </w:rPr>
        <w:t>poniżej bardzo ważnego oporu</w:t>
      </w:r>
      <w:r>
        <w:t xml:space="preserve"> na poziomie 3,9130 zł. z lutego 2009 roku. </w:t>
      </w:r>
      <w:r w:rsidRPr="004505AC">
        <w:rPr>
          <w:u w:val="single"/>
        </w:rPr>
        <w:t xml:space="preserve">W tej sytuacji </w:t>
      </w:r>
      <w:r>
        <w:t>m</w:t>
      </w:r>
      <w:r w:rsidRPr="006E1995">
        <w:t>ożna</w:t>
      </w:r>
      <w:r w:rsidRPr="006E1995">
        <w:rPr>
          <w:u w:val="single"/>
        </w:rPr>
        <w:t xml:space="preserve"> </w:t>
      </w:r>
      <w:r w:rsidRPr="00220F89">
        <w:rPr>
          <w:b/>
          <w:u w:val="single"/>
        </w:rPr>
        <w:t>oczekiwać rozpoczęcia</w:t>
      </w:r>
      <w:r>
        <w:rPr>
          <w:b/>
          <w:u w:val="single"/>
        </w:rPr>
        <w:t xml:space="preserve"> się fali</w:t>
      </w:r>
      <w:r w:rsidRPr="00F1241D">
        <w:rPr>
          <w:b/>
          <w:u w:val="single"/>
        </w:rPr>
        <w:t xml:space="preserve"> spadków</w:t>
      </w:r>
      <w:r>
        <w:t xml:space="preserve"> w kierunku linii trendu wzrostowego poprowadzonej przez dołki z lipca 2008 roku oraz czerwca 2014 roku, która aktualnie przebiega na poziomie </w:t>
      </w:r>
      <w:r w:rsidRPr="00550E2A">
        <w:rPr>
          <w:b/>
          <w:color w:val="FF0000"/>
        </w:rPr>
        <w:t>3,10.</w:t>
      </w:r>
      <w:r>
        <w:t xml:space="preserve"> </w:t>
      </w:r>
    </w:p>
    <w:p w:rsidR="005A3E54" w:rsidRDefault="005A3E54" w:rsidP="005A3E54">
      <w:pPr>
        <w:pStyle w:val="Bezodstpw"/>
        <w:jc w:val="both"/>
      </w:pPr>
    </w:p>
    <w:p w:rsidR="005A3E54" w:rsidRDefault="005A3E54" w:rsidP="005A3E54">
      <w:pPr>
        <w:pStyle w:val="Bezodstpw"/>
        <w:pBdr>
          <w:top w:val="single" w:sz="4" w:space="1" w:color="auto"/>
          <w:left w:val="single" w:sz="4" w:space="4" w:color="auto"/>
          <w:bottom w:val="single" w:sz="4" w:space="1" w:color="auto"/>
          <w:right w:val="single" w:sz="4" w:space="4" w:color="auto"/>
        </w:pBdr>
        <w:jc w:val="center"/>
      </w:pPr>
      <w:r>
        <w:t>Kurs EUR/PLN – perspektywa długoterminowa, kurs z 8 maja 2015 roku = 4,0458</w:t>
      </w:r>
    </w:p>
    <w:p w:rsidR="005A3E54" w:rsidRDefault="005A3E54" w:rsidP="005A3E54">
      <w:pPr>
        <w:pStyle w:val="Bezodstpw"/>
        <w:jc w:val="both"/>
      </w:pPr>
    </w:p>
    <w:p w:rsidR="005A3E54" w:rsidRDefault="005A3E54" w:rsidP="005A3E54">
      <w:pPr>
        <w:pStyle w:val="Bezodstpw"/>
        <w:jc w:val="both"/>
      </w:pPr>
      <w:r>
        <w:rPr>
          <w:noProof/>
        </w:rPr>
        <w:drawing>
          <wp:inline distT="0" distB="0" distL="0" distR="0">
            <wp:extent cx="4829175" cy="2905125"/>
            <wp:effectExtent l="19050" t="0" r="9525"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29175" cy="2905125"/>
                    </a:xfrm>
                    <a:prstGeom prst="rect">
                      <a:avLst/>
                    </a:prstGeom>
                    <a:noFill/>
                  </pic:spPr>
                </pic:pic>
              </a:graphicData>
            </a:graphic>
          </wp:inline>
        </w:drawing>
      </w:r>
    </w:p>
    <w:p w:rsidR="005A3E54" w:rsidRDefault="005A3E54" w:rsidP="005A3E54">
      <w:pPr>
        <w:pStyle w:val="Bezodstpw"/>
        <w:jc w:val="both"/>
      </w:pPr>
    </w:p>
    <w:p w:rsidR="005A3E54" w:rsidRDefault="005A3E54" w:rsidP="005A3E54">
      <w:pPr>
        <w:pStyle w:val="Bezodstpw"/>
        <w:jc w:val="both"/>
        <w:rPr>
          <w:color w:val="000000" w:themeColor="text1"/>
        </w:rPr>
      </w:pPr>
      <w:r>
        <w:t xml:space="preserve">Aktywność strony podażowej doprowadziła do przebicia od góry spadkowej linii trendu poprowadzonej przez szczyty z lutego 2009 roku oraz grudnia 2011 roku. Bardzo ważnym poziomem oporu był poziom </w:t>
      </w:r>
      <w:r w:rsidRPr="00411E48">
        <w:rPr>
          <w:b/>
          <w:color w:val="000000" w:themeColor="text1"/>
        </w:rPr>
        <w:t>4,3668</w:t>
      </w:r>
      <w:r>
        <w:t xml:space="preserve"> (szczyt z czerwca 2013 roku). Po dojściu do tego oporu </w:t>
      </w:r>
      <w:r w:rsidRPr="00220F89">
        <w:rPr>
          <w:b/>
          <w:u w:val="single"/>
        </w:rPr>
        <w:t>rozpoczęła się</w:t>
      </w:r>
      <w:r>
        <w:t xml:space="preserve"> </w:t>
      </w:r>
      <w:r>
        <w:rPr>
          <w:b/>
          <w:u w:val="single"/>
        </w:rPr>
        <w:t>fala</w:t>
      </w:r>
      <w:r w:rsidRPr="00F1241D">
        <w:rPr>
          <w:b/>
          <w:u w:val="single"/>
        </w:rPr>
        <w:t xml:space="preserve"> spadków</w:t>
      </w:r>
      <w:r>
        <w:t xml:space="preserve"> w kierunku ważnego wsparcia, którym był </w:t>
      </w:r>
      <w:r w:rsidRPr="007A3616">
        <w:t>dołek z 6 czerwca 2014 roku</w:t>
      </w:r>
      <w:r>
        <w:t xml:space="preserve"> przebiegający na poziomie </w:t>
      </w:r>
      <w:r w:rsidRPr="007A3616">
        <w:t xml:space="preserve"> </w:t>
      </w:r>
      <w:r w:rsidRPr="00FE7318">
        <w:rPr>
          <w:b/>
          <w:color w:val="000000" w:themeColor="text1"/>
        </w:rPr>
        <w:t>4</w:t>
      </w:r>
      <w:r w:rsidRPr="0021188E">
        <w:rPr>
          <w:b/>
          <w:color w:val="000000" w:themeColor="text1"/>
        </w:rPr>
        <w:t>,092.</w:t>
      </w:r>
      <w:r>
        <w:rPr>
          <w:b/>
          <w:color w:val="FF0000"/>
        </w:rPr>
        <w:t xml:space="preserve"> </w:t>
      </w:r>
      <w:r w:rsidRPr="009D3063">
        <w:rPr>
          <w:color w:val="000000" w:themeColor="text1"/>
        </w:rPr>
        <w:t>Pokonane zostało od dołu wsparcie na poziomie</w:t>
      </w:r>
      <w:r>
        <w:rPr>
          <w:b/>
          <w:color w:val="FF0000"/>
        </w:rPr>
        <w:t xml:space="preserve"> </w:t>
      </w:r>
      <w:r w:rsidRPr="00FE7318">
        <w:rPr>
          <w:b/>
          <w:color w:val="FF0000"/>
        </w:rPr>
        <w:t>4,0</w:t>
      </w:r>
      <w:r>
        <w:rPr>
          <w:b/>
          <w:color w:val="FF0000"/>
        </w:rPr>
        <w:t xml:space="preserve">264 </w:t>
      </w:r>
      <w:r w:rsidRPr="00507FD9">
        <w:rPr>
          <w:color w:val="000000" w:themeColor="text1"/>
        </w:rPr>
        <w:t>(dołek z 10 sierpnia 2012 roku).</w:t>
      </w:r>
      <w:r>
        <w:rPr>
          <w:color w:val="000000" w:themeColor="text1"/>
        </w:rPr>
        <w:t xml:space="preserve"> Kolejnym wsparciem jest poziom </w:t>
      </w:r>
      <w:r w:rsidRPr="009D3063">
        <w:rPr>
          <w:b/>
          <w:color w:val="FF0000"/>
        </w:rPr>
        <w:t>3,8932 zł</w:t>
      </w:r>
      <w:r>
        <w:rPr>
          <w:color w:val="000000" w:themeColor="text1"/>
        </w:rPr>
        <w:t xml:space="preserve"> (dołek z maja 2011 roku). </w:t>
      </w:r>
    </w:p>
    <w:p w:rsidR="00B7182E" w:rsidRDefault="00B7182E" w:rsidP="00B7182E">
      <w:pPr>
        <w:pStyle w:val="Bezodstpw"/>
        <w:pBdr>
          <w:top w:val="single" w:sz="4" w:space="1" w:color="auto"/>
          <w:left w:val="single" w:sz="4" w:space="4" w:color="auto"/>
          <w:bottom w:val="single" w:sz="4" w:space="1" w:color="auto"/>
          <w:right w:val="single" w:sz="4" w:space="4" w:color="auto"/>
        </w:pBdr>
        <w:jc w:val="center"/>
      </w:pPr>
      <w:r>
        <w:lastRenderedPageBreak/>
        <w:t>NIKKEI 225 - ,,pęk średnich” typu 500-200-100 na wykresie stworzonym w oparciu o dane miesięczne</w:t>
      </w:r>
    </w:p>
    <w:p w:rsidR="00B7182E" w:rsidRDefault="00B7182E" w:rsidP="00B7182E">
      <w:pPr>
        <w:pStyle w:val="Bezodstpw"/>
        <w:jc w:val="both"/>
      </w:pPr>
    </w:p>
    <w:p w:rsidR="00B7182E" w:rsidRDefault="00B7182E" w:rsidP="00B7182E">
      <w:pPr>
        <w:pStyle w:val="Bezodstpw"/>
        <w:jc w:val="both"/>
      </w:pPr>
      <w:r>
        <w:t>W ostatnim czasie sporo pisałem o zjawisku ,,pęku średnich”. Jego istotą jest silne zbliżenie się do siebie średnich ruchomych oraz samego kursu, który przecież jest też swoistą średnią (średnią z 1 sesji).</w:t>
      </w:r>
    </w:p>
    <w:p w:rsidR="00C27BA2" w:rsidRDefault="00C27BA2" w:rsidP="00B7182E">
      <w:pPr>
        <w:pStyle w:val="Bezodstpw"/>
        <w:jc w:val="both"/>
      </w:pPr>
    </w:p>
    <w:p w:rsidR="00C27BA2" w:rsidRPr="00C27BA2" w:rsidRDefault="00C27BA2" w:rsidP="00C27BA2">
      <w:pPr>
        <w:pStyle w:val="Bezodstpw"/>
        <w:jc w:val="both"/>
        <w:rPr>
          <w:color w:val="000000" w:themeColor="text1"/>
        </w:rPr>
      </w:pPr>
      <w:r>
        <w:t xml:space="preserve">Zakładam, że </w:t>
      </w:r>
      <w:r w:rsidRPr="00655FDA">
        <w:rPr>
          <w:b/>
          <w:color w:val="FF0000"/>
        </w:rPr>
        <w:t xml:space="preserve">w ,,pęku średnich” drzemie </w:t>
      </w:r>
      <w:r>
        <w:rPr>
          <w:b/>
          <w:color w:val="FF0000"/>
        </w:rPr>
        <w:t>duża</w:t>
      </w:r>
      <w:r w:rsidRPr="00655FDA">
        <w:rPr>
          <w:b/>
          <w:color w:val="FF0000"/>
        </w:rPr>
        <w:t xml:space="preserve">, która ma bardzo duże szansę </w:t>
      </w:r>
      <w:r>
        <w:rPr>
          <w:b/>
          <w:color w:val="FF0000"/>
        </w:rPr>
        <w:t>w pewnym momencie ,,wybuchnąć</w:t>
      </w:r>
      <w:r w:rsidRPr="00C27BA2">
        <w:rPr>
          <w:color w:val="000000" w:themeColor="text1"/>
        </w:rPr>
        <w:t>”, czyli doprowadzić do silnego ruchu (w górę lub w dół)</w:t>
      </w:r>
    </w:p>
    <w:p w:rsidR="00B7182E" w:rsidRDefault="00B7182E" w:rsidP="00B7182E">
      <w:pPr>
        <w:pStyle w:val="Bezodstpw"/>
        <w:jc w:val="both"/>
      </w:pPr>
    </w:p>
    <w:p w:rsidR="00B7182E" w:rsidRPr="00EC32D4" w:rsidRDefault="00B7182E" w:rsidP="00B7182E">
      <w:pPr>
        <w:pStyle w:val="Bezodstpw"/>
        <w:jc w:val="both"/>
        <w:rPr>
          <w:b/>
          <w:u w:val="single"/>
        </w:rPr>
      </w:pPr>
      <w:r w:rsidRPr="00EC32D4">
        <w:rPr>
          <w:b/>
          <w:u w:val="single"/>
        </w:rPr>
        <w:t>Szczególne znaczenie przywiązuje do ,,pęku średnich” ze 100, 200 oraz 500 sesji.</w:t>
      </w:r>
    </w:p>
    <w:p w:rsidR="00B7182E" w:rsidRDefault="00B7182E" w:rsidP="00B7182E">
      <w:pPr>
        <w:pStyle w:val="Bezodstpw"/>
        <w:jc w:val="both"/>
      </w:pPr>
    </w:p>
    <w:p w:rsidR="00B7182E" w:rsidRDefault="00B7182E" w:rsidP="00B7182E">
      <w:pPr>
        <w:pStyle w:val="Bezodstpw"/>
        <w:jc w:val="both"/>
      </w:pPr>
      <w:r>
        <w:t>Kiedy średnie ruchome: z 500 sesji (czerwona przerywana), z 200 sesji (niebieska) oraz ze 100 sesji (żółta) znajdują się bardzo blisko siebie (a dodatkowo jeszcze kurs akcji, czy też indeks znajduje się blisko owych średnich ruchomych) wówczas można oczekiwać rozpoczęcia się bardzo silnego ruchu.</w:t>
      </w:r>
    </w:p>
    <w:p w:rsidR="00B7182E" w:rsidRDefault="00B7182E" w:rsidP="00B7182E">
      <w:pPr>
        <w:pStyle w:val="Bezodstpw"/>
        <w:jc w:val="both"/>
      </w:pPr>
    </w:p>
    <w:p w:rsidR="00B7182E" w:rsidRPr="00EC32D4" w:rsidRDefault="00B7182E" w:rsidP="00B7182E">
      <w:pPr>
        <w:pStyle w:val="Bezodstpw"/>
        <w:jc w:val="both"/>
        <w:rPr>
          <w:b/>
          <w:u w:val="single"/>
        </w:rPr>
      </w:pPr>
      <w:r>
        <w:t>Wspominałem o pojawieniu się ,,pęku średnich” w przypadku wykresów akcji różnych spółek notowanych na Giełdzie Papierów Wartościowych w Warszawie.</w:t>
      </w:r>
      <w:r w:rsidR="00A17A3C">
        <w:t xml:space="preserve"> </w:t>
      </w:r>
      <w:r>
        <w:t xml:space="preserve">Wskazywałem wtedy na owe ,,pęki średnich” tworzone na skali opartej na danych dziennych. Tymczasem można </w:t>
      </w:r>
      <w:r w:rsidRPr="00EC32D4">
        <w:rPr>
          <w:b/>
          <w:u w:val="single"/>
        </w:rPr>
        <w:t xml:space="preserve">,,pęki średnich” dostrzegać także na wykresach tworzonych </w:t>
      </w:r>
      <w:r w:rsidR="00C27BA2">
        <w:rPr>
          <w:b/>
          <w:u w:val="single"/>
        </w:rPr>
        <w:t xml:space="preserve">np. </w:t>
      </w:r>
      <w:r w:rsidRPr="00EC32D4">
        <w:rPr>
          <w:b/>
          <w:u w:val="single"/>
        </w:rPr>
        <w:t>w oparciu o dane tygodniowe czy też miesięczne.</w:t>
      </w:r>
    </w:p>
    <w:p w:rsidR="00B7182E" w:rsidRDefault="00B7182E" w:rsidP="00B7182E">
      <w:pPr>
        <w:pStyle w:val="Bezodstpw"/>
        <w:jc w:val="both"/>
      </w:pPr>
    </w:p>
    <w:p w:rsidR="00B7182E" w:rsidRDefault="00B7182E" w:rsidP="00B7182E">
      <w:pPr>
        <w:pStyle w:val="Bezodstpw"/>
        <w:jc w:val="both"/>
      </w:pPr>
      <w:r>
        <w:t xml:space="preserve">Biorąc to pod uwagę </w:t>
      </w:r>
      <w:r w:rsidRPr="003F3432">
        <w:rPr>
          <w:b/>
          <w:u w:val="single"/>
        </w:rPr>
        <w:t>moją uwagę zwrócił wykres</w:t>
      </w:r>
      <w:r>
        <w:t xml:space="preserve"> świecowy indeksu </w:t>
      </w:r>
      <w:r w:rsidRPr="003F3432">
        <w:rPr>
          <w:b/>
          <w:u w:val="single"/>
        </w:rPr>
        <w:t>japońskiego rynku akcji NIKKEI 225</w:t>
      </w:r>
      <w:r>
        <w:t xml:space="preserve"> utworzo</w:t>
      </w:r>
      <w:r w:rsidR="003D5968">
        <w:t xml:space="preserve">ny w oparciu </w:t>
      </w:r>
      <w:r w:rsidR="003D5968" w:rsidRPr="00C27BA2">
        <w:rPr>
          <w:b/>
          <w:u w:val="single"/>
        </w:rPr>
        <w:t>o dane miesięczne</w:t>
      </w:r>
      <w:r w:rsidR="00A17A3C">
        <w:t xml:space="preserve"> (1914-2015)</w:t>
      </w:r>
    </w:p>
    <w:p w:rsidR="00B7182E" w:rsidRDefault="00B7182E" w:rsidP="00B7182E">
      <w:pPr>
        <w:pStyle w:val="Bezodstpw"/>
        <w:jc w:val="both"/>
      </w:pPr>
    </w:p>
    <w:p w:rsidR="00C27BA2" w:rsidRPr="00C27BA2" w:rsidRDefault="00C27BA2" w:rsidP="00B7182E">
      <w:pPr>
        <w:pStyle w:val="Bezodstpw"/>
        <w:jc w:val="both"/>
        <w:rPr>
          <w:b/>
          <w:u w:val="single"/>
        </w:rPr>
      </w:pPr>
      <w:r w:rsidRPr="00C27BA2">
        <w:rPr>
          <w:b/>
          <w:u w:val="single"/>
        </w:rPr>
        <w:t>NIKKEI 225</w:t>
      </w:r>
    </w:p>
    <w:p w:rsidR="00B7182E" w:rsidRDefault="00B7182E" w:rsidP="00B7182E">
      <w:pPr>
        <w:pStyle w:val="Bezodstpw"/>
        <w:jc w:val="both"/>
      </w:pPr>
      <w:r w:rsidRPr="005C6206">
        <w:rPr>
          <w:noProof/>
        </w:rPr>
        <w:drawing>
          <wp:inline distT="0" distB="0" distL="0" distR="0">
            <wp:extent cx="4829175" cy="2905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29175" cy="2905125"/>
                    </a:xfrm>
                    <a:prstGeom prst="rect">
                      <a:avLst/>
                    </a:prstGeom>
                    <a:noFill/>
                  </pic:spPr>
                </pic:pic>
              </a:graphicData>
            </a:graphic>
          </wp:inline>
        </w:drawing>
      </w:r>
    </w:p>
    <w:p w:rsidR="00B7182E" w:rsidRDefault="00B7182E" w:rsidP="00B7182E">
      <w:pPr>
        <w:pStyle w:val="Bezodstpw"/>
        <w:jc w:val="both"/>
      </w:pPr>
    </w:p>
    <w:p w:rsidR="00B7182E" w:rsidRDefault="00B7182E" w:rsidP="00B7182E">
      <w:pPr>
        <w:pStyle w:val="Bezodstpw"/>
        <w:jc w:val="both"/>
        <w:rPr>
          <w:b/>
        </w:rPr>
      </w:pPr>
      <w:r>
        <w:t xml:space="preserve">Na takim właśnie wykresie zaznaczyłem ,,pęk średnich”. Stawiam pewną tezę (w oparciu o obserwacje wykresów), że kiedy po pojawieniu się ,,pęku średnich” dochodzi do przebicia ważnego wsparcia powstaje ważny sygnał kupna (w przypadku oporu ważny sygnał sprzedaży). Popatrzmy na wykres zamieszczony na tej stronie. Okazuje się, że </w:t>
      </w:r>
      <w:r w:rsidRPr="001F5CC4">
        <w:rPr>
          <w:b/>
          <w:color w:val="FF0000"/>
        </w:rPr>
        <w:t>na przełomie 2012 i 2013</w:t>
      </w:r>
      <w:r>
        <w:t xml:space="preserve"> pojawił się właśnie </w:t>
      </w:r>
      <w:r w:rsidRPr="001F5CC4">
        <w:rPr>
          <w:b/>
          <w:color w:val="FF0000"/>
        </w:rPr>
        <w:t>ów ,,pęk średnich”.</w:t>
      </w:r>
      <w:r>
        <w:t xml:space="preserve"> Być może właśnie </w:t>
      </w:r>
      <w:r w:rsidRPr="00EC32D4">
        <w:rPr>
          <w:b/>
        </w:rPr>
        <w:t>dzięki ,,energii” zawartej w tym ,,pęku średnich”</w:t>
      </w:r>
      <w:r>
        <w:t xml:space="preserve"> </w:t>
      </w:r>
      <w:r w:rsidRPr="00EC32D4">
        <w:rPr>
          <w:b/>
        </w:rPr>
        <w:t xml:space="preserve">pokonany został opór z 2007 roku. </w:t>
      </w:r>
      <w:r w:rsidR="00A17A3C" w:rsidRPr="00A17A3C">
        <w:t xml:space="preserve">Wygląda na to, że </w:t>
      </w:r>
      <w:r w:rsidR="00A17A3C">
        <w:t>czeka nas dalszy r</w:t>
      </w:r>
      <w:r w:rsidR="00A17A3C" w:rsidRPr="00A17A3C">
        <w:t>uch w górę, a skoro jest skala powinna być bardzo duża to jest bardzo prawdopodobne, że ruch ten doprowadzi do osiągnięcia historycznego szczytu znajdującego się na poziomie 38 916,00 pkt. (z 29 grudnia 1989 roku), co oznaczałoby</w:t>
      </w:r>
      <w:r w:rsidR="00A17A3C" w:rsidRPr="00A17A3C">
        <w:rPr>
          <w:b/>
        </w:rPr>
        <w:t xml:space="preserve"> </w:t>
      </w:r>
      <w:r w:rsidR="00A17A3C" w:rsidRPr="00A17A3C">
        <w:rPr>
          <w:b/>
          <w:color w:val="FF0000"/>
        </w:rPr>
        <w:t>wzrost indeksu NIKKEI 225 o 100,1 %.</w:t>
      </w:r>
    </w:p>
    <w:p w:rsidR="00B7182E" w:rsidRDefault="00B7182E" w:rsidP="00B7182E">
      <w:pPr>
        <w:pStyle w:val="Bezodstpw"/>
        <w:pBdr>
          <w:top w:val="single" w:sz="4" w:space="1" w:color="auto"/>
          <w:left w:val="single" w:sz="4" w:space="4" w:color="auto"/>
          <w:bottom w:val="single" w:sz="4" w:space="1" w:color="auto"/>
          <w:right w:val="single" w:sz="4" w:space="4" w:color="auto"/>
        </w:pBdr>
        <w:jc w:val="center"/>
      </w:pPr>
      <w:r w:rsidRPr="003E449D">
        <w:lastRenderedPageBreak/>
        <w:t>WIG 20 – gdzie znajduje się ważny opór ?</w:t>
      </w:r>
      <w:r>
        <w:t xml:space="preserve"> próba nietypowego spojrzenia </w:t>
      </w:r>
    </w:p>
    <w:p w:rsidR="00B7182E" w:rsidRDefault="00B7182E" w:rsidP="00B7182E">
      <w:pPr>
        <w:pStyle w:val="Bezodstpw"/>
        <w:jc w:val="center"/>
      </w:pPr>
    </w:p>
    <w:p w:rsidR="00B7182E" w:rsidRDefault="00B7182E" w:rsidP="00B7182E">
      <w:pPr>
        <w:pStyle w:val="Bezodstpw"/>
        <w:jc w:val="both"/>
      </w:pPr>
      <w:r>
        <w:t>WIG 20 zyskał w tym roku na wartości. Wiele osób zadaje sobie pytanie: czy są szanse na dalsze wzrosty ? Gdzie znajduje się ważny opór ?</w:t>
      </w:r>
    </w:p>
    <w:p w:rsidR="00B7182E" w:rsidRDefault="00B7182E" w:rsidP="00B7182E">
      <w:pPr>
        <w:pStyle w:val="Bezodstpw"/>
        <w:jc w:val="both"/>
      </w:pPr>
    </w:p>
    <w:p w:rsidR="00B7182E" w:rsidRDefault="00B7182E" w:rsidP="00B7182E">
      <w:pPr>
        <w:pStyle w:val="Bezodstpw"/>
        <w:jc w:val="both"/>
      </w:pPr>
      <w:r>
        <w:t xml:space="preserve">Zaproponuje nietypowe spojrzenie. </w:t>
      </w:r>
      <w:r w:rsidRPr="001F5CC4">
        <w:rPr>
          <w:b/>
          <w:u w:val="single"/>
        </w:rPr>
        <w:t>Odwołam się</w:t>
      </w:r>
      <w:r>
        <w:t xml:space="preserve"> otóż nie tyle do samego wykresu WIG20, ale </w:t>
      </w:r>
      <w:r w:rsidRPr="001F5CC4">
        <w:rPr>
          <w:b/>
          <w:u w:val="single"/>
        </w:rPr>
        <w:t>do wykresu wskaźnika Cena/Wartość Księgowa obliczanego dla wspomnianego indeksu WIG20</w:t>
      </w:r>
      <w:r>
        <w:t xml:space="preserve">. </w:t>
      </w:r>
    </w:p>
    <w:p w:rsidR="00B7182E" w:rsidRDefault="00B7182E" w:rsidP="00B7182E">
      <w:pPr>
        <w:pStyle w:val="Bezodstpw"/>
        <w:jc w:val="both"/>
      </w:pPr>
    </w:p>
    <w:p w:rsidR="00B7182E" w:rsidRDefault="00B7182E" w:rsidP="00C27BA2">
      <w:pPr>
        <w:pStyle w:val="Bezodstpw"/>
        <w:jc w:val="both"/>
      </w:pPr>
      <w:r>
        <w:t xml:space="preserve">Dane o poziomach tego wskaźnika dla indeksu WIG20 (i dla wielu spółek oraz indeksów) można zaczerpnąć z polskiego portalu giełdowego </w:t>
      </w:r>
      <w:hyperlink r:id="rId10" w:history="1">
        <w:r w:rsidRPr="00792B86">
          <w:rPr>
            <w:rStyle w:val="Hipercze"/>
          </w:rPr>
          <w:t>http://stooq.pl/</w:t>
        </w:r>
      </w:hyperlink>
      <w:r>
        <w:t>.</w:t>
      </w:r>
      <w:r w:rsidR="00C27BA2">
        <w:t xml:space="preserve"> </w:t>
      </w:r>
      <w:r>
        <w:t xml:space="preserve">Popatrzmy na poniższy wykres. Zauważymy na nim, gdzie znajduje się najbliższa, ważna strefa oporu. </w:t>
      </w:r>
    </w:p>
    <w:p w:rsidR="00C27BA2" w:rsidRDefault="00C27BA2" w:rsidP="00C27BA2">
      <w:pPr>
        <w:pStyle w:val="Bezodstpw"/>
        <w:jc w:val="both"/>
      </w:pPr>
    </w:p>
    <w:p w:rsidR="00B7182E" w:rsidRPr="00C27BA2" w:rsidRDefault="00C27BA2" w:rsidP="00B7182E">
      <w:pPr>
        <w:pStyle w:val="Bezodstpw"/>
        <w:rPr>
          <w:b/>
          <w:u w:val="single"/>
        </w:rPr>
      </w:pPr>
      <w:r w:rsidRPr="00C27BA2">
        <w:rPr>
          <w:b/>
          <w:u w:val="single"/>
        </w:rPr>
        <w:t>CENA/WARTOŚĆ KSIĘGOWA DLA WIG20</w:t>
      </w:r>
    </w:p>
    <w:p w:rsidR="00B7182E" w:rsidRDefault="00B7182E" w:rsidP="00B7182E">
      <w:pPr>
        <w:pStyle w:val="Bezodstpw"/>
      </w:pPr>
      <w:r>
        <w:rPr>
          <w:noProof/>
        </w:rPr>
        <w:drawing>
          <wp:inline distT="0" distB="0" distL="0" distR="0">
            <wp:extent cx="6029325" cy="36195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29325" cy="3619500"/>
                    </a:xfrm>
                    <a:prstGeom prst="rect">
                      <a:avLst/>
                    </a:prstGeom>
                    <a:noFill/>
                  </pic:spPr>
                </pic:pic>
              </a:graphicData>
            </a:graphic>
          </wp:inline>
        </w:drawing>
      </w:r>
    </w:p>
    <w:p w:rsidR="00B7182E" w:rsidRDefault="00B7182E" w:rsidP="00B7182E">
      <w:pPr>
        <w:pStyle w:val="Bezodstpw"/>
      </w:pPr>
    </w:p>
    <w:p w:rsidR="00B7182E" w:rsidRPr="001F5CC4" w:rsidRDefault="00B7182E" w:rsidP="00B7182E">
      <w:pPr>
        <w:pStyle w:val="Bezodstpw"/>
        <w:jc w:val="both"/>
        <w:rPr>
          <w:b/>
          <w:u w:val="single"/>
        </w:rPr>
      </w:pPr>
      <w:r>
        <w:t xml:space="preserve">Z powyższego wykresu wynika, że poziom wskaźnika </w:t>
      </w:r>
      <w:r w:rsidRPr="001F5CC4">
        <w:rPr>
          <w:b/>
          <w:u w:val="single"/>
        </w:rPr>
        <w:t xml:space="preserve">Cena/Wartość Księgowa dla indeksu WIG20 wynosi </w:t>
      </w:r>
      <w:r w:rsidRPr="001F5CC4">
        <w:rPr>
          <w:b/>
          <w:color w:val="FF0000"/>
        </w:rPr>
        <w:t>1,60.</w:t>
      </w:r>
      <w:r w:rsidRPr="001F5CC4">
        <w:rPr>
          <w:b/>
          <w:u w:val="single"/>
        </w:rPr>
        <w:t xml:space="preserve"> </w:t>
      </w:r>
    </w:p>
    <w:p w:rsidR="00B7182E" w:rsidRDefault="00B7182E" w:rsidP="00B7182E">
      <w:pPr>
        <w:pStyle w:val="Bezodstpw"/>
        <w:jc w:val="both"/>
      </w:pPr>
    </w:p>
    <w:p w:rsidR="00B7182E" w:rsidRPr="001F5CC4" w:rsidRDefault="00B7182E" w:rsidP="00B7182E">
      <w:pPr>
        <w:pStyle w:val="Bezodstpw"/>
        <w:jc w:val="both"/>
        <w:rPr>
          <w:b/>
          <w:color w:val="FF0000"/>
        </w:rPr>
      </w:pPr>
      <w:r>
        <w:t xml:space="preserve">Tymczasem </w:t>
      </w:r>
      <w:r w:rsidRPr="001F5CC4">
        <w:rPr>
          <w:b/>
          <w:u w:val="single"/>
        </w:rPr>
        <w:t>ważna strefa oporu</w:t>
      </w:r>
      <w:r>
        <w:t xml:space="preserve"> znajduje się pomiędzy </w:t>
      </w:r>
      <w:r w:rsidRPr="001F5CC4">
        <w:rPr>
          <w:b/>
          <w:color w:val="FF0000"/>
        </w:rPr>
        <w:t xml:space="preserve">1,78 a 1,85. </w:t>
      </w:r>
    </w:p>
    <w:p w:rsidR="00B7182E" w:rsidRDefault="00B7182E" w:rsidP="00B7182E">
      <w:pPr>
        <w:pStyle w:val="Bezodstpw"/>
        <w:jc w:val="both"/>
      </w:pPr>
    </w:p>
    <w:p w:rsidR="00B7182E" w:rsidRDefault="00B7182E" w:rsidP="00B7182E">
      <w:pPr>
        <w:pStyle w:val="Bezodstpw"/>
        <w:jc w:val="both"/>
      </w:pPr>
      <w:r>
        <w:t xml:space="preserve">Po dojściu do tych poziomów inwestorzy giełdowi mogą być bardziej chętni, niż do tej pory sprzedawać akcje najbardziej płynnych spółek notowanych na GPW w Warszawie. </w:t>
      </w:r>
    </w:p>
    <w:p w:rsidR="00B7182E" w:rsidRDefault="00B7182E" w:rsidP="00B7182E">
      <w:pPr>
        <w:pStyle w:val="Bezodstpw"/>
        <w:jc w:val="both"/>
      </w:pPr>
    </w:p>
    <w:p w:rsidR="00B7182E" w:rsidRDefault="00B7182E" w:rsidP="00B7182E">
      <w:pPr>
        <w:pStyle w:val="Bezodstpw"/>
        <w:jc w:val="both"/>
      </w:pPr>
      <w:r>
        <w:t xml:space="preserve">Co ciekawe z powyższych danych wynika, że najwyższym poziomem wskaźnika Cena/Wartość Księgowa dla WIG20 był </w:t>
      </w:r>
      <w:r w:rsidRPr="001F5CC4">
        <w:rPr>
          <w:b/>
          <w:u w:val="single"/>
        </w:rPr>
        <w:t xml:space="preserve">w 2007 roku poziom </w:t>
      </w:r>
      <w:r w:rsidRPr="001F5CC4">
        <w:rPr>
          <w:b/>
          <w:color w:val="FF0000"/>
        </w:rPr>
        <w:t>3,80</w:t>
      </w:r>
      <w:r w:rsidRPr="001F5CC4">
        <w:rPr>
          <w:b/>
          <w:u w:val="single"/>
        </w:rPr>
        <w:t xml:space="preserve">, a w 2008 roku poziom </w:t>
      </w:r>
      <w:r w:rsidRPr="001F5CC4">
        <w:rPr>
          <w:b/>
          <w:color w:val="FF0000"/>
        </w:rPr>
        <w:t>2,80.</w:t>
      </w:r>
      <w:r>
        <w:t xml:space="preserve"> </w:t>
      </w:r>
    </w:p>
    <w:p w:rsidR="00B7182E" w:rsidRDefault="00B7182E" w:rsidP="00B7182E">
      <w:pPr>
        <w:pStyle w:val="Bezodstpw"/>
        <w:jc w:val="both"/>
      </w:pPr>
    </w:p>
    <w:p w:rsidR="00B7182E" w:rsidRDefault="00B7182E" w:rsidP="00B7182E">
      <w:pPr>
        <w:pStyle w:val="Bezodstpw"/>
        <w:jc w:val="both"/>
      </w:pPr>
      <w:r>
        <w:t xml:space="preserve">Można więc powiedzieć, że z fundamentalnego punktu widzenie akcje spółek z indeksu WIG20 mogą być (na podstawie choćby wniosków z powyższego wykresu) uznane za ,,niedowartościowane”. </w:t>
      </w:r>
    </w:p>
    <w:p w:rsidR="00B7182E" w:rsidRDefault="00B7182E" w:rsidP="00B7182E">
      <w:pPr>
        <w:pStyle w:val="Bezodstpw"/>
        <w:jc w:val="both"/>
      </w:pPr>
    </w:p>
    <w:p w:rsidR="00B7182E" w:rsidRDefault="00B7182E" w:rsidP="00B7182E">
      <w:pPr>
        <w:pStyle w:val="Bezodstpw"/>
        <w:jc w:val="both"/>
        <w:rPr>
          <w:b/>
          <w:u w:val="single"/>
        </w:rPr>
      </w:pPr>
      <w:r w:rsidRPr="001F5CC4">
        <w:rPr>
          <w:b/>
          <w:u w:val="single"/>
        </w:rPr>
        <w:t>Powyższa tabela</w:t>
      </w:r>
      <w:r w:rsidRPr="001F5CC4">
        <w:rPr>
          <w:b/>
        </w:rPr>
        <w:t xml:space="preserve"> </w:t>
      </w:r>
      <w:r>
        <w:t xml:space="preserve">skłania do jeszcze jednej refleksji. </w:t>
      </w:r>
      <w:r w:rsidRPr="001F5CC4">
        <w:rPr>
          <w:b/>
          <w:u w:val="single"/>
        </w:rPr>
        <w:t>Pokazuje</w:t>
      </w:r>
      <w:r>
        <w:t xml:space="preserve"> ona </w:t>
      </w:r>
      <w:r w:rsidRPr="001F5CC4">
        <w:rPr>
          <w:b/>
          <w:u w:val="single"/>
        </w:rPr>
        <w:t xml:space="preserve">w jaki sposób można dokonywać analizy wskaźników fundamentalnych za pomocą analizy technicznej. </w:t>
      </w:r>
    </w:p>
    <w:p w:rsidR="00B7182E" w:rsidRDefault="00B7182E" w:rsidP="00B7182E">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B7182E" w:rsidRDefault="00B7182E" w:rsidP="00B7182E">
      <w:pPr>
        <w:pStyle w:val="Bezodstpw"/>
        <w:jc w:val="both"/>
      </w:pPr>
    </w:p>
    <w:p w:rsidR="00B7182E" w:rsidRDefault="00B7182E" w:rsidP="00B7182E">
      <w:pPr>
        <w:pStyle w:val="Bezodstpw"/>
        <w:jc w:val="both"/>
      </w:pPr>
      <w:r>
        <w:t xml:space="preserve">W pierwszym numerze ,,Raportu Tygodniowego” z 8 września 2014 roku pojawiły się wykresy akcji czterech spółek. Były to wykresy akcji następujących spółek: </w:t>
      </w:r>
    </w:p>
    <w:p w:rsidR="00B7182E" w:rsidRDefault="00B7182E" w:rsidP="00B7182E">
      <w:pPr>
        <w:pStyle w:val="Bezodstpw"/>
        <w:jc w:val="both"/>
      </w:pPr>
    </w:p>
    <w:p w:rsidR="00B7182E" w:rsidRDefault="00B7182E" w:rsidP="00B7182E">
      <w:pPr>
        <w:pStyle w:val="Bezodstpw"/>
        <w:numPr>
          <w:ilvl w:val="0"/>
          <w:numId w:val="1"/>
        </w:numPr>
        <w:jc w:val="both"/>
      </w:pPr>
      <w:proofErr w:type="spellStart"/>
      <w:r>
        <w:t>Immobile</w:t>
      </w:r>
      <w:proofErr w:type="spellEnd"/>
    </w:p>
    <w:p w:rsidR="00B7182E" w:rsidRDefault="00B7182E" w:rsidP="00B7182E">
      <w:pPr>
        <w:pStyle w:val="Bezodstpw"/>
        <w:numPr>
          <w:ilvl w:val="0"/>
          <w:numId w:val="1"/>
        </w:numPr>
        <w:jc w:val="both"/>
      </w:pPr>
      <w:r>
        <w:t>Lena</w:t>
      </w:r>
    </w:p>
    <w:p w:rsidR="00B7182E" w:rsidRDefault="00B7182E" w:rsidP="00B7182E">
      <w:pPr>
        <w:pStyle w:val="Bezodstpw"/>
        <w:numPr>
          <w:ilvl w:val="0"/>
          <w:numId w:val="1"/>
        </w:numPr>
        <w:jc w:val="both"/>
      </w:pPr>
      <w:proofErr w:type="spellStart"/>
      <w:r>
        <w:t>Netmedia</w:t>
      </w:r>
      <w:proofErr w:type="spellEnd"/>
      <w:r>
        <w:t xml:space="preserve"> </w:t>
      </w:r>
    </w:p>
    <w:p w:rsidR="00B7182E" w:rsidRDefault="00B7182E" w:rsidP="00B7182E">
      <w:pPr>
        <w:pStyle w:val="Bezodstpw"/>
        <w:numPr>
          <w:ilvl w:val="0"/>
          <w:numId w:val="1"/>
        </w:numPr>
        <w:jc w:val="both"/>
      </w:pPr>
      <w:r>
        <w:t>Rafako</w:t>
      </w:r>
    </w:p>
    <w:p w:rsidR="00B7182E" w:rsidRDefault="00B7182E" w:rsidP="00B7182E">
      <w:pPr>
        <w:pStyle w:val="Bezodstpw"/>
        <w:jc w:val="both"/>
      </w:pPr>
    </w:p>
    <w:p w:rsidR="00B7182E" w:rsidRPr="00DF5937" w:rsidRDefault="00B7182E" w:rsidP="00B7182E">
      <w:pPr>
        <w:pStyle w:val="Bezodstpw"/>
        <w:jc w:val="both"/>
        <w:rPr>
          <w:b/>
          <w:color w:val="FF0000"/>
        </w:rPr>
      </w:pPr>
      <w:r>
        <w:t xml:space="preserve">Kryterium pojawienia się wykresu akcji danej spółki w tej rubryce jest </w:t>
      </w:r>
      <w:r w:rsidRPr="0053119C">
        <w:rPr>
          <w:b/>
        </w:rPr>
        <w:t>wybicie z formacji podwójnego dna</w:t>
      </w:r>
      <w:r>
        <w:t xml:space="preserve">. </w:t>
      </w:r>
      <w:r w:rsidRPr="00DF5937">
        <w:rPr>
          <w:b/>
          <w:color w:val="FF66FF"/>
        </w:rPr>
        <w:t xml:space="preserve">Na str. </w:t>
      </w:r>
      <w:r w:rsidR="005A3E54">
        <w:rPr>
          <w:b/>
          <w:color w:val="FF66FF"/>
        </w:rPr>
        <w:t>5</w:t>
      </w:r>
      <w:r w:rsidRPr="00DF5937">
        <w:rPr>
          <w:b/>
          <w:color w:val="FF66FF"/>
        </w:rPr>
        <w:t>-</w:t>
      </w:r>
      <w:r w:rsidR="005A3E54">
        <w:rPr>
          <w:b/>
          <w:color w:val="FF66FF"/>
        </w:rPr>
        <w:t>9</w:t>
      </w:r>
      <w:r w:rsidRPr="00DF5937">
        <w:rPr>
          <w:b/>
          <w:color w:val="FF66FF"/>
        </w:rPr>
        <w:t xml:space="preserve"> przedstawiam listę 2</w:t>
      </w:r>
      <w:r>
        <w:rPr>
          <w:b/>
          <w:color w:val="FF66FF"/>
        </w:rPr>
        <w:t>6</w:t>
      </w:r>
      <w:r w:rsidRPr="00DF5937">
        <w:rPr>
          <w:b/>
          <w:color w:val="FF66FF"/>
        </w:rPr>
        <w:t xml:space="preserve"> spółek wpisanych do rubryki ,,Wykres do przemyślenia”.</w:t>
      </w:r>
      <w:r>
        <w:t xml:space="preserve"> </w:t>
      </w:r>
      <w:r w:rsidRPr="00DF5937">
        <w:rPr>
          <w:b/>
          <w:color w:val="FF66FF"/>
        </w:rPr>
        <w:t>Osoby znającą tą listę mogą listę tą pomi</w:t>
      </w:r>
      <w:r w:rsidR="005A3E54">
        <w:rPr>
          <w:b/>
          <w:color w:val="FF66FF"/>
        </w:rPr>
        <w:t>nąć i od razu przejść na stronę 9.</w:t>
      </w:r>
    </w:p>
    <w:p w:rsidR="00B7182E" w:rsidRDefault="00B7182E" w:rsidP="00B7182E">
      <w:pPr>
        <w:pStyle w:val="Bezodstpw"/>
        <w:jc w:val="both"/>
      </w:pPr>
    </w:p>
    <w:p w:rsidR="00B7182E" w:rsidRDefault="00B7182E" w:rsidP="00B7182E">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05.09.2014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Immobile</w:t>
            </w:r>
            <w:proofErr w:type="spellEnd"/>
          </w:p>
        </w:tc>
        <w:tc>
          <w:tcPr>
            <w:tcW w:w="2302" w:type="dxa"/>
          </w:tcPr>
          <w:p w:rsidR="00B7182E" w:rsidRDefault="00B7182E" w:rsidP="0073675B">
            <w:pPr>
              <w:pStyle w:val="Bezodstpw"/>
              <w:jc w:val="center"/>
            </w:pPr>
            <w:r>
              <w:t>2,04 zł.</w:t>
            </w:r>
          </w:p>
        </w:tc>
        <w:tc>
          <w:tcPr>
            <w:tcW w:w="2303" w:type="dxa"/>
          </w:tcPr>
          <w:p w:rsidR="00B7182E" w:rsidRDefault="00B7182E" w:rsidP="0073675B">
            <w:pPr>
              <w:pStyle w:val="Bezodstpw"/>
              <w:jc w:val="center"/>
            </w:pPr>
            <w:r>
              <w:t>2,17 zł.</w:t>
            </w:r>
          </w:p>
        </w:tc>
        <w:tc>
          <w:tcPr>
            <w:tcW w:w="1134" w:type="dxa"/>
          </w:tcPr>
          <w:p w:rsidR="00B7182E" w:rsidRDefault="00B7182E" w:rsidP="0073675B">
            <w:pPr>
              <w:pStyle w:val="Bezodstpw"/>
              <w:jc w:val="center"/>
            </w:pPr>
            <w:r>
              <w:t xml:space="preserve">   +6,4 %</w:t>
            </w:r>
          </w:p>
        </w:tc>
      </w:tr>
      <w:tr w:rsidR="00B7182E" w:rsidTr="0073675B">
        <w:tc>
          <w:tcPr>
            <w:tcW w:w="3402" w:type="dxa"/>
          </w:tcPr>
          <w:p w:rsidR="00B7182E" w:rsidRDefault="00B7182E" w:rsidP="0073675B">
            <w:pPr>
              <w:pStyle w:val="Bezodstpw"/>
              <w:jc w:val="center"/>
            </w:pPr>
            <w:r>
              <w:t>Akcja spółki Lena</w:t>
            </w:r>
          </w:p>
        </w:tc>
        <w:tc>
          <w:tcPr>
            <w:tcW w:w="2302" w:type="dxa"/>
          </w:tcPr>
          <w:p w:rsidR="00B7182E" w:rsidRDefault="00B7182E" w:rsidP="0073675B">
            <w:pPr>
              <w:pStyle w:val="Bezodstpw"/>
              <w:jc w:val="center"/>
            </w:pPr>
            <w:r>
              <w:t xml:space="preserve">3,99 zł. </w:t>
            </w:r>
          </w:p>
        </w:tc>
        <w:tc>
          <w:tcPr>
            <w:tcW w:w="2303" w:type="dxa"/>
          </w:tcPr>
          <w:p w:rsidR="00B7182E" w:rsidRDefault="00B7182E" w:rsidP="0073675B">
            <w:pPr>
              <w:pStyle w:val="Bezodstpw"/>
              <w:jc w:val="center"/>
            </w:pPr>
            <w:r>
              <w:t>4,74 zł.</w:t>
            </w:r>
          </w:p>
        </w:tc>
        <w:tc>
          <w:tcPr>
            <w:tcW w:w="1134" w:type="dxa"/>
          </w:tcPr>
          <w:p w:rsidR="00B7182E" w:rsidRDefault="00B7182E" w:rsidP="0073675B">
            <w:pPr>
              <w:pStyle w:val="Bezodstpw"/>
              <w:jc w:val="center"/>
            </w:pPr>
            <w:r>
              <w:t xml:space="preserve">   +18,8 %</w:t>
            </w:r>
          </w:p>
        </w:tc>
      </w:tr>
      <w:tr w:rsidR="00B7182E" w:rsidTr="0073675B">
        <w:tc>
          <w:tcPr>
            <w:tcW w:w="3402" w:type="dxa"/>
          </w:tcPr>
          <w:p w:rsidR="00B7182E" w:rsidRDefault="00B7182E" w:rsidP="0073675B">
            <w:pPr>
              <w:pStyle w:val="Bezodstpw"/>
              <w:jc w:val="center"/>
            </w:pPr>
            <w:r>
              <w:t xml:space="preserve">Akcja spółki  </w:t>
            </w:r>
            <w:proofErr w:type="spellStart"/>
            <w:r>
              <w:t>Netmedia</w:t>
            </w:r>
            <w:proofErr w:type="spellEnd"/>
          </w:p>
        </w:tc>
        <w:tc>
          <w:tcPr>
            <w:tcW w:w="2302" w:type="dxa"/>
          </w:tcPr>
          <w:p w:rsidR="00B7182E" w:rsidRDefault="00B7182E" w:rsidP="0073675B">
            <w:pPr>
              <w:pStyle w:val="Bezodstpw"/>
              <w:jc w:val="center"/>
            </w:pPr>
            <w:r>
              <w:t xml:space="preserve">3,63 zł. </w:t>
            </w:r>
          </w:p>
        </w:tc>
        <w:tc>
          <w:tcPr>
            <w:tcW w:w="2303" w:type="dxa"/>
          </w:tcPr>
          <w:p w:rsidR="00B7182E" w:rsidRDefault="00B7182E" w:rsidP="0073675B">
            <w:pPr>
              <w:pStyle w:val="Bezodstpw"/>
              <w:jc w:val="center"/>
            </w:pPr>
            <w:r>
              <w:t>6,41zł.</w:t>
            </w:r>
          </w:p>
        </w:tc>
        <w:tc>
          <w:tcPr>
            <w:tcW w:w="1134" w:type="dxa"/>
          </w:tcPr>
          <w:p w:rsidR="00B7182E" w:rsidRDefault="00B7182E" w:rsidP="0073675B">
            <w:pPr>
              <w:pStyle w:val="Bezodstpw"/>
              <w:jc w:val="center"/>
            </w:pPr>
            <w:r>
              <w:t xml:space="preserve">   +76,6 %</w:t>
            </w:r>
          </w:p>
        </w:tc>
      </w:tr>
      <w:tr w:rsidR="00B7182E" w:rsidTr="0073675B">
        <w:tc>
          <w:tcPr>
            <w:tcW w:w="3402" w:type="dxa"/>
          </w:tcPr>
          <w:p w:rsidR="00B7182E" w:rsidRDefault="00B7182E" w:rsidP="0073675B">
            <w:pPr>
              <w:pStyle w:val="Bezodstpw"/>
              <w:jc w:val="center"/>
            </w:pPr>
            <w:r>
              <w:t>Akcja spółki Rafako</w:t>
            </w:r>
          </w:p>
        </w:tc>
        <w:tc>
          <w:tcPr>
            <w:tcW w:w="2302" w:type="dxa"/>
            <w:tcBorders>
              <w:bottom w:val="single" w:sz="4" w:space="0" w:color="auto"/>
            </w:tcBorders>
          </w:tcPr>
          <w:p w:rsidR="00B7182E" w:rsidRDefault="00B7182E" w:rsidP="0073675B">
            <w:pPr>
              <w:pStyle w:val="Bezodstpw"/>
              <w:jc w:val="center"/>
            </w:pPr>
            <w:r>
              <w:t xml:space="preserve">4,25 zł. </w:t>
            </w:r>
          </w:p>
        </w:tc>
        <w:tc>
          <w:tcPr>
            <w:tcW w:w="2303" w:type="dxa"/>
            <w:tcBorders>
              <w:bottom w:val="single" w:sz="4" w:space="0" w:color="auto"/>
            </w:tcBorders>
          </w:tcPr>
          <w:p w:rsidR="00B7182E" w:rsidRDefault="00B7182E" w:rsidP="0073675B">
            <w:pPr>
              <w:pStyle w:val="Bezodstpw"/>
              <w:jc w:val="center"/>
            </w:pPr>
            <w:r>
              <w:t>7,47 zł.</w:t>
            </w:r>
          </w:p>
        </w:tc>
        <w:tc>
          <w:tcPr>
            <w:tcW w:w="1134" w:type="dxa"/>
          </w:tcPr>
          <w:p w:rsidR="00B7182E" w:rsidRDefault="00B7182E" w:rsidP="0073675B">
            <w:pPr>
              <w:pStyle w:val="Bezodstpw"/>
              <w:jc w:val="center"/>
            </w:pPr>
            <w:r>
              <w:t xml:space="preserve">   +75,8 %</w:t>
            </w:r>
          </w:p>
        </w:tc>
      </w:tr>
      <w:tr w:rsidR="00B7182E"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+44,4 %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2 541,42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0,2 %</w:t>
            </w:r>
          </w:p>
        </w:tc>
      </w:tr>
    </w:tbl>
    <w:p w:rsidR="00B7182E" w:rsidRDefault="00B7182E" w:rsidP="00B7182E">
      <w:pPr>
        <w:pStyle w:val="Bezodstpw"/>
        <w:jc w:val="both"/>
      </w:pPr>
      <w:r>
        <w:t xml:space="preserve">Tabela: Procentowa zmiana ceny akcji spółki, której akcje zostały wymienione w drugim numerze ,,Raportu Tygodniowego” z 15 września 2014 roku w rubryce ,,Wykres do przemyślenia” w okresie od 12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12.09.2014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Boryszew</w:t>
            </w:r>
          </w:p>
        </w:tc>
        <w:tc>
          <w:tcPr>
            <w:tcW w:w="2302" w:type="dxa"/>
          </w:tcPr>
          <w:p w:rsidR="00B7182E" w:rsidRDefault="00B7182E" w:rsidP="0073675B">
            <w:pPr>
              <w:pStyle w:val="Bezodstpw"/>
              <w:jc w:val="center"/>
            </w:pPr>
            <w:r>
              <w:t>6,50 zł.</w:t>
            </w:r>
          </w:p>
        </w:tc>
        <w:tc>
          <w:tcPr>
            <w:tcW w:w="2303" w:type="dxa"/>
          </w:tcPr>
          <w:p w:rsidR="00B7182E" w:rsidRDefault="00B7182E" w:rsidP="0073675B">
            <w:pPr>
              <w:pStyle w:val="Bezodstpw"/>
              <w:jc w:val="center"/>
            </w:pPr>
            <w:r>
              <w:t xml:space="preserve">6,36 zł. </w:t>
            </w:r>
          </w:p>
        </w:tc>
        <w:tc>
          <w:tcPr>
            <w:tcW w:w="1134" w:type="dxa"/>
          </w:tcPr>
          <w:p w:rsidR="00B7182E" w:rsidRDefault="00B7182E" w:rsidP="0073675B">
            <w:pPr>
              <w:pStyle w:val="Bezodstpw"/>
              <w:jc w:val="center"/>
            </w:pPr>
            <w:r>
              <w:t xml:space="preserve">  -2,2 %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-2,2 %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2 497,38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+2,0 %</w:t>
            </w:r>
          </w:p>
        </w:tc>
      </w:tr>
    </w:tbl>
    <w:p w:rsidR="00B7182E" w:rsidRDefault="00B7182E" w:rsidP="00B7182E">
      <w:pPr>
        <w:pStyle w:val="Bezodstpw"/>
        <w:jc w:val="both"/>
      </w:pPr>
      <w:r>
        <w:t xml:space="preserve">Tabela: Procentowa zmiana ceny akcji spółki, której akcje zostały umieszczone 16 września na stronie internetowej </w:t>
      </w:r>
      <w:hyperlink r:id="rId12" w:history="1">
        <w:r w:rsidRPr="003C5ED1">
          <w:rPr>
            <w:rStyle w:val="Hipercze"/>
          </w:rPr>
          <w:t>www.analizy-rynkowe.pl</w:t>
        </w:r>
      </w:hyperlink>
      <w:r>
        <w:t xml:space="preserve"> w rubryce  ,,Wykres do przemyślenia” w okresie od 15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15.09.2014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Erbud</w:t>
            </w:r>
            <w:proofErr w:type="spellEnd"/>
          </w:p>
        </w:tc>
        <w:tc>
          <w:tcPr>
            <w:tcW w:w="2302" w:type="dxa"/>
          </w:tcPr>
          <w:p w:rsidR="00B7182E" w:rsidRDefault="00B7182E" w:rsidP="0073675B">
            <w:pPr>
              <w:pStyle w:val="Bezodstpw"/>
              <w:jc w:val="center"/>
            </w:pPr>
            <w:r>
              <w:t>26,50 zł.</w:t>
            </w:r>
          </w:p>
        </w:tc>
        <w:tc>
          <w:tcPr>
            <w:tcW w:w="2303" w:type="dxa"/>
          </w:tcPr>
          <w:p w:rsidR="00B7182E" w:rsidRDefault="00B7182E" w:rsidP="0073675B">
            <w:pPr>
              <w:pStyle w:val="Bezodstpw"/>
              <w:jc w:val="center"/>
            </w:pPr>
            <w:r>
              <w:t>32,00 zł.</w:t>
            </w:r>
          </w:p>
        </w:tc>
        <w:tc>
          <w:tcPr>
            <w:tcW w:w="1134" w:type="dxa"/>
          </w:tcPr>
          <w:p w:rsidR="00B7182E" w:rsidRDefault="00B7182E" w:rsidP="0073675B">
            <w:pPr>
              <w:pStyle w:val="Bezodstpw"/>
              <w:jc w:val="center"/>
            </w:pPr>
            <w:r>
              <w:t xml:space="preserve">  20,8 %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20,8 %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2 489,77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+2,3 %</w:t>
            </w:r>
          </w:p>
        </w:tc>
      </w:tr>
    </w:tbl>
    <w:p w:rsidR="00B7182E" w:rsidRDefault="00B7182E" w:rsidP="00B7182E">
      <w:pPr>
        <w:pStyle w:val="Bezodstpw"/>
        <w:jc w:val="both"/>
      </w:pPr>
      <w:r>
        <w:t xml:space="preserve">Tabela: Procentowa zmiana ceny akcji spółki, której akcje zostały wymienione w trzecim numerze ,,Raportu Tygodniowego” z 22 września 2014 roku w rubryce ,,Wykres do przemyślenia” w okresie od 19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19.09.2014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IF Capital</w:t>
            </w:r>
          </w:p>
        </w:tc>
        <w:tc>
          <w:tcPr>
            <w:tcW w:w="2302" w:type="dxa"/>
          </w:tcPr>
          <w:p w:rsidR="00B7182E" w:rsidRDefault="00B7182E" w:rsidP="0073675B">
            <w:pPr>
              <w:pStyle w:val="Bezodstpw"/>
              <w:jc w:val="center"/>
            </w:pPr>
            <w:r>
              <w:t>1,32 zł.</w:t>
            </w:r>
          </w:p>
        </w:tc>
        <w:tc>
          <w:tcPr>
            <w:tcW w:w="2303" w:type="dxa"/>
          </w:tcPr>
          <w:p w:rsidR="00B7182E" w:rsidRDefault="00B7182E" w:rsidP="0073675B">
            <w:pPr>
              <w:pStyle w:val="Bezodstpw"/>
              <w:jc w:val="center"/>
            </w:pPr>
            <w:r>
              <w:t>1,00 zł.</w:t>
            </w:r>
          </w:p>
        </w:tc>
        <w:tc>
          <w:tcPr>
            <w:tcW w:w="1134" w:type="dxa"/>
          </w:tcPr>
          <w:p w:rsidR="00B7182E" w:rsidRDefault="00B7182E" w:rsidP="0073675B">
            <w:pPr>
              <w:pStyle w:val="Bezodstpw"/>
              <w:jc w:val="center"/>
            </w:pPr>
            <w:r>
              <w:t>-24,2 %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-24,2 %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2 497,38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+2,0 %</w:t>
            </w:r>
          </w:p>
        </w:tc>
      </w:tr>
    </w:tbl>
    <w:p w:rsidR="00B7182E" w:rsidRDefault="00B7182E" w:rsidP="00B7182E">
      <w:pPr>
        <w:pStyle w:val="Bezodstpw"/>
        <w:jc w:val="both"/>
      </w:pPr>
      <w:r>
        <w:lastRenderedPageBreak/>
        <w:t xml:space="preserve">Tabela: Procentowa zmiana ceny akcji spółki, której akcje zostały umieszczone 25 września na stronie internetowej </w:t>
      </w:r>
      <w:hyperlink r:id="rId13" w:history="1">
        <w:r w:rsidRPr="003C5ED1">
          <w:rPr>
            <w:rStyle w:val="Hipercze"/>
          </w:rPr>
          <w:t>www.analizy-rynkowe.pl</w:t>
        </w:r>
      </w:hyperlink>
      <w:r>
        <w:t xml:space="preserve"> w rubryce  ,,Wykres do przemyślenia” w okresie od 24 września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24.09.2014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Capital Partners</w:t>
            </w:r>
          </w:p>
        </w:tc>
        <w:tc>
          <w:tcPr>
            <w:tcW w:w="2302" w:type="dxa"/>
          </w:tcPr>
          <w:p w:rsidR="00B7182E" w:rsidRDefault="00B7182E" w:rsidP="0073675B">
            <w:pPr>
              <w:pStyle w:val="Bezodstpw"/>
              <w:jc w:val="center"/>
            </w:pPr>
            <w:r>
              <w:t>1,85 zł.</w:t>
            </w:r>
          </w:p>
        </w:tc>
        <w:tc>
          <w:tcPr>
            <w:tcW w:w="2303" w:type="dxa"/>
          </w:tcPr>
          <w:p w:rsidR="00B7182E" w:rsidRDefault="00B7182E" w:rsidP="0073675B">
            <w:pPr>
              <w:pStyle w:val="Bezodstpw"/>
              <w:jc w:val="center"/>
            </w:pPr>
            <w:r>
              <w:t>2,60 zł.</w:t>
            </w:r>
          </w:p>
        </w:tc>
        <w:tc>
          <w:tcPr>
            <w:tcW w:w="1134" w:type="dxa"/>
          </w:tcPr>
          <w:p w:rsidR="00B7182E" w:rsidRDefault="00B7182E" w:rsidP="0073675B">
            <w:pPr>
              <w:pStyle w:val="Bezodstpw"/>
              <w:jc w:val="center"/>
            </w:pPr>
            <w:r>
              <w:t>+40,5 %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+40,5 %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2 489,77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+2,3 %</w:t>
            </w:r>
          </w:p>
        </w:tc>
      </w:tr>
    </w:tbl>
    <w:p w:rsidR="00B7182E" w:rsidRDefault="00B7182E" w:rsidP="00B7182E">
      <w:pPr>
        <w:pStyle w:val="Bezodstpw"/>
        <w:jc w:val="both"/>
      </w:pPr>
    </w:p>
    <w:p w:rsidR="00B7182E" w:rsidRDefault="00B7182E" w:rsidP="00B7182E">
      <w:pPr>
        <w:pStyle w:val="Bezodstpw"/>
        <w:jc w:val="both"/>
      </w:pPr>
      <w:r>
        <w:t xml:space="preserve">Tabela: Procentowa zmiana cen akcji trzech spółek, których akcje zostały wymienione w czwartym numerze ,,Raportu Tygodniowego” z 29 września 2014 roku w rubryce ,,Wykres do przemyślenia” w okresie od 30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26.09.2014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Asseco</w:t>
            </w:r>
            <w:proofErr w:type="spellEnd"/>
            <w:r>
              <w:t xml:space="preserve"> Poland </w:t>
            </w:r>
          </w:p>
        </w:tc>
        <w:tc>
          <w:tcPr>
            <w:tcW w:w="2302" w:type="dxa"/>
          </w:tcPr>
          <w:p w:rsidR="00B7182E" w:rsidRDefault="00B7182E" w:rsidP="0073675B">
            <w:pPr>
              <w:pStyle w:val="Bezodstpw"/>
              <w:jc w:val="center"/>
            </w:pPr>
            <w:r>
              <w:t xml:space="preserve">45,64 zł. </w:t>
            </w:r>
          </w:p>
        </w:tc>
        <w:tc>
          <w:tcPr>
            <w:tcW w:w="2303" w:type="dxa"/>
          </w:tcPr>
          <w:p w:rsidR="00B7182E" w:rsidRDefault="00B7182E" w:rsidP="0073675B">
            <w:pPr>
              <w:pStyle w:val="Bezodstpw"/>
              <w:jc w:val="center"/>
            </w:pPr>
            <w:r>
              <w:t>59,50 zł.</w:t>
            </w:r>
          </w:p>
        </w:tc>
        <w:tc>
          <w:tcPr>
            <w:tcW w:w="1134" w:type="dxa"/>
          </w:tcPr>
          <w:p w:rsidR="00B7182E" w:rsidRDefault="00B7182E" w:rsidP="0073675B">
            <w:pPr>
              <w:pStyle w:val="Bezodstpw"/>
              <w:jc w:val="center"/>
            </w:pPr>
            <w:r>
              <w:t xml:space="preserve"> +30,4 %</w:t>
            </w:r>
          </w:p>
        </w:tc>
      </w:tr>
      <w:tr w:rsidR="00B7182E" w:rsidTr="0073675B">
        <w:tc>
          <w:tcPr>
            <w:tcW w:w="3402" w:type="dxa"/>
          </w:tcPr>
          <w:p w:rsidR="00B7182E" w:rsidRDefault="00B7182E" w:rsidP="0073675B">
            <w:pPr>
              <w:pStyle w:val="Bezodstpw"/>
              <w:jc w:val="center"/>
            </w:pPr>
            <w:r>
              <w:t>Akcja spółki  CD Projekt</w:t>
            </w:r>
          </w:p>
        </w:tc>
        <w:tc>
          <w:tcPr>
            <w:tcW w:w="2302" w:type="dxa"/>
          </w:tcPr>
          <w:p w:rsidR="00B7182E" w:rsidRDefault="00B7182E" w:rsidP="0073675B">
            <w:pPr>
              <w:pStyle w:val="Bezodstpw"/>
              <w:jc w:val="center"/>
            </w:pPr>
            <w:r>
              <w:t xml:space="preserve">16,59 zł. </w:t>
            </w:r>
          </w:p>
        </w:tc>
        <w:tc>
          <w:tcPr>
            <w:tcW w:w="2303" w:type="dxa"/>
          </w:tcPr>
          <w:p w:rsidR="00B7182E" w:rsidRDefault="00B7182E" w:rsidP="0073675B">
            <w:pPr>
              <w:pStyle w:val="Bezodstpw"/>
              <w:jc w:val="center"/>
            </w:pPr>
            <w:r>
              <w:t>20,74 zł.</w:t>
            </w:r>
          </w:p>
        </w:tc>
        <w:tc>
          <w:tcPr>
            <w:tcW w:w="1134" w:type="dxa"/>
          </w:tcPr>
          <w:p w:rsidR="00B7182E" w:rsidRDefault="00B7182E" w:rsidP="0073675B">
            <w:pPr>
              <w:pStyle w:val="Bezodstpw"/>
              <w:jc w:val="center"/>
            </w:pPr>
            <w:r>
              <w:t xml:space="preserve">  +25,0 %</w:t>
            </w:r>
          </w:p>
        </w:tc>
      </w:tr>
      <w:tr w:rsidR="00B7182E" w:rsidTr="0073675B">
        <w:tc>
          <w:tcPr>
            <w:tcW w:w="3402" w:type="dxa"/>
          </w:tcPr>
          <w:p w:rsidR="00B7182E" w:rsidRDefault="00B7182E" w:rsidP="0073675B">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B7182E" w:rsidRDefault="00B7182E" w:rsidP="0073675B">
            <w:pPr>
              <w:pStyle w:val="Bezodstpw"/>
              <w:jc w:val="center"/>
            </w:pPr>
            <w:r>
              <w:t>17,60 zł.</w:t>
            </w:r>
          </w:p>
        </w:tc>
        <w:tc>
          <w:tcPr>
            <w:tcW w:w="2303" w:type="dxa"/>
            <w:tcBorders>
              <w:bottom w:val="single" w:sz="4" w:space="0" w:color="auto"/>
            </w:tcBorders>
          </w:tcPr>
          <w:p w:rsidR="00B7182E" w:rsidRDefault="00B7182E" w:rsidP="0073675B">
            <w:pPr>
              <w:pStyle w:val="Bezodstpw"/>
              <w:jc w:val="center"/>
            </w:pPr>
            <w:r>
              <w:t>12,80 zł.</w:t>
            </w:r>
          </w:p>
        </w:tc>
        <w:tc>
          <w:tcPr>
            <w:tcW w:w="1134" w:type="dxa"/>
          </w:tcPr>
          <w:p w:rsidR="00B7182E" w:rsidRDefault="00B7182E" w:rsidP="0073675B">
            <w:pPr>
              <w:pStyle w:val="Bezodstpw"/>
              <w:jc w:val="center"/>
            </w:pPr>
            <w:r>
              <w:t>- 27,3 %</w:t>
            </w:r>
          </w:p>
        </w:tc>
      </w:tr>
      <w:tr w:rsidR="00B7182E"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+9,4 %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2484,02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+ 2,5 %</w:t>
            </w:r>
          </w:p>
        </w:tc>
      </w:tr>
    </w:tbl>
    <w:p w:rsidR="00B7182E" w:rsidRDefault="00B7182E" w:rsidP="00B7182E">
      <w:pPr>
        <w:pStyle w:val="Bezodstpw"/>
        <w:jc w:val="both"/>
      </w:pPr>
    </w:p>
    <w:p w:rsidR="00B7182E" w:rsidRDefault="00B7182E" w:rsidP="00B7182E">
      <w:pPr>
        <w:pStyle w:val="Bezodstpw"/>
        <w:jc w:val="both"/>
      </w:pPr>
      <w:r>
        <w:t xml:space="preserve">Tabela: Procentowa zmiana ceny akcji spółki, której akcje zostały wymienione w piątym numerze ,,Raportu Tygodniowego” z 6 października 2014 roku w rubryce ,,Wykres do przemyślenia” w okresie od 3 października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03.10.2014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Stalprodukt</w:t>
            </w:r>
          </w:p>
        </w:tc>
        <w:tc>
          <w:tcPr>
            <w:tcW w:w="2302" w:type="dxa"/>
          </w:tcPr>
          <w:p w:rsidR="00B7182E" w:rsidRDefault="00B7182E" w:rsidP="0073675B">
            <w:pPr>
              <w:pStyle w:val="Bezodstpw"/>
              <w:jc w:val="center"/>
            </w:pPr>
            <w:r>
              <w:t>244,10 zł.</w:t>
            </w:r>
          </w:p>
        </w:tc>
        <w:tc>
          <w:tcPr>
            <w:tcW w:w="2303" w:type="dxa"/>
          </w:tcPr>
          <w:p w:rsidR="00B7182E" w:rsidRDefault="00B7182E" w:rsidP="0073675B">
            <w:pPr>
              <w:pStyle w:val="Bezodstpw"/>
              <w:jc w:val="center"/>
            </w:pPr>
            <w:r>
              <w:t>455,00 zł.</w:t>
            </w:r>
          </w:p>
        </w:tc>
        <w:tc>
          <w:tcPr>
            <w:tcW w:w="1134" w:type="dxa"/>
          </w:tcPr>
          <w:p w:rsidR="00B7182E" w:rsidRDefault="00B7182E" w:rsidP="0073675B">
            <w:pPr>
              <w:pStyle w:val="Bezodstpw"/>
              <w:jc w:val="center"/>
            </w:pPr>
            <w:r>
              <w:t>+80,4 %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+80,4 %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2 444,06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+4,2 %</w:t>
            </w:r>
          </w:p>
        </w:tc>
      </w:tr>
    </w:tbl>
    <w:p w:rsidR="00B7182E" w:rsidRDefault="00B7182E" w:rsidP="00B7182E">
      <w:pPr>
        <w:pStyle w:val="Bezodstpw"/>
        <w:jc w:val="both"/>
      </w:pPr>
      <w:r>
        <w:t xml:space="preserve">Tabela: Procentowa zmiana ceny akcji spółki, której akcje zostały wymienione w szóstym numerze ,,Raportu Tygodniowego” z 20 października 2014 roku w rubryce ,,Wykres do przemyślenia” w okresie od 17 września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17.10.2014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Tauron</w:t>
            </w:r>
            <w:proofErr w:type="spellEnd"/>
            <w:r>
              <w:t xml:space="preserve"> Polska Energia</w:t>
            </w:r>
          </w:p>
        </w:tc>
        <w:tc>
          <w:tcPr>
            <w:tcW w:w="2302" w:type="dxa"/>
          </w:tcPr>
          <w:p w:rsidR="00B7182E" w:rsidRDefault="00B7182E" w:rsidP="0073675B">
            <w:pPr>
              <w:pStyle w:val="Bezodstpw"/>
              <w:jc w:val="center"/>
            </w:pPr>
            <w:r>
              <w:t>5,21 zł.</w:t>
            </w:r>
          </w:p>
        </w:tc>
        <w:tc>
          <w:tcPr>
            <w:tcW w:w="2303" w:type="dxa"/>
          </w:tcPr>
          <w:p w:rsidR="00B7182E" w:rsidRDefault="00B7182E" w:rsidP="0073675B">
            <w:pPr>
              <w:pStyle w:val="Bezodstpw"/>
              <w:jc w:val="center"/>
            </w:pPr>
            <w:r>
              <w:t xml:space="preserve">4,85 zł. </w:t>
            </w:r>
          </w:p>
        </w:tc>
        <w:tc>
          <w:tcPr>
            <w:tcW w:w="1134" w:type="dxa"/>
          </w:tcPr>
          <w:p w:rsidR="00B7182E" w:rsidRDefault="00B7182E" w:rsidP="0073675B">
            <w:pPr>
              <w:pStyle w:val="Bezodstpw"/>
              <w:jc w:val="center"/>
            </w:pPr>
            <w:r>
              <w:t xml:space="preserve">  -6,9 %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-6,9 %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2 401,13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+6,1 %</w:t>
            </w:r>
          </w:p>
        </w:tc>
      </w:tr>
    </w:tbl>
    <w:p w:rsidR="00B7182E" w:rsidRDefault="00B7182E" w:rsidP="00B7182E">
      <w:pPr>
        <w:pStyle w:val="Bezodstpw"/>
        <w:jc w:val="both"/>
      </w:pPr>
      <w:r>
        <w:t xml:space="preserve">Tabela: Procentowa zmiana ceny akcji spółki, której akcje zostały umieszczone 22 października na stronie internetowej </w:t>
      </w:r>
      <w:hyperlink r:id="rId14" w:history="1">
        <w:r w:rsidRPr="003C5ED1">
          <w:rPr>
            <w:rStyle w:val="Hipercze"/>
          </w:rPr>
          <w:t>www.analizy-rynkowe.pl</w:t>
        </w:r>
      </w:hyperlink>
      <w:r>
        <w:t xml:space="preserve"> w rubryce  ,,Wykres do przemyślenia” w okresie od 21 października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21.10.2014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B7182E" w:rsidRDefault="00B7182E" w:rsidP="0073675B">
            <w:pPr>
              <w:pStyle w:val="Bezodstpw"/>
              <w:jc w:val="center"/>
            </w:pPr>
            <w:r>
              <w:t>8,70 zł.</w:t>
            </w:r>
          </w:p>
        </w:tc>
        <w:tc>
          <w:tcPr>
            <w:tcW w:w="2303" w:type="dxa"/>
            <w:tcBorders>
              <w:bottom w:val="single" w:sz="4" w:space="0" w:color="auto"/>
            </w:tcBorders>
          </w:tcPr>
          <w:p w:rsidR="00B7182E" w:rsidRDefault="00B7182E" w:rsidP="0073675B">
            <w:pPr>
              <w:pStyle w:val="Bezodstpw"/>
              <w:jc w:val="center"/>
            </w:pPr>
            <w:r>
              <w:t>11,72 zł.</w:t>
            </w:r>
          </w:p>
        </w:tc>
        <w:tc>
          <w:tcPr>
            <w:tcW w:w="1134" w:type="dxa"/>
          </w:tcPr>
          <w:p w:rsidR="00B7182E" w:rsidRDefault="00B7182E" w:rsidP="0073675B">
            <w:pPr>
              <w:pStyle w:val="Bezodstpw"/>
              <w:jc w:val="center"/>
            </w:pPr>
            <w:r>
              <w:t>+ 34,7 %</w:t>
            </w:r>
          </w:p>
        </w:tc>
      </w:tr>
      <w:tr w:rsidR="00B7182E" w:rsidRPr="008F668F" w:rsidTr="0073675B">
        <w:tc>
          <w:tcPr>
            <w:tcW w:w="3402" w:type="dxa"/>
          </w:tcPr>
          <w:p w:rsidR="00B7182E" w:rsidRPr="008F668F" w:rsidRDefault="00B7182E" w:rsidP="0073675B">
            <w:pPr>
              <w:pStyle w:val="Bezodstpw"/>
              <w:jc w:val="center"/>
              <w:rPr>
                <w:b/>
                <w:color w:val="FF0000"/>
              </w:rPr>
            </w:pPr>
            <w:r>
              <w:t>Akcja spółki Relpol</w:t>
            </w:r>
          </w:p>
        </w:tc>
        <w:tc>
          <w:tcPr>
            <w:tcW w:w="2302" w:type="dxa"/>
            <w:tcBorders>
              <w:right w:val="single" w:sz="4" w:space="0" w:color="auto"/>
            </w:tcBorders>
          </w:tcPr>
          <w:p w:rsidR="00B7182E" w:rsidRPr="00A556F3" w:rsidRDefault="00B7182E" w:rsidP="0073675B">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B7182E" w:rsidRPr="00A556F3" w:rsidRDefault="00B7182E" w:rsidP="0073675B">
            <w:pPr>
              <w:pStyle w:val="Bezodstpw"/>
              <w:jc w:val="center"/>
              <w:rPr>
                <w:color w:val="000000" w:themeColor="text1"/>
              </w:rPr>
            </w:pPr>
            <w:r>
              <w:rPr>
                <w:color w:val="000000" w:themeColor="text1"/>
              </w:rPr>
              <w:t xml:space="preserve">6,90 zł. </w:t>
            </w:r>
          </w:p>
        </w:tc>
        <w:tc>
          <w:tcPr>
            <w:tcW w:w="1134" w:type="dxa"/>
          </w:tcPr>
          <w:p w:rsidR="00B7182E" w:rsidRPr="00A556F3" w:rsidRDefault="00B7182E" w:rsidP="0073675B">
            <w:pPr>
              <w:pStyle w:val="Bezodstpw"/>
              <w:jc w:val="center"/>
              <w:rPr>
                <w:color w:val="000000" w:themeColor="text1"/>
              </w:rPr>
            </w:pPr>
            <w:r>
              <w:rPr>
                <w:color w:val="000000" w:themeColor="text1"/>
              </w:rPr>
              <w:t xml:space="preserve">    -0,4  %</w:t>
            </w:r>
          </w:p>
        </w:tc>
      </w:tr>
      <w:tr w:rsidR="00B7182E" w:rsidTr="0073675B">
        <w:tc>
          <w:tcPr>
            <w:tcW w:w="3402" w:type="dxa"/>
          </w:tcPr>
          <w:p w:rsidR="00B7182E" w:rsidRPr="00A556F3" w:rsidRDefault="00B7182E" w:rsidP="0073675B">
            <w:pPr>
              <w:pStyle w:val="Bezodstpw"/>
              <w:jc w:val="center"/>
              <w:rPr>
                <w:b/>
                <w:color w:val="FF0000"/>
              </w:rPr>
            </w:pPr>
            <w:r w:rsidRPr="00A556F3">
              <w:rPr>
                <w:b/>
                <w:color w:val="FF0000"/>
              </w:rPr>
              <w:t>Średnio</w:t>
            </w:r>
          </w:p>
        </w:tc>
        <w:tc>
          <w:tcPr>
            <w:tcW w:w="2302" w:type="dxa"/>
          </w:tcPr>
          <w:p w:rsidR="00B7182E" w:rsidRDefault="00B7182E" w:rsidP="0073675B">
            <w:pPr>
              <w:pStyle w:val="Bezodstpw"/>
              <w:jc w:val="center"/>
            </w:pPr>
          </w:p>
        </w:tc>
        <w:tc>
          <w:tcPr>
            <w:tcW w:w="2303" w:type="dxa"/>
          </w:tcPr>
          <w:p w:rsidR="00B7182E" w:rsidRDefault="00B7182E" w:rsidP="0073675B">
            <w:pPr>
              <w:pStyle w:val="Bezodstpw"/>
              <w:jc w:val="center"/>
            </w:pPr>
          </w:p>
        </w:tc>
        <w:tc>
          <w:tcPr>
            <w:tcW w:w="1134" w:type="dxa"/>
          </w:tcPr>
          <w:p w:rsidR="00B7182E" w:rsidRPr="00581996" w:rsidRDefault="00B7182E" w:rsidP="0073675B">
            <w:pPr>
              <w:pStyle w:val="Bezodstpw"/>
              <w:jc w:val="center"/>
              <w:rPr>
                <w:b/>
                <w:color w:val="FF0000"/>
              </w:rPr>
            </w:pPr>
            <w:r>
              <w:rPr>
                <w:b/>
                <w:color w:val="FF0000"/>
              </w:rPr>
              <w:t xml:space="preserve">   + 17</w:t>
            </w:r>
            <w:r w:rsidRPr="00581996">
              <w:rPr>
                <w:b/>
                <w:color w:val="FF0000"/>
              </w:rPr>
              <w:t>,</w:t>
            </w:r>
            <w:r>
              <w:rPr>
                <w:b/>
                <w:color w:val="FF0000"/>
              </w:rPr>
              <w:t>1 %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2 423,29,77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+5,1 % </w:t>
            </w:r>
          </w:p>
        </w:tc>
      </w:tr>
    </w:tbl>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p>
    <w:p w:rsidR="00B7182E" w:rsidRDefault="00B7182E" w:rsidP="00B7182E">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października 2014 roku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24.10.2014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Tesgas</w:t>
            </w:r>
            <w:proofErr w:type="spellEnd"/>
            <w:r>
              <w:t xml:space="preserve"> </w:t>
            </w:r>
          </w:p>
        </w:tc>
        <w:tc>
          <w:tcPr>
            <w:tcW w:w="2302" w:type="dxa"/>
          </w:tcPr>
          <w:p w:rsidR="00B7182E" w:rsidRDefault="00B7182E" w:rsidP="0073675B">
            <w:pPr>
              <w:pStyle w:val="Bezodstpw"/>
              <w:jc w:val="center"/>
            </w:pPr>
            <w:r>
              <w:t>4,32 zł.</w:t>
            </w:r>
          </w:p>
        </w:tc>
        <w:tc>
          <w:tcPr>
            <w:tcW w:w="2303" w:type="dxa"/>
          </w:tcPr>
          <w:p w:rsidR="00B7182E" w:rsidRDefault="00B7182E" w:rsidP="0073675B">
            <w:pPr>
              <w:pStyle w:val="Bezodstpw"/>
              <w:jc w:val="center"/>
            </w:pPr>
            <w:r>
              <w:t xml:space="preserve">3,80 zł. </w:t>
            </w:r>
          </w:p>
        </w:tc>
        <w:tc>
          <w:tcPr>
            <w:tcW w:w="1134" w:type="dxa"/>
          </w:tcPr>
          <w:p w:rsidR="00B7182E" w:rsidRDefault="00B7182E" w:rsidP="0073675B">
            <w:pPr>
              <w:pStyle w:val="Bezodstpw"/>
              <w:jc w:val="center"/>
            </w:pPr>
            <w:r>
              <w:t xml:space="preserve">  -12,0 %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-12,0 %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2 401,13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+5,0 %</w:t>
            </w:r>
          </w:p>
        </w:tc>
      </w:tr>
    </w:tbl>
    <w:p w:rsidR="00B7182E" w:rsidRDefault="00B7182E" w:rsidP="00B7182E">
      <w:pPr>
        <w:pStyle w:val="Bezodstpw"/>
        <w:jc w:val="both"/>
      </w:pPr>
      <w:r>
        <w:t xml:space="preserve">Tabela: Procentowa zmiana ceny akcji spółki, której akcje zostały wymienione w numerze ,,Raportu Tygodniowego” z 3 listopada 2014 roku w rubryce ,,Wykres do przemyślenia” w okresie od 31 października 2014 roku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31.10.2014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Enea</w:t>
            </w:r>
          </w:p>
        </w:tc>
        <w:tc>
          <w:tcPr>
            <w:tcW w:w="2302" w:type="dxa"/>
          </w:tcPr>
          <w:p w:rsidR="00B7182E" w:rsidRDefault="00B7182E" w:rsidP="0073675B">
            <w:pPr>
              <w:pStyle w:val="Bezodstpw"/>
              <w:jc w:val="center"/>
            </w:pPr>
            <w:r>
              <w:t>16,00 zł.</w:t>
            </w:r>
          </w:p>
        </w:tc>
        <w:tc>
          <w:tcPr>
            <w:tcW w:w="2303" w:type="dxa"/>
          </w:tcPr>
          <w:p w:rsidR="00B7182E" w:rsidRDefault="00B7182E" w:rsidP="0073675B">
            <w:pPr>
              <w:pStyle w:val="Bezodstpw"/>
              <w:jc w:val="center"/>
            </w:pPr>
            <w:r>
              <w:t xml:space="preserve">16,83 zł. </w:t>
            </w:r>
          </w:p>
        </w:tc>
        <w:tc>
          <w:tcPr>
            <w:tcW w:w="1134" w:type="dxa"/>
          </w:tcPr>
          <w:p w:rsidR="00B7182E" w:rsidRDefault="00B7182E" w:rsidP="0073675B">
            <w:pPr>
              <w:pStyle w:val="Bezodstpw"/>
              <w:jc w:val="center"/>
            </w:pPr>
            <w:r>
              <w:t xml:space="preserve">  +5,2 %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+5,2 %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2 463,68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+3,4 %</w:t>
            </w:r>
          </w:p>
        </w:tc>
      </w:tr>
    </w:tbl>
    <w:p w:rsidR="00B7182E" w:rsidRDefault="00B7182E" w:rsidP="00B7182E">
      <w:pPr>
        <w:pStyle w:val="Bezodstpw"/>
        <w:jc w:val="both"/>
      </w:pPr>
      <w:r>
        <w:t xml:space="preserve">Tabela: Procentowa zmiana ceny akcji spółki, której akcje zostały wymienione w numerze ,,Raportu Tygodniowego” z 1 grudnia 2014 roku w rubryce ,,Wykres do przemyślenia” w okresie od 28 listopada 2014 roku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28.11.2014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Procad</w:t>
            </w:r>
            <w:proofErr w:type="spellEnd"/>
          </w:p>
        </w:tc>
        <w:tc>
          <w:tcPr>
            <w:tcW w:w="2302" w:type="dxa"/>
          </w:tcPr>
          <w:p w:rsidR="00B7182E" w:rsidRDefault="00B7182E" w:rsidP="0073675B">
            <w:pPr>
              <w:pStyle w:val="Bezodstpw"/>
              <w:jc w:val="center"/>
            </w:pPr>
            <w:r>
              <w:t>1,06 zł.</w:t>
            </w:r>
          </w:p>
        </w:tc>
        <w:tc>
          <w:tcPr>
            <w:tcW w:w="2303" w:type="dxa"/>
          </w:tcPr>
          <w:p w:rsidR="00B7182E" w:rsidRDefault="00B7182E" w:rsidP="0073675B">
            <w:pPr>
              <w:pStyle w:val="Bezodstpw"/>
              <w:jc w:val="center"/>
            </w:pPr>
            <w:r>
              <w:t>1,97 zł.</w:t>
            </w:r>
          </w:p>
        </w:tc>
        <w:tc>
          <w:tcPr>
            <w:tcW w:w="1134" w:type="dxa"/>
          </w:tcPr>
          <w:p w:rsidR="00B7182E" w:rsidRDefault="00B7182E" w:rsidP="0073675B">
            <w:pPr>
              <w:pStyle w:val="Bezodstpw"/>
              <w:jc w:val="center"/>
            </w:pPr>
            <w:r>
              <w:t>+85,8 %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+85,8 %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2 416,93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+5,4 %</w:t>
            </w:r>
          </w:p>
        </w:tc>
      </w:tr>
    </w:tbl>
    <w:p w:rsidR="00B7182E" w:rsidRDefault="00B7182E" w:rsidP="00B7182E">
      <w:pPr>
        <w:pStyle w:val="Bezodstpw"/>
        <w:jc w:val="both"/>
      </w:pPr>
      <w:r>
        <w:t xml:space="preserve">Tabela: Procentowa zmiana ceny akcji spółki, której akcje zostały umieszczone 2 grudnia na stronie internetowej </w:t>
      </w:r>
      <w:hyperlink r:id="rId15" w:history="1">
        <w:r w:rsidRPr="003C5ED1">
          <w:rPr>
            <w:rStyle w:val="Hipercze"/>
          </w:rPr>
          <w:t>www.analizy-rynkowe.pl</w:t>
        </w:r>
      </w:hyperlink>
      <w:r>
        <w:t xml:space="preserve"> w rubryce  ,,Wykres do przemyślenia” w okresie od 1 grudnia 2014 roku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01.12.2014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PKO BP </w:t>
            </w:r>
          </w:p>
        </w:tc>
        <w:tc>
          <w:tcPr>
            <w:tcW w:w="2302" w:type="dxa"/>
          </w:tcPr>
          <w:p w:rsidR="00B7182E" w:rsidRDefault="00B7182E" w:rsidP="0073675B">
            <w:pPr>
              <w:pStyle w:val="Bezodstpw"/>
              <w:jc w:val="center"/>
            </w:pPr>
            <w:r>
              <w:t>37,65 zł.</w:t>
            </w:r>
          </w:p>
        </w:tc>
        <w:tc>
          <w:tcPr>
            <w:tcW w:w="2303" w:type="dxa"/>
          </w:tcPr>
          <w:p w:rsidR="00B7182E" w:rsidRDefault="00B7182E" w:rsidP="0073675B">
            <w:pPr>
              <w:pStyle w:val="Bezodstpw"/>
              <w:jc w:val="center"/>
            </w:pPr>
            <w:r>
              <w:t>37,70 zł.</w:t>
            </w:r>
          </w:p>
        </w:tc>
        <w:tc>
          <w:tcPr>
            <w:tcW w:w="1134" w:type="dxa"/>
          </w:tcPr>
          <w:p w:rsidR="00B7182E" w:rsidRDefault="00B7182E" w:rsidP="0073675B">
            <w:pPr>
              <w:pStyle w:val="Bezodstpw"/>
              <w:jc w:val="center"/>
            </w:pPr>
            <w:r>
              <w:t>+0,1 %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+0,1 %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+5,4 %</w:t>
            </w:r>
          </w:p>
        </w:tc>
      </w:tr>
    </w:tbl>
    <w:p w:rsidR="00B7182E" w:rsidRDefault="00B7182E" w:rsidP="00B7182E">
      <w:pPr>
        <w:pStyle w:val="Bezodstpw"/>
        <w:jc w:val="both"/>
      </w:pPr>
      <w:r>
        <w:t xml:space="preserve">Tabela: Procentowa zmiana ceny akcji spółki, której akcje zostały wymienione w numerze ,,Raportu Tygodniowego” z 15 grudnia 2014 roku w rubryce ,,Wykres do przemyślenia” w okresie od 12 grudnia 2014 roku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12.12.2014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Mercor</w:t>
            </w:r>
            <w:proofErr w:type="spellEnd"/>
            <w:r>
              <w:t xml:space="preserve"> </w:t>
            </w:r>
          </w:p>
        </w:tc>
        <w:tc>
          <w:tcPr>
            <w:tcW w:w="2302" w:type="dxa"/>
          </w:tcPr>
          <w:p w:rsidR="00B7182E" w:rsidRDefault="00B7182E" w:rsidP="0073675B">
            <w:pPr>
              <w:pStyle w:val="Bezodstpw"/>
              <w:jc w:val="center"/>
            </w:pPr>
            <w:r>
              <w:t>8,14 zł.</w:t>
            </w:r>
          </w:p>
        </w:tc>
        <w:tc>
          <w:tcPr>
            <w:tcW w:w="2303" w:type="dxa"/>
          </w:tcPr>
          <w:p w:rsidR="00B7182E" w:rsidRDefault="00B7182E" w:rsidP="0073675B">
            <w:pPr>
              <w:pStyle w:val="Bezodstpw"/>
              <w:jc w:val="center"/>
            </w:pPr>
            <w:r>
              <w:t xml:space="preserve">10,00 zł. </w:t>
            </w:r>
          </w:p>
        </w:tc>
        <w:tc>
          <w:tcPr>
            <w:tcW w:w="1134" w:type="dxa"/>
          </w:tcPr>
          <w:p w:rsidR="00B7182E" w:rsidRDefault="00B7182E" w:rsidP="0073675B">
            <w:pPr>
              <w:pStyle w:val="Bezodstpw"/>
              <w:jc w:val="center"/>
            </w:pPr>
            <w:r>
              <w:t xml:space="preserve">  +22,9 %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 xml:space="preserve">  +23,2 %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2 360,00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xml:space="preserve"> + 7,9 %</w:t>
            </w:r>
          </w:p>
        </w:tc>
      </w:tr>
    </w:tbl>
    <w:p w:rsidR="00B7182E" w:rsidRDefault="00B7182E" w:rsidP="00B7182E">
      <w:pPr>
        <w:pStyle w:val="Bezodstpw"/>
        <w:jc w:val="both"/>
      </w:pPr>
      <w:r>
        <w:t xml:space="preserve">Tabela: Procentowa zmiana ceny akcji spółki, której akcje zostały umieszczone 2 stycznia 2015 roku na  stronie internetowej </w:t>
      </w:r>
      <w:hyperlink r:id="rId16" w:history="1">
        <w:r w:rsidRPr="003C5ED1">
          <w:rPr>
            <w:rStyle w:val="Hipercze"/>
          </w:rPr>
          <w:t>www.analizy-rynkowe.pl</w:t>
        </w:r>
      </w:hyperlink>
      <w:r>
        <w:t xml:space="preserve"> w rubryce  ,,Wykres do przemyślenia” w okresie od 1 grudnia do 8 maja 2015 roku oraz procentowa zmiana indeksu WIG 20 w tym okresie. </w:t>
      </w: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01.12.2014</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Comarch</w:t>
            </w:r>
          </w:p>
        </w:tc>
        <w:tc>
          <w:tcPr>
            <w:tcW w:w="2302" w:type="dxa"/>
          </w:tcPr>
          <w:p w:rsidR="00B7182E" w:rsidRDefault="00B7182E" w:rsidP="0073675B">
            <w:pPr>
              <w:pStyle w:val="Bezodstpw"/>
              <w:jc w:val="center"/>
            </w:pPr>
            <w:r>
              <w:t>115,50 zł.</w:t>
            </w:r>
          </w:p>
        </w:tc>
        <w:tc>
          <w:tcPr>
            <w:tcW w:w="2303" w:type="dxa"/>
          </w:tcPr>
          <w:p w:rsidR="00B7182E" w:rsidRDefault="00B7182E" w:rsidP="0073675B">
            <w:pPr>
              <w:pStyle w:val="Bezodstpw"/>
              <w:jc w:val="center"/>
            </w:pPr>
            <w:r>
              <w:t>134,00 zł.</w:t>
            </w:r>
          </w:p>
        </w:tc>
        <w:tc>
          <w:tcPr>
            <w:tcW w:w="1134" w:type="dxa"/>
          </w:tcPr>
          <w:p w:rsidR="00B7182E" w:rsidRDefault="00B7182E" w:rsidP="0073675B">
            <w:pPr>
              <w:pStyle w:val="Bezodstpw"/>
              <w:jc w:val="center"/>
            </w:pPr>
            <w:r>
              <w:t>+16,0 %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+16,0 %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+ 10,0 %</w:t>
            </w:r>
          </w:p>
        </w:tc>
      </w:tr>
    </w:tbl>
    <w:p w:rsidR="00B7182E" w:rsidRDefault="00B7182E" w:rsidP="00B7182E">
      <w:pPr>
        <w:pStyle w:val="Bezodstpw"/>
        <w:jc w:val="both"/>
      </w:pPr>
      <w:r>
        <w:lastRenderedPageBreak/>
        <w:t xml:space="preserve">Tabela: Procentowa zmiana ceny akcji spółki, której akcje zostały umieszczone 12 stycznia 2015 roku na  stronie internetowej </w:t>
      </w:r>
      <w:hyperlink r:id="rId17" w:history="1">
        <w:r w:rsidRPr="003C5ED1">
          <w:rPr>
            <w:rStyle w:val="Hipercze"/>
          </w:rPr>
          <w:t>www.analizy-rynkowe.pl</w:t>
        </w:r>
      </w:hyperlink>
      <w:r>
        <w:t xml:space="preserve"> w rubryce  ,,Wykres do przemyślenia” w okresie od 9 stycznia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09.01.2015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Muza</w:t>
            </w:r>
          </w:p>
        </w:tc>
        <w:tc>
          <w:tcPr>
            <w:tcW w:w="2302" w:type="dxa"/>
          </w:tcPr>
          <w:p w:rsidR="00B7182E" w:rsidRDefault="00B7182E" w:rsidP="0073675B">
            <w:pPr>
              <w:pStyle w:val="Bezodstpw"/>
              <w:jc w:val="center"/>
            </w:pPr>
            <w:r>
              <w:t>3,34 zł.</w:t>
            </w:r>
          </w:p>
        </w:tc>
        <w:tc>
          <w:tcPr>
            <w:tcW w:w="2303" w:type="dxa"/>
          </w:tcPr>
          <w:p w:rsidR="00B7182E" w:rsidRDefault="00B7182E" w:rsidP="0073675B">
            <w:pPr>
              <w:pStyle w:val="Bezodstpw"/>
              <w:jc w:val="center"/>
            </w:pPr>
            <w:r>
              <w:t>3,88 zł.</w:t>
            </w:r>
          </w:p>
        </w:tc>
        <w:tc>
          <w:tcPr>
            <w:tcW w:w="1134" w:type="dxa"/>
          </w:tcPr>
          <w:p w:rsidR="00B7182E" w:rsidRDefault="00B7182E" w:rsidP="0073675B">
            <w:pPr>
              <w:pStyle w:val="Bezodstpw"/>
              <w:jc w:val="center"/>
            </w:pPr>
            <w:r>
              <w:t>+16,2 %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+16,2 %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+9,0 %</w:t>
            </w:r>
          </w:p>
        </w:tc>
      </w:tr>
    </w:tbl>
    <w:p w:rsidR="00B7182E" w:rsidRDefault="00B7182E" w:rsidP="00B7182E">
      <w:pPr>
        <w:pStyle w:val="Bezodstpw"/>
        <w:jc w:val="both"/>
      </w:pPr>
    </w:p>
    <w:p w:rsidR="00B7182E" w:rsidRDefault="00B7182E" w:rsidP="00B7182E">
      <w:pPr>
        <w:pStyle w:val="Bezodstpw"/>
        <w:jc w:val="both"/>
      </w:pPr>
      <w:r>
        <w:t xml:space="preserve">Tabela: Procentowa zmiana ceny akcji spółki, której akcje zostały umieszczone 30 stycznia 2015 roku na  stronie internetowej </w:t>
      </w:r>
      <w:hyperlink r:id="rId18" w:history="1">
        <w:r w:rsidRPr="003C5ED1">
          <w:rPr>
            <w:rStyle w:val="Hipercze"/>
          </w:rPr>
          <w:t>www.analizy-rynkowe.pl</w:t>
        </w:r>
      </w:hyperlink>
      <w:r>
        <w:t xml:space="preserve"> w rubryce  ,,Wykres do przemyślenia” w okresie od 29 stycznia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29.01.2015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Lubawa</w:t>
            </w:r>
          </w:p>
        </w:tc>
        <w:tc>
          <w:tcPr>
            <w:tcW w:w="2302" w:type="dxa"/>
          </w:tcPr>
          <w:p w:rsidR="00B7182E" w:rsidRDefault="00B7182E" w:rsidP="0073675B">
            <w:pPr>
              <w:pStyle w:val="Bezodstpw"/>
              <w:jc w:val="center"/>
            </w:pPr>
            <w:r>
              <w:t>1,11 zł.</w:t>
            </w:r>
          </w:p>
        </w:tc>
        <w:tc>
          <w:tcPr>
            <w:tcW w:w="2303" w:type="dxa"/>
          </w:tcPr>
          <w:p w:rsidR="00B7182E" w:rsidRDefault="00B7182E" w:rsidP="0073675B">
            <w:pPr>
              <w:pStyle w:val="Bezodstpw"/>
              <w:jc w:val="center"/>
            </w:pPr>
            <w:r>
              <w:t>1,44 zł.</w:t>
            </w:r>
          </w:p>
        </w:tc>
        <w:tc>
          <w:tcPr>
            <w:tcW w:w="1134" w:type="dxa"/>
          </w:tcPr>
          <w:p w:rsidR="00B7182E" w:rsidRDefault="00B7182E" w:rsidP="0073675B">
            <w:pPr>
              <w:pStyle w:val="Bezodstpw"/>
              <w:jc w:val="center"/>
            </w:pPr>
            <w:r>
              <w:t>+29,7 %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+29,7 %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+ 8,8  %</w:t>
            </w:r>
          </w:p>
        </w:tc>
      </w:tr>
    </w:tbl>
    <w:p w:rsidR="00B7182E" w:rsidRDefault="00B7182E" w:rsidP="00B7182E">
      <w:pPr>
        <w:pStyle w:val="Bezodstpw"/>
        <w:jc w:val="both"/>
        <w:rPr>
          <w:b/>
          <w:u w:val="single"/>
        </w:rPr>
      </w:pPr>
    </w:p>
    <w:p w:rsidR="00B7182E" w:rsidRDefault="00B7182E" w:rsidP="00B7182E">
      <w:pPr>
        <w:pStyle w:val="Bezodstpw"/>
        <w:jc w:val="both"/>
      </w:pPr>
      <w:r>
        <w:t xml:space="preserve">Tabela: Procentowa zmiana ceny akcji spółki, której akcje zostały umieszczone 10 lutego 2015 roku na  stronie internetowej </w:t>
      </w:r>
      <w:hyperlink r:id="rId19" w:history="1">
        <w:r w:rsidRPr="003C5ED1">
          <w:rPr>
            <w:rStyle w:val="Hipercze"/>
          </w:rPr>
          <w:t>www.analizy-rynkowe.pl</w:t>
        </w:r>
      </w:hyperlink>
      <w:r>
        <w:t xml:space="preserve"> w rubryce  ,,Wykres do przemyślenia” w okresie od 9 lutego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09.02.2015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 xml:space="preserve">Akcja spółki </w:t>
            </w:r>
            <w:proofErr w:type="spellStart"/>
            <w:r>
              <w:t>Atrem</w:t>
            </w:r>
            <w:proofErr w:type="spellEnd"/>
          </w:p>
        </w:tc>
        <w:tc>
          <w:tcPr>
            <w:tcW w:w="2302" w:type="dxa"/>
          </w:tcPr>
          <w:p w:rsidR="00B7182E" w:rsidRDefault="00B7182E" w:rsidP="0073675B">
            <w:pPr>
              <w:pStyle w:val="Bezodstpw"/>
              <w:jc w:val="center"/>
            </w:pPr>
            <w:r>
              <w:t>4,50 zł.</w:t>
            </w:r>
          </w:p>
        </w:tc>
        <w:tc>
          <w:tcPr>
            <w:tcW w:w="2303" w:type="dxa"/>
          </w:tcPr>
          <w:p w:rsidR="00B7182E" w:rsidRDefault="00B7182E" w:rsidP="0073675B">
            <w:pPr>
              <w:pStyle w:val="Bezodstpw"/>
              <w:jc w:val="center"/>
            </w:pPr>
            <w:r>
              <w:t>4,94 zł.</w:t>
            </w:r>
          </w:p>
        </w:tc>
        <w:tc>
          <w:tcPr>
            <w:tcW w:w="1134" w:type="dxa"/>
          </w:tcPr>
          <w:p w:rsidR="00B7182E" w:rsidRDefault="00B7182E" w:rsidP="0073675B">
            <w:pPr>
              <w:pStyle w:val="Bezodstpw"/>
              <w:jc w:val="center"/>
            </w:pPr>
            <w:r>
              <w:t>+9,8 %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+9,8 %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+8,8  %</w:t>
            </w:r>
          </w:p>
        </w:tc>
      </w:tr>
    </w:tbl>
    <w:p w:rsidR="00B7182E" w:rsidRDefault="00B7182E" w:rsidP="00B7182E">
      <w:pPr>
        <w:pStyle w:val="Bezodstpw"/>
        <w:jc w:val="both"/>
        <w:rPr>
          <w:b/>
        </w:rPr>
      </w:pPr>
    </w:p>
    <w:p w:rsidR="00B7182E" w:rsidRDefault="00B7182E" w:rsidP="00B7182E">
      <w:pPr>
        <w:pStyle w:val="Bezodstpw"/>
        <w:jc w:val="both"/>
      </w:pPr>
      <w:r>
        <w:t xml:space="preserve">Tabela: Procentowa zmiana ceny akcji spółki, której akcje zostały umieszczone 3 marca 2015 roku na  stronie internetowej </w:t>
      </w:r>
      <w:hyperlink r:id="rId20" w:history="1">
        <w:r w:rsidRPr="003C5ED1">
          <w:rPr>
            <w:rStyle w:val="Hipercze"/>
          </w:rPr>
          <w:t>www.analizy-rynkowe.pl</w:t>
        </w:r>
      </w:hyperlink>
      <w:r>
        <w:t xml:space="preserve"> w rubryce  ,,Wykres do przemyślenia” w okresie od 2 marca do 8 maja 2015 roku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02.03.2015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Mostostal Warszawa</w:t>
            </w:r>
          </w:p>
        </w:tc>
        <w:tc>
          <w:tcPr>
            <w:tcW w:w="2302" w:type="dxa"/>
          </w:tcPr>
          <w:p w:rsidR="00B7182E" w:rsidRDefault="00B7182E" w:rsidP="0073675B">
            <w:pPr>
              <w:pStyle w:val="Bezodstpw"/>
              <w:jc w:val="center"/>
            </w:pPr>
            <w:r>
              <w:t>7,57 zł.</w:t>
            </w:r>
          </w:p>
        </w:tc>
        <w:tc>
          <w:tcPr>
            <w:tcW w:w="2303" w:type="dxa"/>
          </w:tcPr>
          <w:p w:rsidR="00B7182E" w:rsidRDefault="00B7182E" w:rsidP="0073675B">
            <w:pPr>
              <w:pStyle w:val="Bezodstpw"/>
              <w:jc w:val="center"/>
            </w:pPr>
            <w:r>
              <w:t>10,90 zł.</w:t>
            </w:r>
          </w:p>
        </w:tc>
        <w:tc>
          <w:tcPr>
            <w:tcW w:w="1134" w:type="dxa"/>
          </w:tcPr>
          <w:p w:rsidR="00B7182E" w:rsidRDefault="00B7182E" w:rsidP="0073675B">
            <w:pPr>
              <w:pStyle w:val="Bezodstpw"/>
              <w:jc w:val="center"/>
            </w:pPr>
            <w:r>
              <w:t>+44,0 %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+44,0 %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2 417,11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+8,0 %</w:t>
            </w:r>
          </w:p>
        </w:tc>
      </w:tr>
    </w:tbl>
    <w:p w:rsidR="00B7182E" w:rsidRDefault="00B7182E" w:rsidP="00B7182E">
      <w:pPr>
        <w:pStyle w:val="Bezodstpw"/>
        <w:jc w:val="both"/>
        <w:rPr>
          <w:b/>
        </w:rPr>
      </w:pPr>
    </w:p>
    <w:p w:rsidR="00B7182E" w:rsidRDefault="00B7182E" w:rsidP="00B7182E">
      <w:pPr>
        <w:pStyle w:val="Bezodstpw"/>
        <w:jc w:val="both"/>
      </w:pPr>
      <w:r>
        <w:t xml:space="preserve">Tabela: Procentowa zmiana ceny akcji spółki, której akcje zostały umieszczone 9 kwietnia 2015 roku na  stronie internetowej </w:t>
      </w:r>
      <w:hyperlink r:id="rId21" w:history="1">
        <w:r w:rsidRPr="003C5ED1">
          <w:rPr>
            <w:rStyle w:val="Hipercze"/>
          </w:rPr>
          <w:t>www.analizy-rynkowe.pl</w:t>
        </w:r>
      </w:hyperlink>
      <w:r>
        <w:t xml:space="preserve"> w rubryce  ,,Wykres do przemyślenia” w okresie od 8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08.04.2015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Ceramika Nowa Gala</w:t>
            </w:r>
          </w:p>
        </w:tc>
        <w:tc>
          <w:tcPr>
            <w:tcW w:w="2302" w:type="dxa"/>
          </w:tcPr>
          <w:p w:rsidR="00B7182E" w:rsidRDefault="00B7182E" w:rsidP="0073675B">
            <w:pPr>
              <w:pStyle w:val="Bezodstpw"/>
              <w:jc w:val="center"/>
            </w:pPr>
            <w:r>
              <w:t>1,25 zł.</w:t>
            </w:r>
          </w:p>
        </w:tc>
        <w:tc>
          <w:tcPr>
            <w:tcW w:w="2303" w:type="dxa"/>
          </w:tcPr>
          <w:p w:rsidR="00B7182E" w:rsidRDefault="00B7182E" w:rsidP="0073675B">
            <w:pPr>
              <w:pStyle w:val="Bezodstpw"/>
              <w:jc w:val="center"/>
            </w:pPr>
            <w:r>
              <w:t>1,27 zł.</w:t>
            </w:r>
          </w:p>
        </w:tc>
        <w:tc>
          <w:tcPr>
            <w:tcW w:w="1134" w:type="dxa"/>
          </w:tcPr>
          <w:p w:rsidR="00B7182E" w:rsidRDefault="00B7182E" w:rsidP="0073675B">
            <w:pPr>
              <w:pStyle w:val="Bezodstpw"/>
              <w:jc w:val="center"/>
            </w:pPr>
            <w:r>
              <w:t>+1,6 %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+1,6 %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2 424,82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+ 5,0 %</w:t>
            </w:r>
          </w:p>
        </w:tc>
      </w:tr>
    </w:tbl>
    <w:p w:rsidR="00B7182E" w:rsidRDefault="00B7182E" w:rsidP="00B7182E">
      <w:pPr>
        <w:pStyle w:val="Bezodstpw"/>
        <w:jc w:val="both"/>
        <w:rPr>
          <w:sz w:val="34"/>
          <w:szCs w:val="34"/>
        </w:rPr>
      </w:pPr>
    </w:p>
    <w:p w:rsidR="00B7182E" w:rsidRDefault="00B7182E" w:rsidP="00B7182E">
      <w:pPr>
        <w:pStyle w:val="Bezodstpw"/>
        <w:jc w:val="both"/>
      </w:pPr>
      <w:r>
        <w:lastRenderedPageBreak/>
        <w:t xml:space="preserve">Tabela: Procentowa zmiana ceny akcji spółki, której akcje zostały umieszczone 5 maja 2015 roku na  stronie internetowej </w:t>
      </w:r>
      <w:hyperlink r:id="rId22" w:history="1">
        <w:r w:rsidRPr="003C5ED1">
          <w:rPr>
            <w:rStyle w:val="Hipercze"/>
          </w:rPr>
          <w:t>www.analizy-rynkowe.pl</w:t>
        </w:r>
      </w:hyperlink>
      <w:r>
        <w:t xml:space="preserve"> w rubryce  ,,Wykres do przemyślenia” w okresie od 4 do 8 maja 2015 roku oraz procentowa zmiana indeksu WIG 20 w tym okresie. </w:t>
      </w:r>
    </w:p>
    <w:p w:rsidR="00B7182E" w:rsidRDefault="00B7182E" w:rsidP="00B7182E">
      <w:pPr>
        <w:pStyle w:val="Bezodstpw"/>
        <w:jc w:val="both"/>
      </w:pPr>
    </w:p>
    <w:tbl>
      <w:tblPr>
        <w:tblStyle w:val="Tabela-Siatka"/>
        <w:tblW w:w="0" w:type="auto"/>
        <w:tblLook w:val="04A0"/>
      </w:tblPr>
      <w:tblGrid>
        <w:gridCol w:w="3402"/>
        <w:gridCol w:w="2302"/>
        <w:gridCol w:w="2303"/>
        <w:gridCol w:w="1134"/>
      </w:tblGrid>
      <w:tr w:rsidR="00B7182E" w:rsidTr="0073675B">
        <w:tc>
          <w:tcPr>
            <w:tcW w:w="3402" w:type="dxa"/>
          </w:tcPr>
          <w:p w:rsidR="00B7182E" w:rsidRDefault="00B7182E" w:rsidP="0073675B">
            <w:pPr>
              <w:pStyle w:val="Bezodstpw"/>
              <w:jc w:val="center"/>
            </w:pPr>
            <w:r>
              <w:t>Instrument finansowy</w:t>
            </w:r>
          </w:p>
        </w:tc>
        <w:tc>
          <w:tcPr>
            <w:tcW w:w="2302" w:type="dxa"/>
          </w:tcPr>
          <w:p w:rsidR="00B7182E" w:rsidRDefault="00B7182E" w:rsidP="0073675B">
            <w:pPr>
              <w:pStyle w:val="Bezodstpw"/>
              <w:jc w:val="center"/>
            </w:pPr>
            <w:r>
              <w:t>Poziom – 04.05.2015</w:t>
            </w:r>
          </w:p>
        </w:tc>
        <w:tc>
          <w:tcPr>
            <w:tcW w:w="2303" w:type="dxa"/>
          </w:tcPr>
          <w:p w:rsidR="00B7182E" w:rsidRDefault="00B7182E" w:rsidP="0073675B">
            <w:pPr>
              <w:pStyle w:val="Bezodstpw"/>
              <w:jc w:val="center"/>
            </w:pPr>
            <w:r>
              <w:t>Poziom – 08.05.2015</w:t>
            </w:r>
          </w:p>
        </w:tc>
        <w:tc>
          <w:tcPr>
            <w:tcW w:w="1134" w:type="dxa"/>
          </w:tcPr>
          <w:p w:rsidR="00B7182E" w:rsidRDefault="00B7182E" w:rsidP="0073675B">
            <w:pPr>
              <w:pStyle w:val="Bezodstpw"/>
              <w:jc w:val="center"/>
            </w:pPr>
            <w:r>
              <w:t>Zmiana (w %)</w:t>
            </w:r>
          </w:p>
        </w:tc>
      </w:tr>
      <w:tr w:rsidR="00B7182E" w:rsidTr="0073675B">
        <w:tc>
          <w:tcPr>
            <w:tcW w:w="3402" w:type="dxa"/>
          </w:tcPr>
          <w:p w:rsidR="00B7182E" w:rsidRDefault="00B7182E" w:rsidP="0073675B">
            <w:pPr>
              <w:pStyle w:val="Bezodstpw"/>
              <w:jc w:val="center"/>
            </w:pPr>
            <w:r>
              <w:t>Akcja spółki Polnord</w:t>
            </w:r>
          </w:p>
        </w:tc>
        <w:tc>
          <w:tcPr>
            <w:tcW w:w="2302" w:type="dxa"/>
          </w:tcPr>
          <w:p w:rsidR="00B7182E" w:rsidRDefault="00B7182E" w:rsidP="0073675B">
            <w:pPr>
              <w:pStyle w:val="Bezodstpw"/>
              <w:jc w:val="center"/>
            </w:pPr>
            <w:r>
              <w:t>11,10 zł.</w:t>
            </w:r>
          </w:p>
        </w:tc>
        <w:tc>
          <w:tcPr>
            <w:tcW w:w="2303" w:type="dxa"/>
          </w:tcPr>
          <w:p w:rsidR="00B7182E" w:rsidRDefault="00B7182E" w:rsidP="0073675B">
            <w:pPr>
              <w:pStyle w:val="Bezodstpw"/>
              <w:jc w:val="center"/>
            </w:pPr>
            <w:r>
              <w:t>10,48 zł.</w:t>
            </w:r>
          </w:p>
        </w:tc>
        <w:tc>
          <w:tcPr>
            <w:tcW w:w="1134" w:type="dxa"/>
          </w:tcPr>
          <w:p w:rsidR="00B7182E" w:rsidRDefault="00B7182E" w:rsidP="0073675B">
            <w:pPr>
              <w:pStyle w:val="Bezodstpw"/>
              <w:jc w:val="center"/>
            </w:pPr>
            <w:r>
              <w:t>-5,6 %</w:t>
            </w:r>
          </w:p>
        </w:tc>
      </w:tr>
      <w:tr w:rsidR="00B7182E" w:rsidRPr="008F668F" w:rsidTr="0073675B">
        <w:tc>
          <w:tcPr>
            <w:tcW w:w="3402" w:type="dxa"/>
          </w:tcPr>
          <w:p w:rsidR="00B7182E" w:rsidRPr="008F668F" w:rsidRDefault="00B7182E" w:rsidP="0073675B">
            <w:pPr>
              <w:pStyle w:val="Bezodstpw"/>
              <w:jc w:val="center"/>
              <w:rPr>
                <w:b/>
                <w:color w:val="FF0000"/>
              </w:rPr>
            </w:pPr>
            <w:r w:rsidRPr="008F668F">
              <w:rPr>
                <w:b/>
                <w:color w:val="FF0000"/>
              </w:rPr>
              <w:t>Średnio</w:t>
            </w:r>
          </w:p>
        </w:tc>
        <w:tc>
          <w:tcPr>
            <w:tcW w:w="2302" w:type="dxa"/>
            <w:tcBorders>
              <w:right w:val="nil"/>
            </w:tcBorders>
          </w:tcPr>
          <w:p w:rsidR="00B7182E" w:rsidRPr="008F668F" w:rsidRDefault="00B7182E" w:rsidP="0073675B">
            <w:pPr>
              <w:pStyle w:val="Bezodstpw"/>
              <w:jc w:val="center"/>
              <w:rPr>
                <w:b/>
                <w:color w:val="FF0000"/>
              </w:rPr>
            </w:pPr>
          </w:p>
        </w:tc>
        <w:tc>
          <w:tcPr>
            <w:tcW w:w="2303" w:type="dxa"/>
            <w:tcBorders>
              <w:left w:val="nil"/>
            </w:tcBorders>
          </w:tcPr>
          <w:p w:rsidR="00B7182E" w:rsidRPr="008F668F" w:rsidRDefault="00B7182E" w:rsidP="0073675B">
            <w:pPr>
              <w:pStyle w:val="Bezodstpw"/>
              <w:jc w:val="center"/>
              <w:rPr>
                <w:b/>
                <w:color w:val="FF0000"/>
              </w:rPr>
            </w:pPr>
          </w:p>
        </w:tc>
        <w:tc>
          <w:tcPr>
            <w:tcW w:w="1134" w:type="dxa"/>
          </w:tcPr>
          <w:p w:rsidR="00B7182E" w:rsidRPr="008F668F" w:rsidRDefault="00B7182E" w:rsidP="0073675B">
            <w:pPr>
              <w:pStyle w:val="Bezodstpw"/>
              <w:jc w:val="center"/>
              <w:rPr>
                <w:b/>
                <w:color w:val="FF0000"/>
              </w:rPr>
            </w:pPr>
            <w:r>
              <w:rPr>
                <w:b/>
                <w:color w:val="FF0000"/>
              </w:rPr>
              <w:t>-5,6 %</w:t>
            </w:r>
          </w:p>
        </w:tc>
      </w:tr>
      <w:tr w:rsidR="00B7182E" w:rsidTr="0073675B">
        <w:tc>
          <w:tcPr>
            <w:tcW w:w="3402" w:type="dxa"/>
          </w:tcPr>
          <w:p w:rsidR="00B7182E" w:rsidRDefault="00B7182E" w:rsidP="0073675B">
            <w:pPr>
              <w:pStyle w:val="Bezodstpw"/>
              <w:jc w:val="center"/>
            </w:pPr>
            <w:r>
              <w:t>WIG 20</w:t>
            </w:r>
          </w:p>
        </w:tc>
        <w:tc>
          <w:tcPr>
            <w:tcW w:w="2302" w:type="dxa"/>
          </w:tcPr>
          <w:p w:rsidR="00B7182E" w:rsidRDefault="00B7182E" w:rsidP="0073675B">
            <w:pPr>
              <w:pStyle w:val="Bezodstpw"/>
              <w:jc w:val="center"/>
            </w:pPr>
            <w:r>
              <w:t xml:space="preserve">2 424,82 pkt. </w:t>
            </w:r>
          </w:p>
        </w:tc>
        <w:tc>
          <w:tcPr>
            <w:tcW w:w="2303" w:type="dxa"/>
          </w:tcPr>
          <w:p w:rsidR="00B7182E" w:rsidRDefault="00B7182E" w:rsidP="0073675B">
            <w:pPr>
              <w:pStyle w:val="Bezodstpw"/>
              <w:jc w:val="center"/>
            </w:pPr>
            <w:r w:rsidRPr="00662678">
              <w:t>2</w:t>
            </w:r>
            <w:r>
              <w:t> 546,78 pkt.</w:t>
            </w:r>
          </w:p>
        </w:tc>
        <w:tc>
          <w:tcPr>
            <w:tcW w:w="1134" w:type="dxa"/>
          </w:tcPr>
          <w:p w:rsidR="00B7182E" w:rsidRDefault="00B7182E" w:rsidP="0073675B">
            <w:pPr>
              <w:pStyle w:val="Bezodstpw"/>
              <w:jc w:val="center"/>
            </w:pPr>
            <w:r>
              <w:t>+ 5,0 %</w:t>
            </w:r>
          </w:p>
        </w:tc>
      </w:tr>
    </w:tbl>
    <w:p w:rsidR="00B7182E" w:rsidRDefault="00B7182E" w:rsidP="00B7182E">
      <w:pPr>
        <w:pStyle w:val="Bezodstpw"/>
        <w:jc w:val="both"/>
        <w:rPr>
          <w:sz w:val="34"/>
          <w:szCs w:val="34"/>
        </w:rPr>
      </w:pPr>
    </w:p>
    <w:p w:rsidR="00B7182E" w:rsidRPr="00360DB8" w:rsidRDefault="00B7182E" w:rsidP="00B7182E">
      <w:pPr>
        <w:pStyle w:val="Bezodstpw"/>
        <w:jc w:val="both"/>
        <w:rPr>
          <w:b/>
          <w:sz w:val="32"/>
          <w:szCs w:val="32"/>
          <w:u w:val="single"/>
        </w:rPr>
      </w:pPr>
      <w:r w:rsidRPr="00360DB8">
        <w:rPr>
          <w:sz w:val="32"/>
          <w:szCs w:val="32"/>
        </w:rPr>
        <w:t xml:space="preserve">Warto zauważyć, że </w:t>
      </w:r>
      <w:r w:rsidRPr="00360DB8">
        <w:rPr>
          <w:b/>
          <w:color w:val="FF0000"/>
          <w:sz w:val="32"/>
          <w:szCs w:val="32"/>
        </w:rPr>
        <w:t>spośród</w:t>
      </w:r>
      <w:r w:rsidRPr="00360DB8">
        <w:rPr>
          <w:b/>
          <w:sz w:val="32"/>
          <w:szCs w:val="32"/>
        </w:rPr>
        <w:t xml:space="preserve"> </w:t>
      </w:r>
      <w:r w:rsidRPr="00360DB8">
        <w:rPr>
          <w:b/>
          <w:color w:val="FF0000"/>
          <w:sz w:val="32"/>
          <w:szCs w:val="32"/>
        </w:rPr>
        <w:t>2</w:t>
      </w:r>
      <w:r>
        <w:rPr>
          <w:b/>
          <w:color w:val="FF0000"/>
          <w:sz w:val="32"/>
          <w:szCs w:val="32"/>
        </w:rPr>
        <w:t>7</w:t>
      </w:r>
      <w:r w:rsidRPr="00360DB8">
        <w:rPr>
          <w:b/>
          <w:color w:val="FF0000"/>
          <w:sz w:val="32"/>
          <w:szCs w:val="32"/>
        </w:rPr>
        <w:t xml:space="preserve"> spółek</w:t>
      </w:r>
      <w:r w:rsidRPr="00360DB8">
        <w:rPr>
          <w:b/>
          <w:sz w:val="32"/>
          <w:szCs w:val="32"/>
        </w:rPr>
        <w:t>, których akcje zakwalifikowane zostały do rubryki ,,Wykres do przemyślenia”</w:t>
      </w:r>
      <w:r w:rsidRPr="00360DB8">
        <w:rPr>
          <w:sz w:val="32"/>
          <w:szCs w:val="32"/>
        </w:rPr>
        <w:t xml:space="preserve"> (gdyż wybiły się już z formacji podwójnego dna) </w:t>
      </w:r>
      <w:r w:rsidRPr="00360DB8">
        <w:rPr>
          <w:b/>
          <w:sz w:val="32"/>
          <w:szCs w:val="32"/>
        </w:rPr>
        <w:t xml:space="preserve">kursy akcji </w:t>
      </w:r>
      <w:r w:rsidRPr="00360DB8">
        <w:rPr>
          <w:b/>
          <w:color w:val="FF0000"/>
          <w:sz w:val="32"/>
          <w:szCs w:val="32"/>
        </w:rPr>
        <w:t>1</w:t>
      </w:r>
      <w:r>
        <w:rPr>
          <w:b/>
          <w:color w:val="FF0000"/>
          <w:sz w:val="32"/>
          <w:szCs w:val="32"/>
        </w:rPr>
        <w:t>8</w:t>
      </w:r>
      <w:r w:rsidRPr="00360DB8">
        <w:rPr>
          <w:b/>
          <w:color w:val="FF0000"/>
          <w:sz w:val="32"/>
          <w:szCs w:val="32"/>
        </w:rPr>
        <w:t xml:space="preserve"> spółek</w:t>
      </w:r>
      <w:r w:rsidRPr="00360DB8">
        <w:rPr>
          <w:sz w:val="32"/>
          <w:szCs w:val="32"/>
        </w:rPr>
        <w:t xml:space="preserve"> od momentu owego zakwalifikowania do tej rubryki do dnia </w:t>
      </w:r>
      <w:r>
        <w:rPr>
          <w:sz w:val="32"/>
          <w:szCs w:val="32"/>
        </w:rPr>
        <w:t>8 maja</w:t>
      </w:r>
      <w:r w:rsidRPr="00360DB8">
        <w:rPr>
          <w:sz w:val="32"/>
          <w:szCs w:val="32"/>
        </w:rPr>
        <w:t xml:space="preserve"> 2015 roku zachowywały się </w:t>
      </w:r>
      <w:r w:rsidRPr="00360DB8">
        <w:rPr>
          <w:b/>
          <w:color w:val="FF0000"/>
          <w:sz w:val="32"/>
          <w:szCs w:val="32"/>
          <w:u w:val="single"/>
        </w:rPr>
        <w:t>lepiej</w:t>
      </w:r>
      <w:r w:rsidRPr="00360DB8">
        <w:rPr>
          <w:b/>
          <w:color w:val="FF0000"/>
          <w:sz w:val="32"/>
          <w:szCs w:val="32"/>
        </w:rPr>
        <w:t xml:space="preserve"> od indeksu WIG20</w:t>
      </w:r>
      <w:r w:rsidRPr="00360DB8">
        <w:rPr>
          <w:b/>
          <w:sz w:val="32"/>
          <w:szCs w:val="32"/>
        </w:rPr>
        <w:t xml:space="preserve"> a 9 </w:t>
      </w:r>
      <w:r w:rsidRPr="00360DB8">
        <w:rPr>
          <w:b/>
          <w:sz w:val="32"/>
          <w:szCs w:val="32"/>
          <w:u w:val="single"/>
        </w:rPr>
        <w:t xml:space="preserve">gorzej </w:t>
      </w:r>
      <w:r w:rsidRPr="00360DB8">
        <w:rPr>
          <w:b/>
          <w:sz w:val="32"/>
          <w:szCs w:val="32"/>
        </w:rPr>
        <w:t>od indeksu WIG20.</w:t>
      </w:r>
      <w:r w:rsidRPr="00360DB8">
        <w:rPr>
          <w:b/>
          <w:sz w:val="32"/>
          <w:szCs w:val="32"/>
          <w:u w:val="single"/>
        </w:rPr>
        <w:t xml:space="preserve"> </w:t>
      </w:r>
    </w:p>
    <w:p w:rsidR="00B7182E" w:rsidRPr="00360DB8" w:rsidRDefault="00B7182E" w:rsidP="00B7182E">
      <w:pPr>
        <w:pStyle w:val="Bezodstpw"/>
        <w:jc w:val="both"/>
        <w:rPr>
          <w:b/>
          <w:sz w:val="32"/>
          <w:szCs w:val="32"/>
          <w:u w:val="single"/>
        </w:rPr>
      </w:pPr>
    </w:p>
    <w:p w:rsidR="00B7182E" w:rsidRPr="00360DB8" w:rsidRDefault="00B7182E" w:rsidP="00B7182E">
      <w:pPr>
        <w:pStyle w:val="Bezodstpw"/>
        <w:jc w:val="center"/>
        <w:rPr>
          <w:b/>
          <w:emboss/>
          <w:color w:val="FF0000"/>
          <w:sz w:val="32"/>
          <w:szCs w:val="32"/>
        </w:rPr>
      </w:pPr>
      <w:r w:rsidRPr="00360DB8">
        <w:rPr>
          <w:b/>
          <w:emboss/>
          <w:color w:val="FF0000"/>
          <w:sz w:val="32"/>
          <w:szCs w:val="32"/>
        </w:rPr>
        <w:t>Porównanie</w:t>
      </w:r>
    </w:p>
    <w:p w:rsidR="00B7182E" w:rsidRPr="00360DB8" w:rsidRDefault="00B7182E" w:rsidP="00B7182E">
      <w:pPr>
        <w:pStyle w:val="Bezodstpw"/>
        <w:jc w:val="both"/>
        <w:rPr>
          <w:sz w:val="32"/>
          <w:szCs w:val="32"/>
        </w:rPr>
      </w:pPr>
      <w:r w:rsidRPr="00360DB8">
        <w:rPr>
          <w:sz w:val="32"/>
          <w:szCs w:val="32"/>
        </w:rPr>
        <w:t xml:space="preserve">Wykres: </w:t>
      </w:r>
      <w:r w:rsidRPr="00360DB8">
        <w:rPr>
          <w:color w:val="000000" w:themeColor="text1"/>
          <w:sz w:val="32"/>
          <w:szCs w:val="32"/>
        </w:rPr>
        <w:t>Średnia procentowa zmiana kursu akcji spółki po wprowadzeniu jej do rubryki ,,Wykres do przemyślenia”</w:t>
      </w:r>
      <w:r w:rsidRPr="00360DB8">
        <w:rPr>
          <w:b/>
          <w:color w:val="FF0000"/>
          <w:sz w:val="32"/>
          <w:szCs w:val="32"/>
        </w:rPr>
        <w:t xml:space="preserve"> w okresie 6 miesięcy</w:t>
      </w:r>
      <w:r w:rsidRPr="00360DB8">
        <w:rPr>
          <w:sz w:val="32"/>
          <w:szCs w:val="32"/>
        </w:rPr>
        <w:t xml:space="preserve"> po jej wprowadzeniu do tej rubryki wynosiła </w:t>
      </w:r>
      <w:r w:rsidRPr="00360DB8">
        <w:rPr>
          <w:b/>
          <w:color w:val="FF0000"/>
          <w:sz w:val="32"/>
          <w:szCs w:val="32"/>
        </w:rPr>
        <w:t>plus 1</w:t>
      </w:r>
      <w:r>
        <w:rPr>
          <w:b/>
          <w:color w:val="FF0000"/>
          <w:sz w:val="32"/>
          <w:szCs w:val="32"/>
        </w:rPr>
        <w:t>6</w:t>
      </w:r>
      <w:r w:rsidRPr="00360DB8">
        <w:rPr>
          <w:b/>
          <w:color w:val="FF0000"/>
          <w:sz w:val="32"/>
          <w:szCs w:val="32"/>
        </w:rPr>
        <w:t>,</w:t>
      </w:r>
      <w:r>
        <w:rPr>
          <w:b/>
          <w:color w:val="FF0000"/>
          <w:sz w:val="32"/>
          <w:szCs w:val="32"/>
        </w:rPr>
        <w:t>8</w:t>
      </w:r>
      <w:r w:rsidRPr="00360DB8">
        <w:rPr>
          <w:b/>
          <w:color w:val="FF0000"/>
          <w:sz w:val="32"/>
          <w:szCs w:val="32"/>
        </w:rPr>
        <w:t xml:space="preserve"> %</w:t>
      </w:r>
      <w:r w:rsidRPr="00360DB8">
        <w:rPr>
          <w:sz w:val="32"/>
          <w:szCs w:val="32"/>
        </w:rPr>
        <w:t xml:space="preserve"> a średnia procentowa zmiana indeksu WIG20 wynosiła w tym okresie minus 3,</w:t>
      </w:r>
      <w:r>
        <w:rPr>
          <w:sz w:val="32"/>
          <w:szCs w:val="32"/>
        </w:rPr>
        <w:t>0</w:t>
      </w:r>
      <w:r w:rsidRPr="00360DB8">
        <w:rPr>
          <w:sz w:val="32"/>
          <w:szCs w:val="32"/>
        </w:rPr>
        <w:t xml:space="preserve"> % (</w:t>
      </w:r>
      <w:r w:rsidRPr="00360DB8">
        <w:rPr>
          <w:sz w:val="32"/>
          <w:szCs w:val="32"/>
          <w:u w:val="single"/>
        </w:rPr>
        <w:t xml:space="preserve">obliczenia według stanu na </w:t>
      </w:r>
      <w:r w:rsidR="006B26F1">
        <w:rPr>
          <w:sz w:val="32"/>
          <w:szCs w:val="32"/>
          <w:u w:val="single"/>
        </w:rPr>
        <w:t>8 maja</w:t>
      </w:r>
      <w:r w:rsidRPr="00360DB8">
        <w:rPr>
          <w:sz w:val="32"/>
          <w:szCs w:val="32"/>
          <w:u w:val="single"/>
        </w:rPr>
        <w:t xml:space="preserve"> 2015 roku</w:t>
      </w:r>
      <w:r w:rsidRPr="00360DB8">
        <w:rPr>
          <w:sz w:val="32"/>
          <w:szCs w:val="32"/>
        </w:rPr>
        <w:t>). Dane o procentowej zmianie kursu dla okresu 6-miesięcznego można było obliczyć dla akcji 1</w:t>
      </w:r>
      <w:r>
        <w:rPr>
          <w:sz w:val="32"/>
          <w:szCs w:val="32"/>
        </w:rPr>
        <w:t>7</w:t>
      </w:r>
      <w:r w:rsidRPr="00360DB8">
        <w:rPr>
          <w:sz w:val="32"/>
          <w:szCs w:val="32"/>
        </w:rPr>
        <w:t xml:space="preserve"> spółek. </w:t>
      </w:r>
    </w:p>
    <w:p w:rsidR="00B7182E" w:rsidRPr="00360DB8" w:rsidRDefault="00B7182E" w:rsidP="00B7182E">
      <w:pPr>
        <w:pStyle w:val="Bezodstpw"/>
        <w:jc w:val="both"/>
        <w:rPr>
          <w:sz w:val="28"/>
          <w:szCs w:val="28"/>
        </w:rPr>
      </w:pPr>
    </w:p>
    <w:p w:rsidR="00B7182E" w:rsidRDefault="00B7182E" w:rsidP="00B7182E">
      <w:pPr>
        <w:pStyle w:val="Bezodstpw"/>
        <w:jc w:val="both"/>
      </w:pPr>
      <w:r w:rsidRPr="00AF56EB">
        <w:rPr>
          <w:noProof/>
          <w:bdr w:val="single" w:sz="24" w:space="0" w:color="00B050"/>
        </w:rPr>
        <w:drawing>
          <wp:inline distT="0" distB="0" distL="0" distR="0">
            <wp:extent cx="4162425" cy="2095500"/>
            <wp:effectExtent l="19050" t="0" r="9525"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182E" w:rsidRDefault="00B7182E" w:rsidP="00B7182E">
      <w:pPr>
        <w:pStyle w:val="Bezodstpw"/>
        <w:jc w:val="both"/>
      </w:pPr>
    </w:p>
    <w:p w:rsidR="00B7182E" w:rsidRDefault="00B7182E" w:rsidP="00B7182E">
      <w:pPr>
        <w:pStyle w:val="Bezodstpw"/>
        <w:jc w:val="both"/>
        <w:rPr>
          <w:sz w:val="24"/>
          <w:szCs w:val="24"/>
        </w:rPr>
      </w:pPr>
      <w:r w:rsidRPr="004B4AAC">
        <w:rPr>
          <w:sz w:val="24"/>
          <w:szCs w:val="24"/>
        </w:rPr>
        <w:t xml:space="preserve">Z powyższego porównania wynika, że </w:t>
      </w:r>
      <w:r w:rsidRPr="004B4AAC">
        <w:rPr>
          <w:b/>
          <w:sz w:val="24"/>
          <w:szCs w:val="24"/>
        </w:rPr>
        <w:t>wybicie kursu akcji spółki z formacji podwójnego dna</w:t>
      </w:r>
      <w:r w:rsidRPr="004B4AAC">
        <w:rPr>
          <w:sz w:val="24"/>
          <w:szCs w:val="24"/>
        </w:rPr>
        <w:t xml:space="preserve"> będące </w:t>
      </w:r>
      <w:r w:rsidRPr="004B4AAC">
        <w:rPr>
          <w:b/>
          <w:color w:val="000000" w:themeColor="text1"/>
          <w:sz w:val="24"/>
          <w:szCs w:val="24"/>
        </w:rPr>
        <w:t>niezbędnym kryterium kwalifikującym</w:t>
      </w:r>
      <w:r w:rsidRPr="004B4AAC">
        <w:rPr>
          <w:sz w:val="24"/>
          <w:szCs w:val="24"/>
        </w:rPr>
        <w:t xml:space="preserve"> do wprowadzenie spółki do rubryki ,,Wykres do przemyślenia” sprzyja relatywnie mocnemu zachowaniu kursu akcji tej spółki w okresie pierwszych </w:t>
      </w:r>
      <w:r>
        <w:rPr>
          <w:sz w:val="24"/>
          <w:szCs w:val="24"/>
        </w:rPr>
        <w:t>6</w:t>
      </w:r>
      <w:r w:rsidRPr="004B4AAC">
        <w:rPr>
          <w:sz w:val="24"/>
          <w:szCs w:val="24"/>
        </w:rPr>
        <w:t xml:space="preserve"> miesięcy po wprowadzeniu spółki do tej rubryki.</w:t>
      </w:r>
    </w:p>
    <w:p w:rsidR="00B7182E" w:rsidRDefault="00B7182E" w:rsidP="00B7182E">
      <w:pPr>
        <w:pStyle w:val="Bezodstpw"/>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lastRenderedPageBreak/>
        <w:t>Jak połączyć analizę techniczną z analizą psychologiczną ?</w:t>
      </w:r>
    </w:p>
    <w:p w:rsidR="00B7182E" w:rsidRDefault="00B7182E" w:rsidP="00B7182E">
      <w:pPr>
        <w:pStyle w:val="Bezodstpw"/>
        <w:jc w:val="center"/>
        <w:rPr>
          <w:color w:val="000000" w:themeColor="text1"/>
        </w:rPr>
      </w:pPr>
    </w:p>
    <w:p w:rsidR="00B7182E" w:rsidRDefault="00B7182E" w:rsidP="00B7182E">
      <w:pPr>
        <w:pStyle w:val="Bezodstpw"/>
        <w:jc w:val="both"/>
        <w:rPr>
          <w:color w:val="000000" w:themeColor="text1"/>
        </w:rPr>
      </w:pPr>
      <w:r>
        <w:rPr>
          <w:color w:val="000000" w:themeColor="text1"/>
        </w:rPr>
        <w:t xml:space="preserve">W poprzednim ,,Raporcie Tygodniowym” zaprezentowałem wykresy 3 indeksów branżowych obliczanych przez </w:t>
      </w:r>
      <w:r w:rsidRPr="00777FDE">
        <w:rPr>
          <w:color w:val="000000" w:themeColor="text1"/>
        </w:rPr>
        <w:t>polski portal finansowy</w:t>
      </w:r>
      <w:r>
        <w:rPr>
          <w:color w:val="000000" w:themeColor="text1"/>
        </w:rPr>
        <w:t xml:space="preserve"> </w:t>
      </w:r>
      <w:hyperlink r:id="rId24" w:history="1">
        <w:r w:rsidRPr="00C439C1">
          <w:rPr>
            <w:rStyle w:val="Hipercze"/>
          </w:rPr>
          <w:t>http://stooq.pl/</w:t>
        </w:r>
      </w:hyperlink>
      <w:r>
        <w:rPr>
          <w:color w:val="000000" w:themeColor="text1"/>
        </w:rPr>
        <w:t xml:space="preserve">. </w:t>
      </w:r>
      <w:r w:rsidR="000716BF">
        <w:rPr>
          <w:color w:val="000000" w:themeColor="text1"/>
        </w:rPr>
        <w:t xml:space="preserve">Portal </w:t>
      </w:r>
      <w:hyperlink r:id="rId25" w:history="1">
        <w:r w:rsidR="000716BF" w:rsidRPr="003F2724">
          <w:rPr>
            <w:rStyle w:val="Hipercze"/>
          </w:rPr>
          <w:t>http://stooq.pl/</w:t>
        </w:r>
      </w:hyperlink>
      <w:r w:rsidR="000716BF">
        <w:rPr>
          <w:color w:val="000000" w:themeColor="text1"/>
        </w:rPr>
        <w:t xml:space="preserve"> </w:t>
      </w:r>
      <w:r w:rsidRPr="00285724">
        <w:rPr>
          <w:color w:val="000000" w:themeColor="text1"/>
        </w:rPr>
        <w:t xml:space="preserve">prowadzony jest przez </w:t>
      </w:r>
      <w:r>
        <w:rPr>
          <w:color w:val="000000" w:themeColor="text1"/>
        </w:rPr>
        <w:t xml:space="preserve">podmiot gospodarczy </w:t>
      </w:r>
      <w:r w:rsidRPr="00777FDE">
        <w:rPr>
          <w:color w:val="000000" w:themeColor="text1"/>
        </w:rPr>
        <w:t>Akcje.net</w:t>
      </w:r>
      <w:r>
        <w:rPr>
          <w:color w:val="000000" w:themeColor="text1"/>
        </w:rPr>
        <w:t xml:space="preserve"> prowadzony w formie jednoosobowej działalności gospodarczej. </w:t>
      </w:r>
    </w:p>
    <w:p w:rsidR="00B7182E" w:rsidRDefault="00B7182E" w:rsidP="00B7182E">
      <w:pPr>
        <w:pStyle w:val="Bezodstpw"/>
        <w:jc w:val="both"/>
        <w:rPr>
          <w:color w:val="000000" w:themeColor="text1"/>
        </w:rPr>
      </w:pPr>
    </w:p>
    <w:p w:rsidR="00B7182E" w:rsidRDefault="00B7182E" w:rsidP="00B7182E">
      <w:pPr>
        <w:pStyle w:val="Bezodstpw"/>
        <w:jc w:val="both"/>
        <w:rPr>
          <w:color w:val="000000" w:themeColor="text1"/>
        </w:rPr>
      </w:pPr>
      <w:r>
        <w:rPr>
          <w:color w:val="000000" w:themeColor="text1"/>
        </w:rPr>
        <w:t xml:space="preserve">Jedna z sentencji giełdowych mówi: ,,kupuj słabość, sprzedawaj siłę, kupuj pesymizm, sprzedawaj optymizm”. Można też powiedzieć: </w:t>
      </w:r>
      <w:r w:rsidRPr="00777FDE">
        <w:rPr>
          <w:b/>
          <w:color w:val="FF0000"/>
        </w:rPr>
        <w:t>,,kupuj ciszę, sprzedawaj rozgłos”</w:t>
      </w:r>
      <w:r>
        <w:rPr>
          <w:color w:val="000000" w:themeColor="text1"/>
        </w:rPr>
        <w:t xml:space="preserve"> </w:t>
      </w:r>
    </w:p>
    <w:p w:rsidR="00B7182E" w:rsidRDefault="00B7182E" w:rsidP="00B7182E">
      <w:pPr>
        <w:pStyle w:val="Bezodstpw"/>
        <w:jc w:val="both"/>
        <w:rPr>
          <w:color w:val="000000" w:themeColor="text1"/>
        </w:rPr>
      </w:pPr>
    </w:p>
    <w:p w:rsidR="00B7182E" w:rsidRPr="000716BF" w:rsidRDefault="00B7182E" w:rsidP="00B7182E">
      <w:pPr>
        <w:pStyle w:val="Bezodstpw"/>
        <w:jc w:val="both"/>
        <w:rPr>
          <w:color w:val="000000" w:themeColor="text1"/>
        </w:rPr>
      </w:pPr>
      <w:r w:rsidRPr="00333AC4">
        <w:rPr>
          <w:color w:val="000000" w:themeColor="text1"/>
        </w:rPr>
        <w:t>Patrząc na historię notowań na GPW, można zauważyć, że dogodne okazje do kupna pojawiały się wtedy, gdy mało kto wierzył w zwyżki kursów akcji. Z kolei w momencie formowania szczytów często mieliśmy do czynienia z objawami euforii.</w:t>
      </w:r>
      <w:r w:rsidR="000716BF">
        <w:rPr>
          <w:color w:val="000000" w:themeColor="text1"/>
        </w:rPr>
        <w:t xml:space="preserve"> </w:t>
      </w:r>
      <w:r w:rsidRPr="000716BF">
        <w:rPr>
          <w:color w:val="000000" w:themeColor="text1"/>
        </w:rPr>
        <w:t>Stawiam pewną ogólną prognozę. Prognoza ta brzmi: kursy akcji tych spółek o których się teraz mało mówi w mediach zachowają się w okresie kolejnych 12 miesięcy lepiej niż kursy akcji tych spółek o których teraz mówi się w mediach dużo.</w:t>
      </w:r>
    </w:p>
    <w:p w:rsidR="00B7182E" w:rsidRDefault="00B7182E" w:rsidP="00B7182E">
      <w:pPr>
        <w:pStyle w:val="Bezodstpw"/>
        <w:jc w:val="both"/>
        <w:rPr>
          <w:color w:val="000000" w:themeColor="text1"/>
        </w:rPr>
      </w:pPr>
    </w:p>
    <w:p w:rsidR="00B7182E" w:rsidRPr="00777FDE" w:rsidRDefault="00B7182E" w:rsidP="00B7182E">
      <w:pPr>
        <w:pStyle w:val="Bezodstpw"/>
        <w:jc w:val="both"/>
        <w:rPr>
          <w:color w:val="000000" w:themeColor="text1"/>
        </w:rPr>
      </w:pPr>
      <w:r>
        <w:rPr>
          <w:color w:val="000000" w:themeColor="text1"/>
        </w:rPr>
        <w:t xml:space="preserve">Jedną z miar </w:t>
      </w:r>
      <w:r w:rsidRPr="00333AC4">
        <w:rPr>
          <w:color w:val="000000" w:themeColor="text1"/>
        </w:rPr>
        <w:t xml:space="preserve">popularności spółki w mediach </w:t>
      </w:r>
      <w:r>
        <w:rPr>
          <w:color w:val="000000" w:themeColor="text1"/>
        </w:rPr>
        <w:t xml:space="preserve">może być </w:t>
      </w:r>
      <w:r w:rsidRPr="000716BF">
        <w:rPr>
          <w:color w:val="000000" w:themeColor="text1"/>
        </w:rPr>
        <w:t>liczba wpisów (czyli tak zwanych postów) na</w:t>
      </w:r>
      <w:r w:rsidRPr="00777FDE">
        <w:rPr>
          <w:b/>
          <w:color w:val="000000" w:themeColor="text1"/>
        </w:rPr>
        <w:t xml:space="preserve"> </w:t>
      </w:r>
      <w:r w:rsidRPr="000716BF">
        <w:rPr>
          <w:color w:val="000000" w:themeColor="text1"/>
        </w:rPr>
        <w:t>temat danej spółki na forum giełdowym znanego portalu internetowego</w:t>
      </w:r>
      <w:r w:rsidRPr="00333AC4">
        <w:rPr>
          <w:color w:val="000000" w:themeColor="text1"/>
        </w:rPr>
        <w:t xml:space="preserve"> </w:t>
      </w:r>
      <w:hyperlink r:id="rId26" w:history="1">
        <w:r w:rsidRPr="00C439C1">
          <w:rPr>
            <w:rStyle w:val="Hipercze"/>
          </w:rPr>
          <w:t>http://www.bankier.pl/</w:t>
        </w:r>
      </w:hyperlink>
      <w:r>
        <w:rPr>
          <w:color w:val="000000" w:themeColor="text1"/>
        </w:rPr>
        <w:t xml:space="preserve"> </w:t>
      </w:r>
      <w:r w:rsidRPr="00333AC4">
        <w:rPr>
          <w:color w:val="000000" w:themeColor="text1"/>
        </w:rPr>
        <w:t xml:space="preserve"> </w:t>
      </w:r>
      <w:r w:rsidRPr="00777FDE">
        <w:rPr>
          <w:color w:val="000000" w:themeColor="text1"/>
        </w:rPr>
        <w:t>na przestrzeni ostatnich 30 dni.</w:t>
      </w:r>
    </w:p>
    <w:p w:rsidR="00B7182E" w:rsidRDefault="00B7182E" w:rsidP="00B7182E">
      <w:pPr>
        <w:pStyle w:val="Bezodstpw"/>
        <w:jc w:val="center"/>
        <w:rPr>
          <w:color w:val="000000" w:themeColor="text1"/>
        </w:rPr>
      </w:pPr>
    </w:p>
    <w:p w:rsidR="00B7182E" w:rsidRDefault="00B7182E" w:rsidP="00B7182E">
      <w:pPr>
        <w:pStyle w:val="Bezodstpw"/>
        <w:rPr>
          <w:b/>
          <w:color w:val="000000" w:themeColor="text1"/>
          <w:u w:val="single"/>
        </w:rPr>
      </w:pPr>
      <w:r w:rsidRPr="009B5F9A">
        <w:rPr>
          <w:b/>
          <w:color w:val="000000" w:themeColor="text1"/>
          <w:u w:val="single"/>
        </w:rPr>
        <w:t>INDEKS BRANŻY BUDO</w:t>
      </w:r>
      <w:r>
        <w:rPr>
          <w:b/>
          <w:color w:val="000000" w:themeColor="text1"/>
          <w:u w:val="single"/>
        </w:rPr>
        <w:t>W</w:t>
      </w:r>
      <w:r w:rsidRPr="009B5F9A">
        <w:rPr>
          <w:b/>
          <w:color w:val="000000" w:themeColor="text1"/>
          <w:u w:val="single"/>
        </w:rPr>
        <w:t>L</w:t>
      </w:r>
      <w:r>
        <w:rPr>
          <w:b/>
          <w:color w:val="000000" w:themeColor="text1"/>
          <w:u w:val="single"/>
        </w:rPr>
        <w:t>A</w:t>
      </w:r>
      <w:r w:rsidRPr="009B5F9A">
        <w:rPr>
          <w:b/>
          <w:color w:val="000000" w:themeColor="text1"/>
          <w:u w:val="single"/>
        </w:rPr>
        <w:t xml:space="preserve">NEJ </w:t>
      </w:r>
    </w:p>
    <w:p w:rsidR="00B7182E" w:rsidRDefault="00B7182E" w:rsidP="00B7182E">
      <w:pPr>
        <w:pStyle w:val="Bezodstpw"/>
        <w:rPr>
          <w:b/>
          <w:color w:val="000000" w:themeColor="text1"/>
          <w:u w:val="single"/>
        </w:rPr>
      </w:pPr>
    </w:p>
    <w:p w:rsidR="00B7182E" w:rsidRPr="009B5F9A" w:rsidRDefault="00B7182E" w:rsidP="00B7182E">
      <w:pPr>
        <w:pStyle w:val="Bezodstpw"/>
        <w:rPr>
          <w:b/>
          <w:color w:val="000000" w:themeColor="text1"/>
          <w:u w:val="single"/>
        </w:rPr>
      </w:pPr>
      <w:r>
        <w:rPr>
          <w:b/>
          <w:noProof/>
          <w:color w:val="000000" w:themeColor="text1"/>
          <w:u w:val="single"/>
        </w:rPr>
        <w:drawing>
          <wp:inline distT="0" distB="0" distL="0" distR="0">
            <wp:extent cx="3324225" cy="2000250"/>
            <wp:effectExtent l="1905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3324225" cy="2000250"/>
                    </a:xfrm>
                    <a:prstGeom prst="rect">
                      <a:avLst/>
                    </a:prstGeom>
                    <a:noFill/>
                  </pic:spPr>
                </pic:pic>
              </a:graphicData>
            </a:graphic>
          </wp:inline>
        </w:drawing>
      </w:r>
    </w:p>
    <w:p w:rsidR="00B7182E" w:rsidRDefault="00B7182E" w:rsidP="00B7182E">
      <w:pPr>
        <w:pStyle w:val="Bezodstpw"/>
        <w:jc w:val="center"/>
        <w:rPr>
          <w:color w:val="000000" w:themeColor="text1"/>
        </w:rPr>
      </w:pPr>
    </w:p>
    <w:p w:rsidR="00B7182E" w:rsidRDefault="00B7182E" w:rsidP="00B7182E">
      <w:pPr>
        <w:pStyle w:val="Bezodstpw"/>
        <w:jc w:val="both"/>
        <w:rPr>
          <w:color w:val="000000" w:themeColor="text1"/>
        </w:rPr>
      </w:pPr>
      <w:r>
        <w:rPr>
          <w:color w:val="000000" w:themeColor="text1"/>
        </w:rPr>
        <w:t xml:space="preserve">W przypadku wzrostu indeksu branży budowlanej </w:t>
      </w:r>
      <w:r w:rsidRPr="004A313F">
        <w:rPr>
          <w:b/>
          <w:color w:val="FF0000"/>
        </w:rPr>
        <w:t>o 3,2 %</w:t>
      </w:r>
      <w:r>
        <w:rPr>
          <w:color w:val="000000" w:themeColor="text1"/>
        </w:rPr>
        <w:t xml:space="preserve"> doszłoby do wybicia z formacji nietypowego podwójnego dna. </w:t>
      </w:r>
    </w:p>
    <w:p w:rsidR="00B7182E" w:rsidRDefault="00B7182E" w:rsidP="00B7182E">
      <w:pPr>
        <w:pStyle w:val="Bezodstpw"/>
        <w:jc w:val="both"/>
        <w:rPr>
          <w:color w:val="000000" w:themeColor="text1"/>
        </w:rPr>
      </w:pPr>
    </w:p>
    <w:p w:rsidR="00B7182E" w:rsidRDefault="000716BF" w:rsidP="00B7182E">
      <w:pPr>
        <w:pStyle w:val="Bezodstpw"/>
        <w:jc w:val="both"/>
        <w:rPr>
          <w:color w:val="000000" w:themeColor="text1"/>
        </w:rPr>
      </w:pPr>
      <w:r>
        <w:rPr>
          <w:color w:val="000000" w:themeColor="text1"/>
        </w:rPr>
        <w:t xml:space="preserve">Tabela: </w:t>
      </w:r>
      <w:r w:rsidR="00B7182E">
        <w:rPr>
          <w:color w:val="000000" w:themeColor="text1"/>
        </w:rPr>
        <w:t>Liczba</w:t>
      </w:r>
      <w:r w:rsidR="00B7182E" w:rsidRPr="000F3756">
        <w:rPr>
          <w:color w:val="000000" w:themeColor="text1"/>
        </w:rPr>
        <w:t xml:space="preserve"> wpisów (czyli tak zwanych postów) na temat danej spółki na forum giełdowym znanego portalu internetowego </w:t>
      </w:r>
      <w:hyperlink r:id="rId28" w:history="1">
        <w:r w:rsidR="00B7182E" w:rsidRPr="00C439C1">
          <w:rPr>
            <w:rStyle w:val="Hipercze"/>
          </w:rPr>
          <w:t>http://www.bankier.pl/</w:t>
        </w:r>
      </w:hyperlink>
      <w:r w:rsidR="00B7182E">
        <w:rPr>
          <w:color w:val="000000" w:themeColor="text1"/>
        </w:rPr>
        <w:t xml:space="preserve"> </w:t>
      </w:r>
      <w:r w:rsidR="00B7182E" w:rsidRPr="000F3756">
        <w:rPr>
          <w:color w:val="000000" w:themeColor="text1"/>
        </w:rPr>
        <w:t xml:space="preserve"> na przestrzeni ostatnich 30 dni </w:t>
      </w:r>
      <w:r w:rsidR="00B7182E" w:rsidRPr="00154AB8">
        <w:rPr>
          <w:b/>
          <w:color w:val="000000" w:themeColor="text1"/>
          <w:u w:val="single"/>
        </w:rPr>
        <w:t>według stanu na godz. 12.00 w dni 10 maja 2015 roku</w:t>
      </w:r>
      <w:r w:rsidR="00B7182E">
        <w:rPr>
          <w:color w:val="000000" w:themeColor="text1"/>
        </w:rPr>
        <w:t xml:space="preserve">. W tabeli przedstawiono tylko te spółki budowlane, które dotychczas znalazły się w rubryce ,,Wykres do przemyślenia” </w:t>
      </w:r>
    </w:p>
    <w:p w:rsidR="00B7182E" w:rsidRDefault="00B7182E" w:rsidP="00B7182E">
      <w:pPr>
        <w:pStyle w:val="Bezodstpw"/>
        <w:jc w:val="both"/>
        <w:rPr>
          <w:color w:val="000000" w:themeColor="text1"/>
        </w:rPr>
      </w:pPr>
    </w:p>
    <w:tbl>
      <w:tblPr>
        <w:tblStyle w:val="Tabela-Siatka"/>
        <w:tblW w:w="0" w:type="auto"/>
        <w:tblLook w:val="04A0"/>
      </w:tblPr>
      <w:tblGrid>
        <w:gridCol w:w="4606"/>
        <w:gridCol w:w="4606"/>
      </w:tblGrid>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Elektrotim</w:t>
            </w:r>
            <w:proofErr w:type="spellEnd"/>
          </w:p>
        </w:tc>
        <w:tc>
          <w:tcPr>
            <w:tcW w:w="4606" w:type="dxa"/>
          </w:tcPr>
          <w:p w:rsidR="00B7182E" w:rsidRDefault="00B7182E" w:rsidP="0073675B">
            <w:pPr>
              <w:pStyle w:val="Bezodstpw"/>
              <w:jc w:val="center"/>
              <w:rPr>
                <w:color w:val="000000" w:themeColor="text1"/>
              </w:rPr>
            </w:pPr>
            <w:r>
              <w:rPr>
                <w:color w:val="000000" w:themeColor="text1"/>
              </w:rPr>
              <w:t xml:space="preserve">  2 wpisy</w:t>
            </w:r>
          </w:p>
        </w:tc>
      </w:tr>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Erbud</w:t>
            </w:r>
            <w:proofErr w:type="spellEnd"/>
          </w:p>
        </w:tc>
        <w:tc>
          <w:tcPr>
            <w:tcW w:w="4606" w:type="dxa"/>
          </w:tcPr>
          <w:p w:rsidR="00B7182E" w:rsidRDefault="00B7182E" w:rsidP="0073675B">
            <w:pPr>
              <w:pStyle w:val="Bezodstpw"/>
              <w:jc w:val="center"/>
              <w:rPr>
                <w:color w:val="000000" w:themeColor="text1"/>
              </w:rPr>
            </w:pPr>
            <w:r>
              <w:rPr>
                <w:color w:val="000000" w:themeColor="text1"/>
              </w:rPr>
              <w:t>1 wpis</w:t>
            </w:r>
          </w:p>
        </w:tc>
      </w:tr>
      <w:tr w:rsidR="00B7182E" w:rsidTr="0073675B">
        <w:tc>
          <w:tcPr>
            <w:tcW w:w="4606" w:type="dxa"/>
          </w:tcPr>
          <w:p w:rsidR="00B7182E" w:rsidRDefault="00B7182E" w:rsidP="0073675B">
            <w:pPr>
              <w:pStyle w:val="Bezodstpw"/>
              <w:jc w:val="center"/>
              <w:rPr>
                <w:color w:val="000000" w:themeColor="text1"/>
              </w:rPr>
            </w:pPr>
            <w:r>
              <w:rPr>
                <w:color w:val="000000" w:themeColor="text1"/>
              </w:rPr>
              <w:t>Mostostal Warszawa</w:t>
            </w:r>
          </w:p>
        </w:tc>
        <w:tc>
          <w:tcPr>
            <w:tcW w:w="4606" w:type="dxa"/>
          </w:tcPr>
          <w:p w:rsidR="00B7182E" w:rsidRDefault="00B7182E" w:rsidP="0073675B">
            <w:pPr>
              <w:pStyle w:val="Bezodstpw"/>
              <w:jc w:val="center"/>
              <w:rPr>
                <w:color w:val="000000" w:themeColor="text1"/>
              </w:rPr>
            </w:pPr>
            <w:r>
              <w:rPr>
                <w:color w:val="000000" w:themeColor="text1"/>
              </w:rPr>
              <w:t xml:space="preserve">    61 wpisów</w:t>
            </w:r>
          </w:p>
        </w:tc>
      </w:tr>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Tesgas</w:t>
            </w:r>
            <w:proofErr w:type="spellEnd"/>
          </w:p>
        </w:tc>
        <w:tc>
          <w:tcPr>
            <w:tcW w:w="4606" w:type="dxa"/>
          </w:tcPr>
          <w:p w:rsidR="00B7182E" w:rsidRDefault="00B7182E" w:rsidP="0073675B">
            <w:pPr>
              <w:pStyle w:val="Bezodstpw"/>
              <w:jc w:val="center"/>
              <w:rPr>
                <w:color w:val="000000" w:themeColor="text1"/>
              </w:rPr>
            </w:pPr>
            <w:r>
              <w:rPr>
                <w:color w:val="000000" w:themeColor="text1"/>
              </w:rPr>
              <w:t xml:space="preserve">  3 wpisy</w:t>
            </w:r>
          </w:p>
        </w:tc>
      </w:tr>
    </w:tbl>
    <w:p w:rsidR="00B7182E" w:rsidRDefault="00B7182E" w:rsidP="00B7182E">
      <w:pPr>
        <w:pStyle w:val="Bezodstpw"/>
        <w:jc w:val="both"/>
        <w:rPr>
          <w:color w:val="000000" w:themeColor="text1"/>
        </w:rPr>
      </w:pPr>
    </w:p>
    <w:p w:rsidR="00B7182E" w:rsidRDefault="00B7182E" w:rsidP="00B7182E">
      <w:pPr>
        <w:pStyle w:val="Bezodstpw"/>
        <w:jc w:val="both"/>
        <w:rPr>
          <w:color w:val="000000" w:themeColor="text1"/>
        </w:rPr>
      </w:pPr>
      <w:r>
        <w:rPr>
          <w:color w:val="000000" w:themeColor="text1"/>
        </w:rPr>
        <w:t xml:space="preserve">Źródło: </w:t>
      </w:r>
      <w:hyperlink r:id="rId29" w:history="1">
        <w:r w:rsidRPr="00C439C1">
          <w:rPr>
            <w:rStyle w:val="Hipercze"/>
          </w:rPr>
          <w:t>http://www.bankier.pl/gielda/notowania/ranking-popularnosci</w:t>
        </w:r>
      </w:hyperlink>
      <w:r>
        <w:rPr>
          <w:color w:val="000000" w:themeColor="text1"/>
        </w:rPr>
        <w:t xml:space="preserve"> </w:t>
      </w:r>
    </w:p>
    <w:p w:rsidR="00B7182E" w:rsidRDefault="00B7182E" w:rsidP="00B7182E">
      <w:pPr>
        <w:pStyle w:val="Bezodstpw"/>
        <w:jc w:val="both"/>
        <w:rPr>
          <w:color w:val="000000" w:themeColor="text1"/>
        </w:rPr>
      </w:pPr>
      <w:r>
        <w:rPr>
          <w:color w:val="000000" w:themeColor="text1"/>
        </w:rPr>
        <w:t xml:space="preserve">(identyczne źródło wykorzystano przy tworzeniu 2 następnych tabel) </w:t>
      </w:r>
    </w:p>
    <w:p w:rsidR="000716BF" w:rsidRDefault="000716BF" w:rsidP="00B7182E">
      <w:pPr>
        <w:pStyle w:val="Bezodstpw"/>
        <w:jc w:val="both"/>
        <w:rPr>
          <w:color w:val="000000" w:themeColor="text1"/>
        </w:rPr>
      </w:pPr>
    </w:p>
    <w:p w:rsidR="00B7182E" w:rsidRDefault="00B7182E" w:rsidP="00B7182E">
      <w:pPr>
        <w:pStyle w:val="Bezodstpw"/>
        <w:rPr>
          <w:b/>
          <w:color w:val="000000" w:themeColor="text1"/>
          <w:u w:val="single"/>
        </w:rPr>
      </w:pPr>
      <w:r>
        <w:rPr>
          <w:b/>
          <w:color w:val="000000" w:themeColor="text1"/>
          <w:u w:val="single"/>
        </w:rPr>
        <w:lastRenderedPageBreak/>
        <w:t xml:space="preserve">INDEKS BRANŻY INFORMATYCZNEJ </w:t>
      </w:r>
    </w:p>
    <w:p w:rsidR="00B7182E" w:rsidRDefault="00B7182E" w:rsidP="00B7182E">
      <w:pPr>
        <w:pStyle w:val="Bezodstpw"/>
        <w:rPr>
          <w:b/>
          <w:color w:val="000000" w:themeColor="text1"/>
          <w:u w:val="single"/>
        </w:rPr>
      </w:pPr>
    </w:p>
    <w:p w:rsidR="00B7182E" w:rsidRPr="009B5F9A" w:rsidRDefault="00B7182E" w:rsidP="00B7182E">
      <w:pPr>
        <w:pStyle w:val="Bezodstpw"/>
        <w:rPr>
          <w:b/>
          <w:color w:val="000000" w:themeColor="text1"/>
          <w:u w:val="single"/>
        </w:rPr>
      </w:pPr>
      <w:r>
        <w:rPr>
          <w:b/>
          <w:noProof/>
          <w:color w:val="000000" w:themeColor="text1"/>
          <w:u w:val="single"/>
        </w:rPr>
        <w:drawing>
          <wp:inline distT="0" distB="0" distL="0" distR="0">
            <wp:extent cx="3324225" cy="2000250"/>
            <wp:effectExtent l="19050" t="0" r="952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3324225" cy="2000250"/>
                    </a:xfrm>
                    <a:prstGeom prst="rect">
                      <a:avLst/>
                    </a:prstGeom>
                    <a:noFill/>
                  </pic:spPr>
                </pic:pic>
              </a:graphicData>
            </a:graphic>
          </wp:inline>
        </w:drawing>
      </w:r>
    </w:p>
    <w:p w:rsidR="00B7182E" w:rsidRDefault="00B7182E" w:rsidP="00B7182E">
      <w:pPr>
        <w:pStyle w:val="Bezodstpw"/>
        <w:jc w:val="center"/>
        <w:rPr>
          <w:color w:val="000000" w:themeColor="text1"/>
        </w:rPr>
      </w:pPr>
    </w:p>
    <w:p w:rsidR="00B7182E" w:rsidRDefault="000716BF" w:rsidP="00B7182E">
      <w:pPr>
        <w:pStyle w:val="Bezodstpw"/>
        <w:jc w:val="both"/>
        <w:rPr>
          <w:color w:val="000000" w:themeColor="text1"/>
        </w:rPr>
      </w:pPr>
      <w:r>
        <w:rPr>
          <w:color w:val="000000" w:themeColor="text1"/>
        </w:rPr>
        <w:t xml:space="preserve">Tabela: </w:t>
      </w:r>
      <w:r w:rsidR="00B7182E">
        <w:rPr>
          <w:color w:val="000000" w:themeColor="text1"/>
        </w:rPr>
        <w:t xml:space="preserve">W przypadku wzrostu indeksu branży informatycznej </w:t>
      </w:r>
      <w:r w:rsidR="00B7182E" w:rsidRPr="00461EDD">
        <w:rPr>
          <w:b/>
          <w:color w:val="FF0000"/>
        </w:rPr>
        <w:t>o 5,6 %</w:t>
      </w:r>
      <w:r w:rsidR="00B7182E">
        <w:rPr>
          <w:color w:val="000000" w:themeColor="text1"/>
        </w:rPr>
        <w:t xml:space="preserve"> doszłoby do wybicia z formacji nietypowego podwójnego dna. Liczba</w:t>
      </w:r>
      <w:r w:rsidR="00B7182E" w:rsidRPr="000F3756">
        <w:rPr>
          <w:color w:val="000000" w:themeColor="text1"/>
        </w:rPr>
        <w:t xml:space="preserve"> wpisów (czyli tak zwanych postów) na temat danej spółki na forum giełdowym znanego portalu internetowego </w:t>
      </w:r>
      <w:hyperlink r:id="rId31" w:history="1">
        <w:r w:rsidR="00B7182E" w:rsidRPr="00C439C1">
          <w:rPr>
            <w:rStyle w:val="Hipercze"/>
          </w:rPr>
          <w:t>http://www.bankier.pl/</w:t>
        </w:r>
      </w:hyperlink>
      <w:r w:rsidR="00B7182E">
        <w:rPr>
          <w:color w:val="000000" w:themeColor="text1"/>
        </w:rPr>
        <w:t xml:space="preserve"> </w:t>
      </w:r>
      <w:r w:rsidR="00B7182E" w:rsidRPr="000F3756">
        <w:rPr>
          <w:color w:val="000000" w:themeColor="text1"/>
        </w:rPr>
        <w:t xml:space="preserve"> na przestrzeni ostatnich 30 dni </w:t>
      </w:r>
      <w:r w:rsidR="00B7182E" w:rsidRPr="00154AB8">
        <w:rPr>
          <w:b/>
          <w:color w:val="000000" w:themeColor="text1"/>
          <w:u w:val="single"/>
        </w:rPr>
        <w:t>według stanu na godz. 12.00 w dni 10 maja 2015 roku</w:t>
      </w:r>
      <w:r w:rsidR="00B7182E">
        <w:rPr>
          <w:color w:val="000000" w:themeColor="text1"/>
        </w:rPr>
        <w:t xml:space="preserve">. W tabeli przedstawiono tylko te spółki informatyczne, które dotychczas znalazły się w rubryce ,,Wykres do przemyślenia” </w:t>
      </w:r>
    </w:p>
    <w:p w:rsidR="00B7182E" w:rsidRDefault="00B7182E" w:rsidP="00B7182E">
      <w:pPr>
        <w:pStyle w:val="Bezodstpw"/>
        <w:jc w:val="both"/>
        <w:rPr>
          <w:color w:val="000000" w:themeColor="text1"/>
        </w:rPr>
      </w:pPr>
    </w:p>
    <w:tbl>
      <w:tblPr>
        <w:tblStyle w:val="Tabela-Siatka"/>
        <w:tblW w:w="0" w:type="auto"/>
        <w:tblLook w:val="04A0"/>
      </w:tblPr>
      <w:tblGrid>
        <w:gridCol w:w="4606"/>
        <w:gridCol w:w="4606"/>
      </w:tblGrid>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Asseco</w:t>
            </w:r>
            <w:proofErr w:type="spellEnd"/>
            <w:r>
              <w:rPr>
                <w:color w:val="000000" w:themeColor="text1"/>
              </w:rPr>
              <w:t xml:space="preserve"> Poland </w:t>
            </w:r>
          </w:p>
        </w:tc>
        <w:tc>
          <w:tcPr>
            <w:tcW w:w="4606" w:type="dxa"/>
          </w:tcPr>
          <w:p w:rsidR="00B7182E" w:rsidRDefault="00B7182E" w:rsidP="0073675B">
            <w:pPr>
              <w:pStyle w:val="Bezodstpw"/>
              <w:jc w:val="center"/>
              <w:rPr>
                <w:color w:val="000000" w:themeColor="text1"/>
              </w:rPr>
            </w:pPr>
            <w:r>
              <w:rPr>
                <w:color w:val="000000" w:themeColor="text1"/>
              </w:rPr>
              <w:t xml:space="preserve">        6 wpisów</w:t>
            </w:r>
          </w:p>
        </w:tc>
      </w:tr>
      <w:tr w:rsidR="00B7182E" w:rsidTr="0073675B">
        <w:tc>
          <w:tcPr>
            <w:tcW w:w="4606" w:type="dxa"/>
          </w:tcPr>
          <w:p w:rsidR="00B7182E" w:rsidRDefault="00B7182E" w:rsidP="0073675B">
            <w:pPr>
              <w:pStyle w:val="Bezodstpw"/>
              <w:jc w:val="center"/>
              <w:rPr>
                <w:color w:val="000000" w:themeColor="text1"/>
              </w:rPr>
            </w:pPr>
            <w:r>
              <w:rPr>
                <w:color w:val="000000" w:themeColor="text1"/>
              </w:rPr>
              <w:t xml:space="preserve">CD Projekt </w:t>
            </w:r>
          </w:p>
        </w:tc>
        <w:tc>
          <w:tcPr>
            <w:tcW w:w="4606" w:type="dxa"/>
          </w:tcPr>
          <w:p w:rsidR="00B7182E" w:rsidRDefault="00B7182E" w:rsidP="0073675B">
            <w:pPr>
              <w:pStyle w:val="Bezodstpw"/>
              <w:jc w:val="center"/>
              <w:rPr>
                <w:color w:val="000000" w:themeColor="text1"/>
              </w:rPr>
            </w:pPr>
            <w:r>
              <w:rPr>
                <w:color w:val="000000" w:themeColor="text1"/>
              </w:rPr>
              <w:t>1 499 wpisów</w:t>
            </w:r>
          </w:p>
        </w:tc>
      </w:tr>
      <w:tr w:rsidR="00B7182E" w:rsidTr="0073675B">
        <w:tc>
          <w:tcPr>
            <w:tcW w:w="4606" w:type="dxa"/>
          </w:tcPr>
          <w:p w:rsidR="00B7182E" w:rsidRDefault="00B7182E" w:rsidP="0073675B">
            <w:pPr>
              <w:pStyle w:val="Bezodstpw"/>
              <w:jc w:val="center"/>
              <w:rPr>
                <w:color w:val="000000" w:themeColor="text1"/>
              </w:rPr>
            </w:pPr>
            <w:r>
              <w:rPr>
                <w:color w:val="000000" w:themeColor="text1"/>
              </w:rPr>
              <w:t xml:space="preserve">Comarch </w:t>
            </w:r>
          </w:p>
        </w:tc>
        <w:tc>
          <w:tcPr>
            <w:tcW w:w="4606" w:type="dxa"/>
          </w:tcPr>
          <w:p w:rsidR="00B7182E" w:rsidRDefault="00B7182E" w:rsidP="0073675B">
            <w:pPr>
              <w:pStyle w:val="Bezodstpw"/>
              <w:jc w:val="center"/>
              <w:rPr>
                <w:color w:val="000000" w:themeColor="text1"/>
              </w:rPr>
            </w:pPr>
            <w:r>
              <w:rPr>
                <w:color w:val="000000" w:themeColor="text1"/>
              </w:rPr>
              <w:t xml:space="preserve">     10 wpisów</w:t>
            </w:r>
          </w:p>
        </w:tc>
      </w:tr>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Procad</w:t>
            </w:r>
            <w:proofErr w:type="spellEnd"/>
            <w:r>
              <w:rPr>
                <w:color w:val="000000" w:themeColor="text1"/>
              </w:rPr>
              <w:t xml:space="preserve"> </w:t>
            </w:r>
          </w:p>
        </w:tc>
        <w:tc>
          <w:tcPr>
            <w:tcW w:w="4606" w:type="dxa"/>
          </w:tcPr>
          <w:p w:rsidR="00B7182E" w:rsidRDefault="00B7182E" w:rsidP="0073675B">
            <w:pPr>
              <w:pStyle w:val="Bezodstpw"/>
              <w:jc w:val="center"/>
              <w:rPr>
                <w:color w:val="000000" w:themeColor="text1"/>
              </w:rPr>
            </w:pPr>
            <w:r>
              <w:rPr>
                <w:color w:val="000000" w:themeColor="text1"/>
              </w:rPr>
              <w:t xml:space="preserve">     35 wpisów</w:t>
            </w:r>
          </w:p>
        </w:tc>
      </w:tr>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Sygnity</w:t>
            </w:r>
            <w:proofErr w:type="spellEnd"/>
          </w:p>
        </w:tc>
        <w:tc>
          <w:tcPr>
            <w:tcW w:w="4606" w:type="dxa"/>
          </w:tcPr>
          <w:p w:rsidR="00B7182E" w:rsidRDefault="00B7182E" w:rsidP="0073675B">
            <w:pPr>
              <w:pStyle w:val="Bezodstpw"/>
              <w:jc w:val="center"/>
              <w:rPr>
                <w:color w:val="000000" w:themeColor="text1"/>
              </w:rPr>
            </w:pPr>
            <w:r>
              <w:rPr>
                <w:color w:val="000000" w:themeColor="text1"/>
              </w:rPr>
              <w:t xml:space="preserve">    345 wpisów</w:t>
            </w:r>
          </w:p>
        </w:tc>
      </w:tr>
    </w:tbl>
    <w:p w:rsidR="00B7182E" w:rsidRDefault="00B7182E" w:rsidP="00B7182E">
      <w:pPr>
        <w:pStyle w:val="Bezodstpw"/>
        <w:jc w:val="both"/>
        <w:rPr>
          <w:color w:val="000000" w:themeColor="text1"/>
        </w:rPr>
      </w:pPr>
    </w:p>
    <w:p w:rsidR="00B7182E" w:rsidRDefault="00B7182E" w:rsidP="00B7182E">
      <w:pPr>
        <w:pStyle w:val="Bezodstpw"/>
        <w:rPr>
          <w:b/>
          <w:color w:val="000000" w:themeColor="text1"/>
          <w:u w:val="single"/>
        </w:rPr>
      </w:pPr>
      <w:r>
        <w:rPr>
          <w:b/>
          <w:color w:val="000000" w:themeColor="text1"/>
          <w:u w:val="single"/>
        </w:rPr>
        <w:t xml:space="preserve">INDEKS BRANŻY MEDIALNEJ </w:t>
      </w:r>
    </w:p>
    <w:p w:rsidR="00B7182E" w:rsidRDefault="00B7182E" w:rsidP="00B7182E">
      <w:pPr>
        <w:pStyle w:val="Bezodstpw"/>
        <w:rPr>
          <w:b/>
          <w:color w:val="000000" w:themeColor="text1"/>
          <w:u w:val="single"/>
        </w:rPr>
      </w:pPr>
    </w:p>
    <w:p w:rsidR="00B7182E" w:rsidRPr="009B5F9A" w:rsidRDefault="00B7182E" w:rsidP="00B7182E">
      <w:pPr>
        <w:pStyle w:val="Bezodstpw"/>
        <w:rPr>
          <w:b/>
          <w:color w:val="000000" w:themeColor="text1"/>
          <w:u w:val="single"/>
        </w:rPr>
      </w:pPr>
      <w:r>
        <w:rPr>
          <w:b/>
          <w:noProof/>
          <w:color w:val="000000" w:themeColor="text1"/>
          <w:u w:val="single"/>
        </w:rPr>
        <w:drawing>
          <wp:inline distT="0" distB="0" distL="0" distR="0">
            <wp:extent cx="3324225" cy="2000250"/>
            <wp:effectExtent l="19050" t="0" r="9525"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3324225" cy="2000250"/>
                    </a:xfrm>
                    <a:prstGeom prst="rect">
                      <a:avLst/>
                    </a:prstGeom>
                    <a:noFill/>
                  </pic:spPr>
                </pic:pic>
              </a:graphicData>
            </a:graphic>
          </wp:inline>
        </w:drawing>
      </w:r>
    </w:p>
    <w:p w:rsidR="00B7182E" w:rsidRDefault="00B7182E" w:rsidP="00B7182E">
      <w:pPr>
        <w:pStyle w:val="Bezodstpw"/>
        <w:jc w:val="center"/>
        <w:rPr>
          <w:color w:val="000000" w:themeColor="text1"/>
        </w:rPr>
      </w:pPr>
    </w:p>
    <w:p w:rsidR="00B7182E" w:rsidRDefault="000716BF" w:rsidP="00B7182E">
      <w:pPr>
        <w:pStyle w:val="Bezodstpw"/>
        <w:jc w:val="both"/>
        <w:rPr>
          <w:color w:val="000000" w:themeColor="text1"/>
        </w:rPr>
      </w:pPr>
      <w:r>
        <w:rPr>
          <w:color w:val="000000" w:themeColor="text1"/>
        </w:rPr>
        <w:t xml:space="preserve">Tabela: </w:t>
      </w:r>
      <w:r w:rsidR="00B7182E">
        <w:rPr>
          <w:color w:val="000000" w:themeColor="text1"/>
        </w:rPr>
        <w:t xml:space="preserve">W przypadku wzrostu indeksu branży medialnej </w:t>
      </w:r>
      <w:r w:rsidR="00B7182E" w:rsidRPr="003A1120">
        <w:rPr>
          <w:b/>
          <w:color w:val="FF0000"/>
        </w:rPr>
        <w:t>o 5,8 %</w:t>
      </w:r>
      <w:r w:rsidR="00B7182E">
        <w:rPr>
          <w:color w:val="000000" w:themeColor="text1"/>
        </w:rPr>
        <w:t xml:space="preserve"> doszłoby do wybicia z formacji nietypowego podwójnego dna. Liczba</w:t>
      </w:r>
      <w:r w:rsidR="00B7182E" w:rsidRPr="000F3756">
        <w:rPr>
          <w:color w:val="000000" w:themeColor="text1"/>
        </w:rPr>
        <w:t xml:space="preserve"> wpisów (czyli tak zwanych postów) na temat danej spółki na forum giełdowym znanego portalu internetowego </w:t>
      </w:r>
      <w:hyperlink r:id="rId33" w:history="1">
        <w:r w:rsidR="00B7182E" w:rsidRPr="00C439C1">
          <w:rPr>
            <w:rStyle w:val="Hipercze"/>
          </w:rPr>
          <w:t>http://www.bankier.pl/</w:t>
        </w:r>
      </w:hyperlink>
      <w:r w:rsidR="00B7182E">
        <w:rPr>
          <w:color w:val="000000" w:themeColor="text1"/>
        </w:rPr>
        <w:t xml:space="preserve"> </w:t>
      </w:r>
      <w:r w:rsidR="00B7182E" w:rsidRPr="000F3756">
        <w:rPr>
          <w:color w:val="000000" w:themeColor="text1"/>
        </w:rPr>
        <w:t xml:space="preserve"> na przestrzeni ostatnich 30 dni </w:t>
      </w:r>
      <w:r w:rsidR="00B7182E" w:rsidRPr="00154AB8">
        <w:rPr>
          <w:b/>
          <w:color w:val="000000" w:themeColor="text1"/>
          <w:u w:val="single"/>
        </w:rPr>
        <w:t>według stanu na godz. 12.00 w dni 10 maja 2015 roku</w:t>
      </w:r>
      <w:r w:rsidR="00B7182E">
        <w:rPr>
          <w:color w:val="000000" w:themeColor="text1"/>
        </w:rPr>
        <w:t xml:space="preserve">. W tabeli przedstawiono tylko te spółki medialne, które dotychczas znalazły się w rubryce ,,Wykres do przemyślenia” </w:t>
      </w:r>
    </w:p>
    <w:p w:rsidR="00B7182E" w:rsidRDefault="00B7182E" w:rsidP="00B7182E">
      <w:pPr>
        <w:pStyle w:val="Bezodstpw"/>
        <w:jc w:val="both"/>
        <w:rPr>
          <w:color w:val="000000" w:themeColor="text1"/>
        </w:rPr>
      </w:pPr>
    </w:p>
    <w:tbl>
      <w:tblPr>
        <w:tblStyle w:val="Tabela-Siatka"/>
        <w:tblW w:w="0" w:type="auto"/>
        <w:tblLook w:val="04A0"/>
      </w:tblPr>
      <w:tblGrid>
        <w:gridCol w:w="4606"/>
        <w:gridCol w:w="4606"/>
      </w:tblGrid>
      <w:tr w:rsidR="00B7182E" w:rsidTr="0073675B">
        <w:tc>
          <w:tcPr>
            <w:tcW w:w="4606" w:type="dxa"/>
          </w:tcPr>
          <w:p w:rsidR="00B7182E" w:rsidRDefault="00B7182E" w:rsidP="0073675B">
            <w:pPr>
              <w:pStyle w:val="Bezodstpw"/>
              <w:jc w:val="center"/>
              <w:rPr>
                <w:color w:val="000000" w:themeColor="text1"/>
              </w:rPr>
            </w:pPr>
            <w:r>
              <w:rPr>
                <w:color w:val="000000" w:themeColor="text1"/>
              </w:rPr>
              <w:t xml:space="preserve">Muza </w:t>
            </w:r>
          </w:p>
        </w:tc>
        <w:tc>
          <w:tcPr>
            <w:tcW w:w="4606" w:type="dxa"/>
          </w:tcPr>
          <w:p w:rsidR="00B7182E" w:rsidRDefault="00B7182E" w:rsidP="0073675B">
            <w:pPr>
              <w:pStyle w:val="Bezodstpw"/>
              <w:jc w:val="center"/>
              <w:rPr>
                <w:color w:val="000000" w:themeColor="text1"/>
              </w:rPr>
            </w:pPr>
            <w:r>
              <w:rPr>
                <w:color w:val="000000" w:themeColor="text1"/>
              </w:rPr>
              <w:t xml:space="preserve">  2 wpisy</w:t>
            </w:r>
          </w:p>
        </w:tc>
      </w:tr>
      <w:tr w:rsidR="00B7182E" w:rsidTr="0073675B">
        <w:tc>
          <w:tcPr>
            <w:tcW w:w="4606" w:type="dxa"/>
          </w:tcPr>
          <w:p w:rsidR="00B7182E" w:rsidRDefault="00B7182E" w:rsidP="0073675B">
            <w:pPr>
              <w:pStyle w:val="Bezodstpw"/>
              <w:jc w:val="center"/>
              <w:rPr>
                <w:color w:val="000000" w:themeColor="text1"/>
              </w:rPr>
            </w:pPr>
            <w:proofErr w:type="spellStart"/>
            <w:r>
              <w:rPr>
                <w:color w:val="000000" w:themeColor="text1"/>
              </w:rPr>
              <w:t>Netmedia</w:t>
            </w:r>
            <w:proofErr w:type="spellEnd"/>
            <w:r>
              <w:rPr>
                <w:color w:val="000000" w:themeColor="text1"/>
              </w:rPr>
              <w:t xml:space="preserve"> </w:t>
            </w:r>
          </w:p>
        </w:tc>
        <w:tc>
          <w:tcPr>
            <w:tcW w:w="4606" w:type="dxa"/>
          </w:tcPr>
          <w:p w:rsidR="00B7182E" w:rsidRDefault="00B7182E" w:rsidP="0073675B">
            <w:pPr>
              <w:pStyle w:val="Bezodstpw"/>
              <w:jc w:val="center"/>
              <w:rPr>
                <w:color w:val="000000" w:themeColor="text1"/>
              </w:rPr>
            </w:pPr>
            <w:r>
              <w:rPr>
                <w:color w:val="000000" w:themeColor="text1"/>
              </w:rPr>
              <w:t>1 wpis</w:t>
            </w:r>
          </w:p>
        </w:tc>
      </w:tr>
    </w:tbl>
    <w:p w:rsidR="00B7182E" w:rsidRDefault="00B7182E" w:rsidP="00B7182E">
      <w:pPr>
        <w:pStyle w:val="Bezodstpw"/>
        <w:jc w:val="both"/>
      </w:pPr>
    </w:p>
    <w:p w:rsidR="005A3E54" w:rsidRPr="00EE402E" w:rsidRDefault="005A3E54" w:rsidP="005A3E54">
      <w:pPr>
        <w:pStyle w:val="Bezodstpw"/>
        <w:jc w:val="both"/>
        <w:rPr>
          <w:sz w:val="40"/>
          <w:szCs w:val="40"/>
        </w:rPr>
      </w:pPr>
      <w:r w:rsidRPr="00EE402E">
        <w:rPr>
          <w:sz w:val="40"/>
          <w:szCs w:val="40"/>
        </w:rPr>
        <w:lastRenderedPageBreak/>
        <w:t>Przed wnioskami końcowymi…..</w:t>
      </w:r>
    </w:p>
    <w:p w:rsidR="005A3E54" w:rsidRPr="00EE402E" w:rsidRDefault="005A3E54" w:rsidP="005A3E54">
      <w:pPr>
        <w:pStyle w:val="Bezodstpw"/>
        <w:jc w:val="both"/>
        <w:rPr>
          <w:sz w:val="40"/>
          <w:szCs w:val="40"/>
        </w:rPr>
      </w:pPr>
    </w:p>
    <w:p w:rsidR="005A3E54" w:rsidRPr="00EE402E" w:rsidRDefault="005A3E54" w:rsidP="005A3E54">
      <w:pPr>
        <w:pStyle w:val="Bezodstpw"/>
        <w:jc w:val="both"/>
        <w:rPr>
          <w:sz w:val="40"/>
          <w:szCs w:val="40"/>
        </w:rPr>
      </w:pPr>
      <w:r w:rsidRPr="00EE402E">
        <w:rPr>
          <w:sz w:val="40"/>
          <w:szCs w:val="40"/>
        </w:rPr>
        <w:t>Szanowni Państwo !,</w:t>
      </w:r>
    </w:p>
    <w:p w:rsidR="005A3E54" w:rsidRPr="00EE402E" w:rsidRDefault="005A3E54" w:rsidP="005A3E54">
      <w:pPr>
        <w:pStyle w:val="Bezodstpw"/>
        <w:jc w:val="both"/>
        <w:rPr>
          <w:sz w:val="40"/>
          <w:szCs w:val="40"/>
        </w:rPr>
      </w:pPr>
    </w:p>
    <w:p w:rsidR="005A3E54" w:rsidRPr="00EE402E" w:rsidRDefault="005A3E54" w:rsidP="005A3E54">
      <w:pPr>
        <w:pStyle w:val="Bezodstpw"/>
        <w:jc w:val="both"/>
        <w:rPr>
          <w:sz w:val="40"/>
          <w:szCs w:val="40"/>
        </w:rPr>
      </w:pPr>
      <w:r w:rsidRPr="00EE402E">
        <w:rPr>
          <w:sz w:val="40"/>
          <w:szCs w:val="40"/>
        </w:rPr>
        <w:t xml:space="preserve">Po przekształceniach graficznych strony internetowej </w:t>
      </w:r>
      <w:hyperlink r:id="rId34" w:history="1">
        <w:r w:rsidRPr="00EE402E">
          <w:rPr>
            <w:rStyle w:val="Hipercze"/>
            <w:sz w:val="40"/>
            <w:szCs w:val="40"/>
          </w:rPr>
          <w:t>http://analizy-rynkowe.pl/</w:t>
        </w:r>
      </w:hyperlink>
      <w:r w:rsidRPr="00EE402E">
        <w:rPr>
          <w:sz w:val="40"/>
          <w:szCs w:val="40"/>
        </w:rPr>
        <w:t xml:space="preserve"> pojawiła się (od 13 kwietnia) możliwość, polegająca na tym, że wypełniając na dole </w:t>
      </w:r>
      <w:r>
        <w:rPr>
          <w:sz w:val="40"/>
          <w:szCs w:val="40"/>
        </w:rPr>
        <w:t xml:space="preserve">tej </w:t>
      </w:r>
      <w:r w:rsidRPr="00EE402E">
        <w:rPr>
          <w:sz w:val="40"/>
          <w:szCs w:val="40"/>
        </w:rPr>
        <w:t xml:space="preserve">strony rubrykę ,,Zapisz się do </w:t>
      </w:r>
      <w:proofErr w:type="spellStart"/>
      <w:r w:rsidRPr="00EE402E">
        <w:rPr>
          <w:sz w:val="40"/>
          <w:szCs w:val="40"/>
        </w:rPr>
        <w:t>Newslettera</w:t>
      </w:r>
      <w:proofErr w:type="spellEnd"/>
      <w:r w:rsidRPr="00EE402E">
        <w:rPr>
          <w:sz w:val="40"/>
          <w:szCs w:val="40"/>
        </w:rPr>
        <w:t xml:space="preserve">” i podając swój e-mail można otrzymywać co pewien czas pewne informacje związane z funkcjonowaniem strony internetowej </w:t>
      </w:r>
      <w:hyperlink r:id="rId35" w:history="1">
        <w:r w:rsidRPr="00EE402E">
          <w:rPr>
            <w:rStyle w:val="Hipercze"/>
            <w:sz w:val="40"/>
            <w:szCs w:val="40"/>
          </w:rPr>
          <w:t>http://analizy-rynkowe.pl/</w:t>
        </w:r>
      </w:hyperlink>
      <w:r w:rsidRPr="00EE402E">
        <w:rPr>
          <w:sz w:val="40"/>
          <w:szCs w:val="40"/>
        </w:rPr>
        <w:t xml:space="preserve"> na które chciałbym zwrócić </w:t>
      </w:r>
      <w:r w:rsidRPr="00EE402E">
        <w:rPr>
          <w:b/>
          <w:color w:val="FF0000"/>
          <w:sz w:val="40"/>
          <w:szCs w:val="40"/>
        </w:rPr>
        <w:t>szczególną uwagę</w:t>
      </w:r>
      <w:r w:rsidRPr="00EE402E">
        <w:rPr>
          <w:sz w:val="40"/>
          <w:szCs w:val="40"/>
        </w:rPr>
        <w:t>…</w:t>
      </w:r>
    </w:p>
    <w:p w:rsidR="005A3E54" w:rsidRPr="00EE402E" w:rsidRDefault="005A3E54" w:rsidP="005A3E54">
      <w:pPr>
        <w:pStyle w:val="Bezodstpw"/>
        <w:jc w:val="both"/>
        <w:rPr>
          <w:sz w:val="40"/>
          <w:szCs w:val="40"/>
        </w:rPr>
      </w:pPr>
    </w:p>
    <w:p w:rsidR="005A3E54" w:rsidRPr="00EE402E" w:rsidRDefault="005A3E54" w:rsidP="005A3E54">
      <w:pPr>
        <w:pStyle w:val="Bezodstpw"/>
        <w:jc w:val="both"/>
        <w:rPr>
          <w:sz w:val="40"/>
          <w:szCs w:val="40"/>
        </w:rPr>
      </w:pPr>
      <w:r w:rsidRPr="00EE402E">
        <w:rPr>
          <w:sz w:val="40"/>
          <w:szCs w:val="40"/>
        </w:rPr>
        <w:t xml:space="preserve">Jakiś czas temu założyłem swój profil na </w:t>
      </w:r>
      <w:proofErr w:type="spellStart"/>
      <w:r w:rsidRPr="00EE402E">
        <w:rPr>
          <w:b/>
          <w:color w:val="FF0000"/>
          <w:sz w:val="40"/>
          <w:szCs w:val="40"/>
        </w:rPr>
        <w:t>Facebooku</w:t>
      </w:r>
      <w:proofErr w:type="spellEnd"/>
      <w:r w:rsidRPr="00EE402E">
        <w:rPr>
          <w:sz w:val="40"/>
          <w:szCs w:val="40"/>
        </w:rPr>
        <w:t xml:space="preserve">. W tej sytuacji  kontaktu ze mną możliwy jest także za pomocą tego medium </w:t>
      </w:r>
      <w:proofErr w:type="spellStart"/>
      <w:r w:rsidRPr="00EE402E">
        <w:rPr>
          <w:sz w:val="40"/>
          <w:szCs w:val="40"/>
        </w:rPr>
        <w:t>społecznościowego</w:t>
      </w:r>
      <w:proofErr w:type="spellEnd"/>
    </w:p>
    <w:p w:rsidR="005A3E54" w:rsidRPr="00EE402E" w:rsidRDefault="005A3E54" w:rsidP="005A3E54">
      <w:pPr>
        <w:pStyle w:val="Bezodstpw"/>
        <w:jc w:val="both"/>
        <w:rPr>
          <w:sz w:val="40"/>
          <w:szCs w:val="40"/>
        </w:rPr>
      </w:pPr>
    </w:p>
    <w:p w:rsidR="005A3E54" w:rsidRPr="00EE402E" w:rsidRDefault="00650514" w:rsidP="005A3E54">
      <w:pPr>
        <w:pStyle w:val="Bezodstpw"/>
        <w:jc w:val="both"/>
        <w:rPr>
          <w:sz w:val="40"/>
          <w:szCs w:val="40"/>
        </w:rPr>
      </w:pPr>
      <w:hyperlink r:id="rId36" w:history="1">
        <w:r w:rsidR="005A3E54" w:rsidRPr="00EE402E">
          <w:rPr>
            <w:rStyle w:val="Hipercze"/>
            <w:sz w:val="40"/>
            <w:szCs w:val="40"/>
          </w:rPr>
          <w:t>https://pl-pl.facebook.com/people/S%C5%82awomir-K%C5%82usek/100007887437416</w:t>
        </w:r>
      </w:hyperlink>
    </w:p>
    <w:p w:rsidR="005A3E54" w:rsidRDefault="005A3E54" w:rsidP="005A3E54">
      <w:pPr>
        <w:pStyle w:val="Bezodstpw"/>
        <w:jc w:val="both"/>
        <w:rPr>
          <w:sz w:val="40"/>
          <w:szCs w:val="40"/>
        </w:rPr>
      </w:pPr>
    </w:p>
    <w:p w:rsidR="005A3E54" w:rsidRDefault="005A3E54" w:rsidP="005A3E54">
      <w:pPr>
        <w:pStyle w:val="Bezodstpw"/>
        <w:jc w:val="both"/>
        <w:rPr>
          <w:sz w:val="40"/>
          <w:szCs w:val="40"/>
        </w:rPr>
      </w:pPr>
      <w:r>
        <w:rPr>
          <w:sz w:val="40"/>
          <w:szCs w:val="40"/>
        </w:rPr>
        <w:t>Zapraszam !</w:t>
      </w:r>
    </w:p>
    <w:p w:rsidR="005A3E54" w:rsidRPr="00EE402E" w:rsidRDefault="005A3E54" w:rsidP="005A3E54">
      <w:pPr>
        <w:pStyle w:val="Bezodstpw"/>
        <w:jc w:val="both"/>
        <w:rPr>
          <w:sz w:val="40"/>
          <w:szCs w:val="40"/>
        </w:rPr>
      </w:pPr>
    </w:p>
    <w:p w:rsidR="005A3E54" w:rsidRDefault="005A3E54" w:rsidP="005A3E54">
      <w:pPr>
        <w:pStyle w:val="Bezodstpw"/>
        <w:jc w:val="both"/>
        <w:rPr>
          <w:sz w:val="40"/>
          <w:szCs w:val="40"/>
        </w:rPr>
      </w:pPr>
      <w:r w:rsidRPr="00EE402E">
        <w:rPr>
          <w:sz w:val="40"/>
          <w:szCs w:val="40"/>
        </w:rPr>
        <w:t>Sławomir Kłusek</w:t>
      </w:r>
    </w:p>
    <w:p w:rsidR="005A3E54" w:rsidRPr="00E37EEF" w:rsidRDefault="005A3E54" w:rsidP="005A3E54">
      <w:pPr>
        <w:pStyle w:val="Bezodstpw"/>
        <w:jc w:val="both"/>
        <w:rPr>
          <w:rFonts w:ascii="Times New Roman" w:hAnsi="Times New Roman"/>
          <w:color w:val="548DD4" w:themeColor="text2" w:themeTint="99"/>
          <w:sz w:val="40"/>
          <w:szCs w:val="40"/>
        </w:rPr>
      </w:pPr>
      <w:r>
        <w:rPr>
          <w:rFonts w:ascii="MyriadPro-Regular" w:hAnsi="MyriadPro-Regular"/>
          <w:color w:val="000000"/>
          <w:sz w:val="26"/>
          <w:szCs w:val="26"/>
          <w:shd w:val="clear" w:color="auto" w:fill="FFFFFF"/>
        </w:rPr>
        <w:t>Mój adres poczty elektronicznej</w:t>
      </w:r>
      <w:r w:rsidRPr="00E37EEF">
        <w:rPr>
          <w:rFonts w:ascii="MyriadPro-Regular" w:hAnsi="MyriadPro-Regular"/>
          <w:color w:val="548DD4" w:themeColor="text2" w:themeTint="99"/>
          <w:sz w:val="26"/>
          <w:szCs w:val="26"/>
          <w:shd w:val="clear" w:color="auto" w:fill="FFFFFF"/>
        </w:rPr>
        <w:t>:  </w:t>
      </w:r>
      <w:hyperlink r:id="rId37" w:history="1">
        <w:r w:rsidRPr="00E37EEF">
          <w:rPr>
            <w:rStyle w:val="Hipercze"/>
            <w:rFonts w:ascii="Times New Roman" w:hAnsi="Times New Roman"/>
            <w:color w:val="0070C0"/>
            <w:sz w:val="26"/>
            <w:szCs w:val="26"/>
            <w:shd w:val="clear" w:color="auto" w:fill="FFFFFF"/>
          </w:rPr>
          <w:t>slawomirklusek@analizy-rynkowe.pl</w:t>
        </w:r>
      </w:hyperlink>
    </w:p>
    <w:p w:rsidR="005A3E54" w:rsidRPr="00EE402E" w:rsidRDefault="005A3E54" w:rsidP="005A3E54">
      <w:pPr>
        <w:pStyle w:val="Bezodstpw"/>
        <w:jc w:val="both"/>
        <w:rPr>
          <w:sz w:val="36"/>
          <w:szCs w:val="36"/>
        </w:rPr>
      </w:pPr>
    </w:p>
    <w:p w:rsidR="005A3E54" w:rsidRPr="00EE402E" w:rsidRDefault="005A3E54" w:rsidP="005A3E54">
      <w:pPr>
        <w:pStyle w:val="Bezodstpw"/>
        <w:jc w:val="both"/>
        <w:rPr>
          <w:sz w:val="46"/>
          <w:szCs w:val="46"/>
        </w:rPr>
      </w:pPr>
      <w:r>
        <w:rPr>
          <w:noProof/>
        </w:rPr>
        <w:drawing>
          <wp:inline distT="0" distB="0" distL="0" distR="0">
            <wp:extent cx="897700" cy="1276350"/>
            <wp:effectExtent l="19050" t="0" r="0" b="0"/>
            <wp:docPr id="19" name="Obraz 1" desc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
                    <pic:cNvPicPr>
                      <a:picLocks noChangeAspect="1" noChangeArrowheads="1"/>
                    </pic:cNvPicPr>
                  </pic:nvPicPr>
                  <pic:blipFill>
                    <a:blip r:embed="rId38" cstate="print"/>
                    <a:srcRect/>
                    <a:stretch>
                      <a:fillRect/>
                    </a:stretch>
                  </pic:blipFill>
                  <pic:spPr bwMode="auto">
                    <a:xfrm>
                      <a:off x="0" y="0"/>
                      <a:ext cx="903624" cy="1284773"/>
                    </a:xfrm>
                    <a:prstGeom prst="rect">
                      <a:avLst/>
                    </a:prstGeom>
                    <a:noFill/>
                    <a:ln w="9525">
                      <a:noFill/>
                      <a:miter lim="800000"/>
                      <a:headEnd/>
                      <a:tailEnd/>
                    </a:ln>
                  </pic:spPr>
                </pic:pic>
              </a:graphicData>
            </a:graphic>
          </wp:inline>
        </w:drawing>
      </w:r>
    </w:p>
    <w:p w:rsidR="005A3E54" w:rsidRPr="00295250" w:rsidRDefault="005A3E54" w:rsidP="005A3E54">
      <w:pPr>
        <w:pStyle w:val="Bezodstpw"/>
        <w:jc w:val="both"/>
        <w:rPr>
          <w:b/>
        </w:rPr>
      </w:pPr>
      <w:r w:rsidRPr="00295250">
        <w:rPr>
          <w:b/>
        </w:rPr>
        <w:lastRenderedPageBreak/>
        <w:t>Wnioski końcowe</w:t>
      </w:r>
    </w:p>
    <w:p w:rsidR="005A3E54" w:rsidRDefault="005A3E54" w:rsidP="005A3E54">
      <w:pPr>
        <w:pStyle w:val="Bezodstpw"/>
        <w:jc w:val="both"/>
      </w:pPr>
    </w:p>
    <w:p w:rsidR="005A3E54" w:rsidRPr="00F904FA" w:rsidRDefault="005A3E54" w:rsidP="00F904FA">
      <w:pPr>
        <w:pStyle w:val="Bezodstpw"/>
        <w:numPr>
          <w:ilvl w:val="0"/>
          <w:numId w:val="1"/>
        </w:numPr>
        <w:jc w:val="both"/>
        <w:rPr>
          <w:color w:val="000000" w:themeColor="text1"/>
        </w:rPr>
      </w:pPr>
      <w:r w:rsidRPr="00F904FA">
        <w:rPr>
          <w:b/>
          <w:color w:val="000000" w:themeColor="text1"/>
        </w:rPr>
        <w:t>Kurs dolara amerykańskiego (w złotych)</w:t>
      </w:r>
      <w:r w:rsidRPr="00F904FA">
        <w:rPr>
          <w:color w:val="000000" w:themeColor="text1"/>
        </w:rPr>
        <w:t xml:space="preserve"> spadł poniżej bardzo ważnego oporu na poziomie 3,9130 zł. z lutego 2009 roku. W tej sytuacji można oczekiwać rozpoczęcia się fali spadków w kierunku linii trendu wzrostowego poprowadzonej przez dołki z lipca 2008 roku oraz czerwca 2014 roku, która aktualnie przebiega na poziomie </w:t>
      </w:r>
      <w:r w:rsidRPr="00F904FA">
        <w:rPr>
          <w:b/>
          <w:color w:val="FF0000"/>
        </w:rPr>
        <w:t>3,10</w:t>
      </w:r>
      <w:r w:rsidRPr="00F904FA">
        <w:rPr>
          <w:color w:val="000000" w:themeColor="text1"/>
        </w:rPr>
        <w:t xml:space="preserve">. Osłabienie kursu dolara amerykańskiego (w złotych) może być związane z napływem kapitału zagranicznego na polski rynek akcji, czemu towarzyszyć może także osłabienie kursów innych walut zagranicznych (w tym jena japońskiego złotych). Mark </w:t>
      </w:r>
      <w:proofErr w:type="spellStart"/>
      <w:r w:rsidRPr="00F904FA">
        <w:rPr>
          <w:color w:val="000000" w:themeColor="text1"/>
        </w:rPr>
        <w:t>Mobius</w:t>
      </w:r>
      <w:proofErr w:type="spellEnd"/>
      <w:r w:rsidRPr="00F904FA">
        <w:rPr>
          <w:color w:val="000000" w:themeColor="text1"/>
        </w:rPr>
        <w:t xml:space="preserve">, szef </w:t>
      </w:r>
      <w:proofErr w:type="spellStart"/>
      <w:r w:rsidRPr="00F904FA">
        <w:rPr>
          <w:color w:val="000000" w:themeColor="text1"/>
        </w:rPr>
        <w:t>Templeton</w:t>
      </w:r>
      <w:proofErr w:type="spellEnd"/>
      <w:r w:rsidRPr="00F904FA">
        <w:rPr>
          <w:color w:val="000000" w:themeColor="text1"/>
        </w:rPr>
        <w:t xml:space="preserve"> </w:t>
      </w:r>
      <w:proofErr w:type="spellStart"/>
      <w:r w:rsidRPr="00F904FA">
        <w:rPr>
          <w:color w:val="000000" w:themeColor="text1"/>
        </w:rPr>
        <w:t>Emerging</w:t>
      </w:r>
      <w:proofErr w:type="spellEnd"/>
      <w:r w:rsidRPr="00F904FA">
        <w:rPr>
          <w:color w:val="000000" w:themeColor="text1"/>
        </w:rPr>
        <w:t xml:space="preserve"> </w:t>
      </w:r>
      <w:proofErr w:type="spellStart"/>
      <w:r w:rsidRPr="00F904FA">
        <w:rPr>
          <w:color w:val="000000" w:themeColor="text1"/>
        </w:rPr>
        <w:t>Markets</w:t>
      </w:r>
      <w:proofErr w:type="spellEnd"/>
      <w:r w:rsidRPr="00F904FA">
        <w:rPr>
          <w:color w:val="000000" w:themeColor="text1"/>
        </w:rPr>
        <w:t xml:space="preserve"> Group powiedział niedawno: ,,</w:t>
      </w:r>
      <w:r w:rsidRPr="00F904FA">
        <w:rPr>
          <w:b/>
          <w:color w:val="000000" w:themeColor="text1"/>
        </w:rPr>
        <w:t>nadszedł czas, aby inwestorzy zaczęli przenosić się z drogiego amerykańskiego rynku akcji na rynki akcji gospodarek wschodzących</w:t>
      </w:r>
      <w:r w:rsidRPr="00F904FA">
        <w:rPr>
          <w:color w:val="000000" w:themeColor="text1"/>
        </w:rPr>
        <w:t>”</w:t>
      </w:r>
    </w:p>
    <w:p w:rsidR="005A3E54" w:rsidRPr="00F904FA" w:rsidRDefault="005A3E54" w:rsidP="005A3E54">
      <w:pPr>
        <w:pStyle w:val="Bezodstpw"/>
        <w:jc w:val="both"/>
        <w:rPr>
          <w:color w:val="000000" w:themeColor="text1"/>
        </w:rPr>
      </w:pPr>
    </w:p>
    <w:p w:rsidR="005A3E54" w:rsidRPr="00F904FA" w:rsidRDefault="005A3E54" w:rsidP="00F904FA">
      <w:pPr>
        <w:pStyle w:val="Bezodstpw"/>
        <w:numPr>
          <w:ilvl w:val="0"/>
          <w:numId w:val="1"/>
        </w:numPr>
        <w:jc w:val="both"/>
        <w:rPr>
          <w:color w:val="000000" w:themeColor="text1"/>
        </w:rPr>
      </w:pPr>
      <w:r w:rsidRPr="00F904FA">
        <w:rPr>
          <w:color w:val="000000" w:themeColor="text1"/>
        </w:rPr>
        <w:t xml:space="preserve">W przypadku </w:t>
      </w:r>
      <w:r w:rsidRPr="00F904FA">
        <w:rPr>
          <w:b/>
          <w:color w:val="000000" w:themeColor="text1"/>
        </w:rPr>
        <w:t>kursu euro (w złotych)</w:t>
      </w:r>
      <w:r w:rsidRPr="00F904FA">
        <w:rPr>
          <w:color w:val="000000" w:themeColor="text1"/>
        </w:rPr>
        <w:t xml:space="preserve"> bardzo ważnym poziomem oporu jest poziom 4,3668 (szczyt z czerwca 2013 roku). Po dojściu do tego oporu rozpoczęła się fala spadków w kierunku ważnego wsparcia, którym był dołek z 6 czerwca 2014 roku przebiegający na poziomie  4,092. Kolejnym wsparciem jest poziom 4,0264. Pokonane zostało od dołu wsparcie na poziomie 4,0264 (dołek z 10 sierpnia 2012 roku). Kolejnym wsparciem jest poziom </w:t>
      </w:r>
      <w:r w:rsidRPr="00F904FA">
        <w:rPr>
          <w:b/>
          <w:color w:val="FF0000"/>
        </w:rPr>
        <w:t>3,8932 zł</w:t>
      </w:r>
      <w:r w:rsidRPr="00F904FA">
        <w:rPr>
          <w:color w:val="000000" w:themeColor="text1"/>
        </w:rPr>
        <w:t xml:space="preserve"> (dołek z maja 2011 roku). </w:t>
      </w:r>
    </w:p>
    <w:p w:rsidR="005A3E54" w:rsidRPr="00F904FA" w:rsidRDefault="005A3E54" w:rsidP="005A3E54">
      <w:pPr>
        <w:pStyle w:val="Bezodstpw"/>
        <w:ind w:left="720"/>
        <w:jc w:val="both"/>
        <w:rPr>
          <w:color w:val="000000" w:themeColor="text1"/>
        </w:rPr>
      </w:pPr>
    </w:p>
    <w:p w:rsidR="005A3E54" w:rsidRPr="00F904FA" w:rsidRDefault="005A3E54" w:rsidP="00F904FA">
      <w:pPr>
        <w:pStyle w:val="Bezodstpw"/>
        <w:numPr>
          <w:ilvl w:val="0"/>
          <w:numId w:val="1"/>
        </w:numPr>
        <w:jc w:val="both"/>
        <w:rPr>
          <w:color w:val="000000" w:themeColor="text1"/>
        </w:rPr>
      </w:pPr>
      <w:r w:rsidRPr="00F904FA">
        <w:rPr>
          <w:color w:val="000000" w:themeColor="text1"/>
        </w:rPr>
        <w:t xml:space="preserve">Z fundamentalnego punktu widzenia przewidywane w 2015 roku wzrosty indeksów giełdowych opisujących sytuację na polskim rynku akcji mogą być przejawem </w:t>
      </w:r>
      <w:r w:rsidRPr="00F904FA">
        <w:rPr>
          <w:b/>
          <w:color w:val="000000" w:themeColor="text1"/>
        </w:rPr>
        <w:t>dyskontowania przez uczestników polskiego rynku akcji ożywienia gospodarczego w Polsce, które</w:t>
      </w:r>
      <w:r w:rsidRPr="00F904FA">
        <w:rPr>
          <w:color w:val="000000" w:themeColor="text1"/>
        </w:rPr>
        <w:t xml:space="preserve"> (zgodnie z np. prognozami analityków NBP, Instytutu Badań nad Gospodarką Rynkową, czy też np. banku inwestycyjnego Morgan Stanley) </w:t>
      </w:r>
      <w:r w:rsidRPr="00F904FA">
        <w:rPr>
          <w:b/>
          <w:color w:val="000000" w:themeColor="text1"/>
        </w:rPr>
        <w:t>powinno nastąpić w 2016 roku</w:t>
      </w:r>
      <w:r w:rsidRPr="00F904FA">
        <w:rPr>
          <w:color w:val="000000" w:themeColor="text1"/>
        </w:rPr>
        <w:t xml:space="preserve"> (kiedy to zdaniem, wyżej wymienionych analityków można oczekiwać, wedle wyżej wymienionych prognoz przyspieszenia realnego wzrostu PKB. </w:t>
      </w:r>
    </w:p>
    <w:p w:rsidR="005A3E54" w:rsidRPr="00F904FA" w:rsidRDefault="005A3E54" w:rsidP="005A3E54">
      <w:pPr>
        <w:pStyle w:val="Bezodstpw"/>
        <w:ind w:left="720"/>
        <w:jc w:val="both"/>
        <w:rPr>
          <w:color w:val="000000" w:themeColor="text1"/>
        </w:rPr>
      </w:pPr>
    </w:p>
    <w:p w:rsidR="00F904FA" w:rsidRPr="00F904FA" w:rsidRDefault="005A3E54" w:rsidP="00F904FA">
      <w:pPr>
        <w:pStyle w:val="Bezodstpw"/>
        <w:numPr>
          <w:ilvl w:val="0"/>
          <w:numId w:val="1"/>
        </w:numPr>
        <w:jc w:val="both"/>
        <w:rPr>
          <w:color w:val="000000" w:themeColor="text1"/>
        </w:rPr>
      </w:pPr>
      <w:r w:rsidRPr="00F904FA">
        <w:rPr>
          <w:color w:val="000000" w:themeColor="text1"/>
        </w:rPr>
        <w:t xml:space="preserve">Na wykresach 3 indeksów branżowych: </w:t>
      </w:r>
      <w:r w:rsidRPr="00F904FA">
        <w:rPr>
          <w:b/>
          <w:color w:val="000000" w:themeColor="text1"/>
        </w:rPr>
        <w:t>indeksu branży budowlanej, indeksu branży informatycznej oraz indeksu branży medialnej</w:t>
      </w:r>
      <w:r w:rsidRPr="00F904FA">
        <w:rPr>
          <w:color w:val="000000" w:themeColor="text1"/>
        </w:rPr>
        <w:t xml:space="preserve"> próbują się utworzyć formacje </w:t>
      </w:r>
      <w:r w:rsidRPr="00F904FA">
        <w:rPr>
          <w:b/>
          <w:color w:val="000000" w:themeColor="text1"/>
        </w:rPr>
        <w:t>nietypowego podwójnego dna</w:t>
      </w:r>
      <w:r w:rsidRPr="00F904FA">
        <w:rPr>
          <w:color w:val="000000" w:themeColor="text1"/>
        </w:rPr>
        <w:t>, z których wybicia</w:t>
      </w:r>
      <w:r w:rsidR="0073675B" w:rsidRPr="00F904FA">
        <w:rPr>
          <w:color w:val="000000" w:themeColor="text1"/>
        </w:rPr>
        <w:t xml:space="preserve"> stanowiłoby silny sygnał kupna</w:t>
      </w:r>
    </w:p>
    <w:p w:rsidR="00F904FA" w:rsidRPr="00F904FA" w:rsidRDefault="00F904FA" w:rsidP="00F904FA">
      <w:pPr>
        <w:pStyle w:val="Akapitzlist"/>
        <w:rPr>
          <w:color w:val="000000" w:themeColor="text1"/>
        </w:rPr>
      </w:pPr>
    </w:p>
    <w:p w:rsidR="0073675B" w:rsidRDefault="005A3E54" w:rsidP="00F904FA">
      <w:pPr>
        <w:pStyle w:val="Bezodstpw"/>
        <w:numPr>
          <w:ilvl w:val="0"/>
          <w:numId w:val="1"/>
        </w:numPr>
        <w:jc w:val="both"/>
        <w:rPr>
          <w:color w:val="000000" w:themeColor="text1"/>
        </w:rPr>
      </w:pPr>
      <w:r w:rsidRPr="00F904FA">
        <w:rPr>
          <w:color w:val="000000" w:themeColor="text1"/>
        </w:rPr>
        <w:t xml:space="preserve">Ciekawostka dla technicznych ,,długodystansowców”: na </w:t>
      </w:r>
      <w:r w:rsidR="0073675B" w:rsidRPr="00F904FA">
        <w:rPr>
          <w:color w:val="000000" w:themeColor="text1"/>
        </w:rPr>
        <w:t xml:space="preserve">tworzonym w oparciu o dane miesięczne </w:t>
      </w:r>
      <w:r w:rsidRPr="00F904FA">
        <w:rPr>
          <w:color w:val="000000" w:themeColor="text1"/>
        </w:rPr>
        <w:t xml:space="preserve">wykresie </w:t>
      </w:r>
      <w:r w:rsidRPr="00F904FA">
        <w:rPr>
          <w:b/>
          <w:color w:val="000000" w:themeColor="text1"/>
        </w:rPr>
        <w:t xml:space="preserve">indeksu </w:t>
      </w:r>
      <w:r w:rsidR="0073675B" w:rsidRPr="00F904FA">
        <w:rPr>
          <w:b/>
          <w:color w:val="000000" w:themeColor="text1"/>
        </w:rPr>
        <w:t>NIKKEI 225</w:t>
      </w:r>
      <w:r w:rsidR="0073675B" w:rsidRPr="00F904FA">
        <w:rPr>
          <w:color w:val="000000" w:themeColor="text1"/>
        </w:rPr>
        <w:t xml:space="preserve"> na przełomie 2012 i 2013 roku utworzył się tak zwany </w:t>
      </w:r>
      <w:r w:rsidR="0073675B" w:rsidRPr="00F904FA">
        <w:rPr>
          <w:b/>
          <w:color w:val="000000" w:themeColor="text1"/>
        </w:rPr>
        <w:t>,,pęk średnich”</w:t>
      </w:r>
      <w:r w:rsidR="0073675B" w:rsidRPr="00F904FA">
        <w:rPr>
          <w:color w:val="000000" w:themeColor="text1"/>
        </w:rPr>
        <w:t>, którego istotą jest silne zbliżenie do siebie 3 ważnych średnich ruchomych (z 500, 200 oraz 100 miesięcy), co zapowiadało pojawienie się bardzo silnego, co najmniej kilkuletniego ruchu. Wygląda na to, że będzie to ruch w górę, a skoro je</w:t>
      </w:r>
      <w:r w:rsidR="00B721F4">
        <w:rPr>
          <w:color w:val="000000" w:themeColor="text1"/>
        </w:rPr>
        <w:t>go</w:t>
      </w:r>
      <w:r w:rsidR="0073675B" w:rsidRPr="00F904FA">
        <w:rPr>
          <w:color w:val="000000" w:themeColor="text1"/>
        </w:rPr>
        <w:t xml:space="preserve"> skala powinna być bardzo duża to jest bardzo prawdopodobne, że ruch ten doprowadzi do osiągnięcia historycznego szczytu znajdującego się na poziomie 38 916,00 pkt. (z 29 grudnia 1989 roku), co oznaczałoby </w:t>
      </w:r>
      <w:r w:rsidR="0073675B" w:rsidRPr="00F904FA">
        <w:rPr>
          <w:b/>
          <w:color w:val="FF0000"/>
        </w:rPr>
        <w:t>wzrost indeksu NIKKEI 225 o 100,1 %.</w:t>
      </w:r>
    </w:p>
    <w:p w:rsidR="00F904FA" w:rsidRDefault="00F904FA" w:rsidP="00F904FA">
      <w:pPr>
        <w:pStyle w:val="Bezodstpw"/>
        <w:jc w:val="both"/>
        <w:rPr>
          <w:color w:val="000000" w:themeColor="text1"/>
        </w:rPr>
      </w:pPr>
    </w:p>
    <w:p w:rsidR="005A3E54" w:rsidRDefault="005A3E54" w:rsidP="005A3E54">
      <w:pPr>
        <w:pStyle w:val="Bezodstpw"/>
        <w:jc w:val="both"/>
      </w:pPr>
      <w:r>
        <w:t xml:space="preserve">Opracował: </w:t>
      </w:r>
      <w:r w:rsidRPr="00AA453E">
        <w:t>Sławomir Kłusek</w:t>
      </w:r>
      <w:r>
        <w:t xml:space="preserve">, </w:t>
      </w:r>
      <w:r w:rsidR="0073675B">
        <w:t>11</w:t>
      </w:r>
      <w:r>
        <w:t xml:space="preserve"> maja 2015 r.</w:t>
      </w:r>
    </w:p>
    <w:p w:rsidR="005A3E54" w:rsidRDefault="005A3E54" w:rsidP="005A3E54">
      <w:pPr>
        <w:pStyle w:val="Bezodstpw"/>
        <w:ind w:left="720"/>
        <w:jc w:val="both"/>
      </w:pPr>
    </w:p>
    <w:p w:rsidR="005A3E54" w:rsidRDefault="005A3E54" w:rsidP="005A3E54">
      <w:pPr>
        <w:pStyle w:val="Bezodstpw"/>
        <w:jc w:val="both"/>
      </w:pPr>
      <w:r>
        <w:t xml:space="preserve">Powyższy raport stanowi wyłącznie wyraz osobistych opinii autora. </w:t>
      </w:r>
    </w:p>
    <w:p w:rsidR="005A3E54" w:rsidRDefault="005A3E54" w:rsidP="005A3E54">
      <w:pPr>
        <w:pStyle w:val="Bezodstpw"/>
        <w:jc w:val="both"/>
      </w:pPr>
    </w:p>
    <w:p w:rsidR="005A3E54" w:rsidRDefault="005A3E54" w:rsidP="005A3E54">
      <w:pPr>
        <w:pStyle w:val="Bezodstpw"/>
        <w:jc w:val="both"/>
      </w:pPr>
      <w:r>
        <w:t xml:space="preserve">Treści zawarte na stronie internetowej </w:t>
      </w:r>
      <w:hyperlink r:id="rId39"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5A3E54" w:rsidRDefault="005A3E54" w:rsidP="005A3E54">
      <w:pPr>
        <w:pStyle w:val="Bezodstpw"/>
        <w:jc w:val="both"/>
      </w:pPr>
    </w:p>
    <w:p w:rsidR="005A3E54" w:rsidRDefault="005A3E54" w:rsidP="00B7182E">
      <w:pPr>
        <w:pStyle w:val="Bezodstpw"/>
        <w:jc w:val="both"/>
      </w:pPr>
      <w:r>
        <w:t xml:space="preserve">Autor nie ponosi odpowiedzialności za jakiekolwiek decyzje inwestycyjne podjęte na podstawie treści zawartych na stronie internetowej </w:t>
      </w:r>
      <w:hyperlink r:id="rId40" w:history="1">
        <w:r w:rsidRPr="00093965">
          <w:rPr>
            <w:rStyle w:val="Hipercze"/>
          </w:rPr>
          <w:t>www.analizy-rynkowe.pl</w:t>
        </w:r>
      </w:hyperlink>
    </w:p>
    <w:sectPr w:rsidR="005A3E54" w:rsidSect="0073675B">
      <w:footerReference w:type="default" r:id="rId4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42" w:rsidRDefault="00787F42" w:rsidP="00706D28">
      <w:pPr>
        <w:spacing w:after="0" w:line="240" w:lineRule="auto"/>
      </w:pPr>
      <w:r>
        <w:separator/>
      </w:r>
    </w:p>
  </w:endnote>
  <w:endnote w:type="continuationSeparator" w:id="0">
    <w:p w:rsidR="00787F42" w:rsidRDefault="00787F42" w:rsidP="0070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73675B" w:rsidRDefault="00650514">
        <w:pPr>
          <w:pStyle w:val="Stopka"/>
          <w:jc w:val="center"/>
        </w:pPr>
        <w:fldSimple w:instr="PAGE   \* MERGEFORMAT">
          <w:r w:rsidR="006B26F1">
            <w:rPr>
              <w:noProof/>
            </w:rPr>
            <w:t>9</w:t>
          </w:r>
        </w:fldSimple>
      </w:p>
    </w:sdtContent>
  </w:sdt>
  <w:p w:rsidR="0073675B" w:rsidRDefault="007367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42" w:rsidRDefault="00787F42" w:rsidP="00706D28">
      <w:pPr>
        <w:spacing w:after="0" w:line="240" w:lineRule="auto"/>
      </w:pPr>
      <w:r>
        <w:separator/>
      </w:r>
    </w:p>
  </w:footnote>
  <w:footnote w:type="continuationSeparator" w:id="0">
    <w:p w:rsidR="00787F42" w:rsidRDefault="00787F42" w:rsidP="00706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5292"/>
    <w:multiLevelType w:val="hybridMultilevel"/>
    <w:tmpl w:val="9334D426"/>
    <w:lvl w:ilvl="0" w:tplc="6028362C">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182E"/>
    <w:rsid w:val="00034720"/>
    <w:rsid w:val="000716BF"/>
    <w:rsid w:val="000A6E85"/>
    <w:rsid w:val="003D5968"/>
    <w:rsid w:val="0057778F"/>
    <w:rsid w:val="005A3E54"/>
    <w:rsid w:val="00650514"/>
    <w:rsid w:val="00694BDC"/>
    <w:rsid w:val="006B26F1"/>
    <w:rsid w:val="00706D28"/>
    <w:rsid w:val="0073675B"/>
    <w:rsid w:val="00787F42"/>
    <w:rsid w:val="00917E27"/>
    <w:rsid w:val="00A17A3C"/>
    <w:rsid w:val="00B50392"/>
    <w:rsid w:val="00B7182E"/>
    <w:rsid w:val="00B721F4"/>
    <w:rsid w:val="00C1693C"/>
    <w:rsid w:val="00C27BA2"/>
    <w:rsid w:val="00CA6056"/>
    <w:rsid w:val="00CF7D99"/>
    <w:rsid w:val="00E71250"/>
    <w:rsid w:val="00F904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182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182E"/>
    <w:pPr>
      <w:spacing w:after="0" w:line="240" w:lineRule="auto"/>
    </w:pPr>
    <w:rPr>
      <w:rFonts w:eastAsiaTheme="minorEastAsia"/>
      <w:lang w:eastAsia="pl-PL"/>
    </w:rPr>
  </w:style>
  <w:style w:type="paragraph" w:styleId="Stopka">
    <w:name w:val="footer"/>
    <w:basedOn w:val="Normalny"/>
    <w:link w:val="StopkaZnak"/>
    <w:uiPriority w:val="99"/>
    <w:unhideWhenUsed/>
    <w:rsid w:val="00B71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82E"/>
    <w:rPr>
      <w:rFonts w:eastAsiaTheme="minorEastAsia"/>
      <w:lang w:eastAsia="pl-PL"/>
    </w:rPr>
  </w:style>
  <w:style w:type="character" w:styleId="Hipercze">
    <w:name w:val="Hyperlink"/>
    <w:basedOn w:val="Domylnaczcionkaakapitu"/>
    <w:uiPriority w:val="99"/>
    <w:unhideWhenUsed/>
    <w:rsid w:val="00B7182E"/>
    <w:rPr>
      <w:color w:val="0000FF" w:themeColor="hyperlink"/>
      <w:u w:val="single"/>
    </w:rPr>
  </w:style>
  <w:style w:type="table" w:styleId="Tabela-Siatka">
    <w:name w:val="Table Grid"/>
    <w:basedOn w:val="Standardowy"/>
    <w:uiPriority w:val="59"/>
    <w:rsid w:val="00B7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71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82E"/>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B71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182E"/>
    <w:rPr>
      <w:rFonts w:eastAsiaTheme="minorEastAsia"/>
      <w:sz w:val="20"/>
      <w:szCs w:val="20"/>
      <w:lang w:eastAsia="pl-PL"/>
    </w:rPr>
  </w:style>
  <w:style w:type="character" w:styleId="Odwoanieprzypisukocowego">
    <w:name w:val="endnote reference"/>
    <w:basedOn w:val="Domylnaczcionkaakapitu"/>
    <w:uiPriority w:val="99"/>
    <w:semiHidden/>
    <w:unhideWhenUsed/>
    <w:rsid w:val="00B7182E"/>
    <w:rPr>
      <w:vertAlign w:val="superscript"/>
    </w:rPr>
  </w:style>
  <w:style w:type="paragraph" w:styleId="Akapitzlist">
    <w:name w:val="List Paragraph"/>
    <w:basedOn w:val="Normalny"/>
    <w:uiPriority w:val="34"/>
    <w:qFormat/>
    <w:rsid w:val="00736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www.bankier.pl/" TargetMode="External"/><Relationship Id="rId39" Type="http://schemas.openxmlformats.org/officeDocument/2006/relationships/hyperlink" Target="http://www.analizy-rynkowe.pl" TargetMode="External"/><Relationship Id="rId3" Type="http://schemas.openxmlformats.org/officeDocument/2006/relationships/settings" Target="settings.xml"/><Relationship Id="rId21" Type="http://schemas.openxmlformats.org/officeDocument/2006/relationships/hyperlink" Target="http://www.analizy-rynkowe.pl" TargetMode="External"/><Relationship Id="rId34" Type="http://schemas.openxmlformats.org/officeDocument/2006/relationships/hyperlink" Target="http://analizy-rynkowe.pl/"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analizy-rynkowe.pl" TargetMode="External"/><Relationship Id="rId17" Type="http://schemas.openxmlformats.org/officeDocument/2006/relationships/hyperlink" Target="http://www.analizy-rynkowe.pl" TargetMode="External"/><Relationship Id="rId25" Type="http://schemas.openxmlformats.org/officeDocument/2006/relationships/hyperlink" Target="http://stooq.pl/" TargetMode="External"/><Relationship Id="rId33" Type="http://schemas.openxmlformats.org/officeDocument/2006/relationships/hyperlink" Target="http://www.bankier.pl/" TargetMode="External"/><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bankier.pl/gielda/notowania/ranking-popularnosci"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tooq.pl/" TargetMode="External"/><Relationship Id="rId32" Type="http://schemas.openxmlformats.org/officeDocument/2006/relationships/image" Target="media/image7.gif"/><Relationship Id="rId37" Type="http://schemas.openxmlformats.org/officeDocument/2006/relationships/hyperlink" Target="mailto:slawomirklusek@analizy-rynkowe.pl" TargetMode="External"/><Relationship Id="rId40" Type="http://schemas.openxmlformats.org/officeDocument/2006/relationships/hyperlink" Target="http://www.analizy-rynkowe.pl" TargetMode="External"/><Relationship Id="rId5" Type="http://schemas.openxmlformats.org/officeDocument/2006/relationships/footnotes" Target="footnotes.xml"/><Relationship Id="rId15" Type="http://schemas.openxmlformats.org/officeDocument/2006/relationships/hyperlink" Target="http://www.analizy-rynkowe.pl" TargetMode="External"/><Relationship Id="rId23" Type="http://schemas.openxmlformats.org/officeDocument/2006/relationships/chart" Target="charts/chart1.xml"/><Relationship Id="rId28" Type="http://schemas.openxmlformats.org/officeDocument/2006/relationships/hyperlink" Target="http://www.bankier.pl/" TargetMode="External"/><Relationship Id="rId36" Type="http://schemas.openxmlformats.org/officeDocument/2006/relationships/hyperlink" Target="https://pl-pl.facebook.com/people/S%C5%82awomir-K%C5%82usek/100007887437416" TargetMode="External"/><Relationship Id="rId10" Type="http://schemas.openxmlformats.org/officeDocument/2006/relationships/hyperlink" Target="http://stooq.pl/" TargetMode="External"/><Relationship Id="rId19" Type="http://schemas.openxmlformats.org/officeDocument/2006/relationships/hyperlink" Target="http://www.analizy-rynkowe.pl" TargetMode="External"/><Relationship Id="rId31" Type="http://schemas.openxmlformats.org/officeDocument/2006/relationships/hyperlink" Target="http://www.bankier.p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image" Target="media/image5.gif"/><Relationship Id="rId30" Type="http://schemas.openxmlformats.org/officeDocument/2006/relationships/image" Target="media/image6.gif"/><Relationship Id="rId35" Type="http://schemas.openxmlformats.org/officeDocument/2006/relationships/hyperlink" Target="http://analizy-rynkowe.pl/"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a:pPr>
            <a:r>
              <a:rPr lang="pl-PL"/>
              <a:t>Porównanie</a:t>
            </a:r>
            <a:endParaRPr lang="en-US"/>
          </a:p>
        </c:rich>
      </c:tx>
    </c:title>
    <c:plotArea>
      <c:layout/>
      <c:barChart>
        <c:barDir val="col"/>
        <c:grouping val="clustered"/>
        <c:ser>
          <c:idx val="0"/>
          <c:order val="0"/>
          <c:tx>
            <c:strRef>
              <c:f>Arkusz1!$A$1</c:f>
              <c:strCache>
                <c:ptCount val="1"/>
                <c:pt idx="0">
                  <c:v>Wykres do przemyślenia</c:v>
                </c:pt>
              </c:strCache>
            </c:strRef>
          </c:tx>
          <c:val>
            <c:numRef>
              <c:f>Arkusz1!$B$1</c:f>
              <c:numCache>
                <c:formatCode>0.0</c:formatCode>
                <c:ptCount val="1"/>
                <c:pt idx="0">
                  <c:v>16.8</c:v>
                </c:pt>
              </c:numCache>
            </c:numRef>
          </c:val>
        </c:ser>
        <c:ser>
          <c:idx val="1"/>
          <c:order val="1"/>
          <c:tx>
            <c:strRef>
              <c:f>Arkusz1!$A$2</c:f>
              <c:strCache>
                <c:ptCount val="1"/>
                <c:pt idx="0">
                  <c:v>WIG20</c:v>
                </c:pt>
              </c:strCache>
            </c:strRef>
          </c:tx>
          <c:val>
            <c:numRef>
              <c:f>Arkusz1!$B$2</c:f>
              <c:numCache>
                <c:formatCode>0.0</c:formatCode>
                <c:ptCount val="1"/>
                <c:pt idx="0">
                  <c:v>-3</c:v>
                </c:pt>
              </c:numCache>
            </c:numRef>
          </c:val>
        </c:ser>
        <c:dLbls>
          <c:showVal val="1"/>
        </c:dLbls>
        <c:overlap val="-25"/>
        <c:axId val="101938304"/>
        <c:axId val="101939840"/>
      </c:barChart>
      <c:catAx>
        <c:axId val="101938304"/>
        <c:scaling>
          <c:orientation val="minMax"/>
        </c:scaling>
        <c:delete val="1"/>
        <c:axPos val="b"/>
        <c:numFmt formatCode="General" sourceLinked="1"/>
        <c:majorTickMark val="none"/>
        <c:tickLblPos val="none"/>
        <c:crossAx val="101939840"/>
        <c:crosses val="autoZero"/>
        <c:auto val="1"/>
        <c:lblAlgn val="ctr"/>
        <c:lblOffset val="100"/>
      </c:catAx>
      <c:valAx>
        <c:axId val="101939840"/>
        <c:scaling>
          <c:orientation val="minMax"/>
        </c:scaling>
        <c:delete val="1"/>
        <c:axPos val="l"/>
        <c:numFmt formatCode="0.0" sourceLinked="1"/>
        <c:majorTickMark val="none"/>
        <c:tickLblPos val="none"/>
        <c:crossAx val="101938304"/>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3556</Words>
  <Characters>21341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5</cp:revision>
  <dcterms:created xsi:type="dcterms:W3CDTF">2015-05-10T14:03:00Z</dcterms:created>
  <dcterms:modified xsi:type="dcterms:W3CDTF">2015-05-12T07:33:00Z</dcterms:modified>
</cp:coreProperties>
</file>