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1B" w:rsidRPr="00C16D3A" w:rsidRDefault="0039641B" w:rsidP="0039641B">
      <w:pPr>
        <w:pStyle w:val="Bezodstpw"/>
        <w:jc w:val="center"/>
        <w:rPr>
          <w:shadow/>
          <w:color w:val="FF0000"/>
          <w:sz w:val="180"/>
          <w:szCs w:val="180"/>
        </w:rPr>
      </w:pPr>
      <w:r w:rsidRPr="00C16D3A">
        <w:rPr>
          <w:shadow/>
          <w:color w:val="FF0000"/>
          <w:sz w:val="180"/>
          <w:szCs w:val="180"/>
        </w:rPr>
        <w:t>Raport</w:t>
      </w:r>
    </w:p>
    <w:p w:rsidR="0039641B" w:rsidRDefault="0039641B" w:rsidP="0039641B">
      <w:pPr>
        <w:pStyle w:val="Bezodstpw"/>
        <w:jc w:val="center"/>
        <w:rPr>
          <w:shadow/>
          <w:color w:val="FF0000"/>
          <w:sz w:val="180"/>
          <w:szCs w:val="180"/>
        </w:rPr>
      </w:pPr>
      <w:r w:rsidRPr="00C16D3A">
        <w:rPr>
          <w:shadow/>
          <w:color w:val="FF0000"/>
          <w:sz w:val="180"/>
          <w:szCs w:val="180"/>
        </w:rPr>
        <w:t>Tygodniowy</w:t>
      </w:r>
    </w:p>
    <w:p w:rsidR="0039641B" w:rsidRPr="00BB2EC3" w:rsidRDefault="0039641B" w:rsidP="0039641B">
      <w:pPr>
        <w:pStyle w:val="Bezodstpw"/>
        <w:jc w:val="center"/>
        <w:rPr>
          <w:shadow/>
          <w:color w:val="FF0000"/>
          <w:sz w:val="100"/>
          <w:szCs w:val="100"/>
        </w:rPr>
      </w:pPr>
      <w:r w:rsidRPr="00BB2EC3">
        <w:rPr>
          <w:shadow/>
          <w:color w:val="FF0000"/>
          <w:sz w:val="100"/>
          <w:szCs w:val="100"/>
        </w:rPr>
        <w:t>o sytuacji na</w:t>
      </w:r>
    </w:p>
    <w:p w:rsidR="0039641B" w:rsidRPr="00BB2EC3" w:rsidRDefault="0039641B" w:rsidP="0039641B">
      <w:pPr>
        <w:pStyle w:val="Bezodstpw"/>
        <w:jc w:val="center"/>
        <w:rPr>
          <w:shadow/>
          <w:color w:val="FF0000"/>
          <w:sz w:val="100"/>
          <w:szCs w:val="100"/>
        </w:rPr>
      </w:pPr>
      <w:r w:rsidRPr="00BB2EC3">
        <w:rPr>
          <w:shadow/>
          <w:color w:val="FF0000"/>
          <w:sz w:val="100"/>
          <w:szCs w:val="100"/>
        </w:rPr>
        <w:t>rynkach finansowych</w:t>
      </w:r>
    </w:p>
    <w:p w:rsidR="0039641B" w:rsidRPr="00400806" w:rsidRDefault="0039641B" w:rsidP="0039641B">
      <w:pPr>
        <w:pStyle w:val="Bezodstpw"/>
        <w:jc w:val="center"/>
        <w:rPr>
          <w:sz w:val="48"/>
          <w:szCs w:val="48"/>
        </w:rPr>
      </w:pPr>
    </w:p>
    <w:p w:rsidR="0039641B" w:rsidRDefault="0039641B" w:rsidP="0039641B">
      <w:pPr>
        <w:pStyle w:val="Bezodstpw"/>
        <w:jc w:val="center"/>
        <w:rPr>
          <w:sz w:val="48"/>
          <w:szCs w:val="48"/>
        </w:rPr>
      </w:pPr>
    </w:p>
    <w:p w:rsidR="0039641B" w:rsidRPr="009A4255" w:rsidRDefault="0039641B" w:rsidP="0039641B">
      <w:pPr>
        <w:pStyle w:val="Bezodstpw"/>
        <w:jc w:val="center"/>
        <w:rPr>
          <w:shadow/>
          <w:sz w:val="100"/>
          <w:szCs w:val="100"/>
          <w:u w:val="single"/>
        </w:rPr>
      </w:pPr>
      <w:r w:rsidRPr="009A4255">
        <w:rPr>
          <w:shadow/>
          <w:sz w:val="100"/>
          <w:szCs w:val="100"/>
          <w:u w:val="single"/>
        </w:rPr>
        <w:t>Rynek walutowy</w:t>
      </w:r>
    </w:p>
    <w:p w:rsidR="0039641B" w:rsidRPr="009A4255" w:rsidRDefault="0039641B" w:rsidP="0039641B">
      <w:pPr>
        <w:pStyle w:val="Bezodstpw"/>
        <w:jc w:val="center"/>
        <w:rPr>
          <w:shadow/>
          <w:sz w:val="100"/>
          <w:szCs w:val="100"/>
        </w:rPr>
      </w:pPr>
    </w:p>
    <w:p w:rsidR="0039641B" w:rsidRPr="009A4255" w:rsidRDefault="0039641B" w:rsidP="0039641B">
      <w:pPr>
        <w:pStyle w:val="Bezodstpw"/>
        <w:jc w:val="center"/>
        <w:rPr>
          <w:shadow/>
          <w:sz w:val="100"/>
          <w:szCs w:val="100"/>
          <w:u w:val="single"/>
        </w:rPr>
      </w:pPr>
      <w:r w:rsidRPr="009A4255">
        <w:rPr>
          <w:shadow/>
          <w:sz w:val="100"/>
          <w:szCs w:val="100"/>
          <w:u w:val="single"/>
        </w:rPr>
        <w:t>Rynek akcji</w:t>
      </w: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p>
    <w:p w:rsidR="00210881" w:rsidRDefault="00210881" w:rsidP="00210881">
      <w:pPr>
        <w:pStyle w:val="Bezodstpw"/>
        <w:jc w:val="both"/>
        <w:rPr>
          <w:shadow/>
          <w:sz w:val="24"/>
          <w:szCs w:val="24"/>
        </w:rPr>
      </w:pPr>
      <w:r w:rsidRPr="00D72F94">
        <w:rPr>
          <w:shadow/>
          <w:sz w:val="24"/>
          <w:szCs w:val="24"/>
        </w:rPr>
        <w:lastRenderedPageBreak/>
        <w:t xml:space="preserve">Poniedziałek, </w:t>
      </w:r>
      <w:r>
        <w:rPr>
          <w:shadow/>
          <w:sz w:val="24"/>
          <w:szCs w:val="24"/>
        </w:rPr>
        <w:t xml:space="preserve">4 maja </w:t>
      </w:r>
      <w:r w:rsidRPr="00D72F94">
        <w:rPr>
          <w:shadow/>
          <w:sz w:val="24"/>
          <w:szCs w:val="24"/>
        </w:rPr>
        <w:t>201</w:t>
      </w:r>
      <w:r>
        <w:rPr>
          <w:shadow/>
          <w:sz w:val="24"/>
          <w:szCs w:val="24"/>
        </w:rPr>
        <w:t>5</w:t>
      </w:r>
      <w:r w:rsidRPr="00D72F94">
        <w:rPr>
          <w:shadow/>
          <w:sz w:val="24"/>
          <w:szCs w:val="24"/>
        </w:rPr>
        <w:t xml:space="preserve"> roku</w:t>
      </w:r>
    </w:p>
    <w:p w:rsidR="00210881" w:rsidRPr="00D72F94" w:rsidRDefault="00210881" w:rsidP="00210881">
      <w:pPr>
        <w:pStyle w:val="Bezodstpw"/>
        <w:jc w:val="both"/>
        <w:rPr>
          <w:shadow/>
          <w:sz w:val="24"/>
          <w:szCs w:val="24"/>
        </w:rPr>
      </w:pPr>
    </w:p>
    <w:p w:rsidR="00210881" w:rsidRDefault="00210881" w:rsidP="00210881">
      <w:pPr>
        <w:pStyle w:val="Bezodstpw"/>
        <w:pBdr>
          <w:top w:val="single" w:sz="4" w:space="1" w:color="auto"/>
          <w:left w:val="single" w:sz="4" w:space="4" w:color="auto"/>
          <w:bottom w:val="single" w:sz="4" w:space="1" w:color="auto"/>
          <w:right w:val="single" w:sz="4" w:space="4" w:color="auto"/>
        </w:pBdr>
        <w:jc w:val="center"/>
      </w:pPr>
      <w:r>
        <w:t>Kurs USD/PLN – perspektywa długoterminowa, kurs z 30 kwietnia 2015 roku = 3,6330</w:t>
      </w:r>
    </w:p>
    <w:p w:rsidR="00210881" w:rsidRDefault="00210881" w:rsidP="00210881">
      <w:pPr>
        <w:pStyle w:val="Bezodstpw"/>
        <w:jc w:val="both"/>
      </w:pPr>
    </w:p>
    <w:p w:rsidR="00210881" w:rsidRDefault="00210881" w:rsidP="00210881">
      <w:pPr>
        <w:pStyle w:val="Bezodstpw"/>
        <w:jc w:val="both"/>
      </w:pPr>
      <w:r>
        <w:rPr>
          <w:noProof/>
        </w:rPr>
        <w:drawing>
          <wp:inline distT="0" distB="0" distL="0" distR="0">
            <wp:extent cx="4829175" cy="2905125"/>
            <wp:effectExtent l="19050" t="0" r="9525" b="0"/>
            <wp:docPr id="4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829175" cy="2905125"/>
                    </a:xfrm>
                    <a:prstGeom prst="rect">
                      <a:avLst/>
                    </a:prstGeom>
                    <a:noFill/>
                  </pic:spPr>
                </pic:pic>
              </a:graphicData>
            </a:graphic>
          </wp:inline>
        </w:drawing>
      </w:r>
    </w:p>
    <w:p w:rsidR="00210881" w:rsidRDefault="00210881" w:rsidP="00210881">
      <w:pPr>
        <w:pStyle w:val="Bezodstpw"/>
        <w:jc w:val="both"/>
      </w:pPr>
      <w:r>
        <w:t xml:space="preserve">Kurs spadł </w:t>
      </w:r>
      <w:r w:rsidRPr="006D27DC">
        <w:rPr>
          <w:b/>
          <w:color w:val="FF0000"/>
        </w:rPr>
        <w:t>poniżej bardzo ważnego oporu</w:t>
      </w:r>
      <w:r>
        <w:t xml:space="preserve"> na poziomie 3,9130 zł. z lutego 2009 roku. </w:t>
      </w:r>
      <w:r w:rsidRPr="004505AC">
        <w:rPr>
          <w:u w:val="single"/>
        </w:rPr>
        <w:t xml:space="preserve">W tej sytuacji </w:t>
      </w:r>
      <w:r>
        <w:t>m</w:t>
      </w:r>
      <w:r w:rsidRPr="006E1995">
        <w:t>ożna</w:t>
      </w:r>
      <w:r w:rsidRPr="006E1995">
        <w:rPr>
          <w:u w:val="single"/>
        </w:rPr>
        <w:t xml:space="preserve"> </w:t>
      </w:r>
      <w:r w:rsidRPr="00220F89">
        <w:rPr>
          <w:b/>
          <w:u w:val="single"/>
        </w:rPr>
        <w:t>oczekiwać rozpoczęcia</w:t>
      </w:r>
      <w:r>
        <w:rPr>
          <w:b/>
          <w:u w:val="single"/>
        </w:rPr>
        <w:t xml:space="preserve"> się fali</w:t>
      </w:r>
      <w:r w:rsidRPr="00F1241D">
        <w:rPr>
          <w:b/>
          <w:u w:val="single"/>
        </w:rPr>
        <w:t xml:space="preserve"> spadków</w:t>
      </w:r>
      <w:r>
        <w:t xml:space="preserve"> w kierunku linii trendu wzrostowego poprowadzonej przez dołki z lipca 2008 roku oraz czerwca 2014 roku, która aktualnie przebiega na poziomie </w:t>
      </w:r>
      <w:r w:rsidRPr="00550E2A">
        <w:rPr>
          <w:b/>
          <w:color w:val="FF0000"/>
        </w:rPr>
        <w:t>3,10.</w:t>
      </w:r>
      <w:r>
        <w:t xml:space="preserve"> </w:t>
      </w:r>
    </w:p>
    <w:p w:rsidR="00210881" w:rsidRDefault="00210881" w:rsidP="00210881">
      <w:pPr>
        <w:pStyle w:val="Bezodstpw"/>
        <w:jc w:val="both"/>
      </w:pPr>
    </w:p>
    <w:p w:rsidR="00210881" w:rsidRDefault="00210881" w:rsidP="00210881">
      <w:pPr>
        <w:pStyle w:val="Bezodstpw"/>
        <w:pBdr>
          <w:top w:val="single" w:sz="4" w:space="1" w:color="auto"/>
          <w:left w:val="single" w:sz="4" w:space="4" w:color="auto"/>
          <w:bottom w:val="single" w:sz="4" w:space="1" w:color="auto"/>
          <w:right w:val="single" w:sz="4" w:space="4" w:color="auto"/>
        </w:pBdr>
        <w:jc w:val="center"/>
      </w:pPr>
      <w:r>
        <w:t>Kurs EUR/PLN – perspektywa długoterminowa, kurs z 30 kwietnia 2015 roku = 4,0731</w:t>
      </w:r>
    </w:p>
    <w:p w:rsidR="00210881" w:rsidRDefault="00210881" w:rsidP="00210881">
      <w:pPr>
        <w:pStyle w:val="Bezodstpw"/>
        <w:jc w:val="both"/>
      </w:pPr>
    </w:p>
    <w:p w:rsidR="00210881" w:rsidRDefault="00210881" w:rsidP="00210881">
      <w:pPr>
        <w:pStyle w:val="Bezodstpw"/>
        <w:jc w:val="both"/>
      </w:pPr>
      <w:r>
        <w:rPr>
          <w:noProof/>
        </w:rPr>
        <w:drawing>
          <wp:inline distT="0" distB="0" distL="0" distR="0">
            <wp:extent cx="4829175" cy="2905125"/>
            <wp:effectExtent l="19050" t="0" r="9525" b="0"/>
            <wp:docPr id="4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29175" cy="2905125"/>
                    </a:xfrm>
                    <a:prstGeom prst="rect">
                      <a:avLst/>
                    </a:prstGeom>
                    <a:noFill/>
                  </pic:spPr>
                </pic:pic>
              </a:graphicData>
            </a:graphic>
          </wp:inline>
        </w:drawing>
      </w:r>
    </w:p>
    <w:p w:rsidR="00210881" w:rsidRDefault="00210881" w:rsidP="00210881">
      <w:pPr>
        <w:pStyle w:val="Bezodstpw"/>
        <w:jc w:val="both"/>
      </w:pPr>
    </w:p>
    <w:p w:rsidR="00210881" w:rsidRDefault="00210881" w:rsidP="00210881">
      <w:pPr>
        <w:pStyle w:val="Bezodstpw"/>
        <w:jc w:val="both"/>
        <w:rPr>
          <w:color w:val="000000" w:themeColor="text1"/>
        </w:rPr>
      </w:pPr>
      <w:r>
        <w:t xml:space="preserve">Aktywność strony podażowej doprowadziła do przebicia od góry spadkowej linii trendu poprowadzonej przez szczyty z lutego 2009 roku oraz grudnia 2011 roku. Bardzo ważnym poziomem oporu był poziom </w:t>
      </w:r>
      <w:r w:rsidRPr="00411E48">
        <w:rPr>
          <w:b/>
          <w:color w:val="000000" w:themeColor="text1"/>
        </w:rPr>
        <w:t>4,3668</w:t>
      </w:r>
      <w:r>
        <w:t xml:space="preserve"> (szczyt z czerwca 2013 roku). Po dojściu do tego oporu </w:t>
      </w:r>
      <w:r w:rsidRPr="00220F89">
        <w:rPr>
          <w:b/>
          <w:u w:val="single"/>
        </w:rPr>
        <w:t>rozpoczęła się</w:t>
      </w:r>
      <w:r>
        <w:t xml:space="preserve"> </w:t>
      </w:r>
      <w:r>
        <w:rPr>
          <w:b/>
          <w:u w:val="single"/>
        </w:rPr>
        <w:t>fala</w:t>
      </w:r>
      <w:r w:rsidRPr="00F1241D">
        <w:rPr>
          <w:b/>
          <w:u w:val="single"/>
        </w:rPr>
        <w:t xml:space="preserve"> spadków</w:t>
      </w:r>
      <w:r>
        <w:t xml:space="preserve"> w kierunku ważnego wsparcia, którym był </w:t>
      </w:r>
      <w:r w:rsidRPr="007A3616">
        <w:t>dołek z 6 czerwca 2014 roku</w:t>
      </w:r>
      <w:r>
        <w:t xml:space="preserve"> przebiegający na poziomie </w:t>
      </w:r>
      <w:r w:rsidRPr="007A3616">
        <w:t xml:space="preserve"> </w:t>
      </w:r>
      <w:r w:rsidRPr="00FE7318">
        <w:rPr>
          <w:b/>
          <w:color w:val="000000" w:themeColor="text1"/>
        </w:rPr>
        <w:t>4</w:t>
      </w:r>
      <w:r w:rsidRPr="0021188E">
        <w:rPr>
          <w:b/>
          <w:color w:val="000000" w:themeColor="text1"/>
        </w:rPr>
        <w:t>,092.</w:t>
      </w:r>
      <w:r>
        <w:rPr>
          <w:b/>
          <w:color w:val="FF0000"/>
        </w:rPr>
        <w:t xml:space="preserve"> </w:t>
      </w:r>
      <w:r w:rsidRPr="009D3063">
        <w:rPr>
          <w:color w:val="000000" w:themeColor="text1"/>
        </w:rPr>
        <w:t>Pokonane zostało od dołu wsparcie na poziomie</w:t>
      </w:r>
      <w:r>
        <w:rPr>
          <w:b/>
          <w:color w:val="FF0000"/>
        </w:rPr>
        <w:t xml:space="preserve"> </w:t>
      </w:r>
      <w:r w:rsidRPr="00FE7318">
        <w:rPr>
          <w:b/>
          <w:color w:val="FF0000"/>
        </w:rPr>
        <w:t>4,0</w:t>
      </w:r>
      <w:r>
        <w:rPr>
          <w:b/>
          <w:color w:val="FF0000"/>
        </w:rPr>
        <w:t xml:space="preserve">264 </w:t>
      </w:r>
      <w:r w:rsidRPr="00507FD9">
        <w:rPr>
          <w:color w:val="000000" w:themeColor="text1"/>
        </w:rPr>
        <w:t>(dołek z 10 sierpnia 2012 roku).</w:t>
      </w:r>
      <w:r>
        <w:rPr>
          <w:color w:val="000000" w:themeColor="text1"/>
        </w:rPr>
        <w:t xml:space="preserve"> Kolejnym wsparciem jest poziom </w:t>
      </w:r>
      <w:r w:rsidRPr="009D3063">
        <w:rPr>
          <w:b/>
          <w:color w:val="FF0000"/>
        </w:rPr>
        <w:t>3,8932 zł</w:t>
      </w:r>
      <w:r>
        <w:rPr>
          <w:color w:val="000000" w:themeColor="text1"/>
        </w:rPr>
        <w:t xml:space="preserve"> (dołek z maja 2011 roku). </w:t>
      </w:r>
    </w:p>
    <w:p w:rsidR="0039641B" w:rsidRDefault="0039641B" w:rsidP="0039641B">
      <w:pPr>
        <w:pStyle w:val="Bezodstpw"/>
        <w:pBdr>
          <w:top w:val="single" w:sz="4" w:space="1" w:color="auto"/>
          <w:left w:val="single" w:sz="4" w:space="4" w:color="auto"/>
          <w:bottom w:val="single" w:sz="4" w:space="1" w:color="auto"/>
          <w:right w:val="single" w:sz="4" w:space="4" w:color="auto"/>
        </w:pBdr>
        <w:jc w:val="center"/>
      </w:pPr>
      <w:r>
        <w:lastRenderedPageBreak/>
        <w:t xml:space="preserve">,,Pęk średnich” na wykresach 3 indeksów branżowych – co z tego wynika ? </w:t>
      </w:r>
    </w:p>
    <w:p w:rsidR="0039641B" w:rsidRDefault="0039641B" w:rsidP="0039641B">
      <w:pPr>
        <w:pStyle w:val="Bezodstpw"/>
        <w:jc w:val="both"/>
      </w:pPr>
    </w:p>
    <w:p w:rsidR="0039641B" w:rsidRPr="006528C8" w:rsidRDefault="0039641B" w:rsidP="0039641B">
      <w:pPr>
        <w:pStyle w:val="Bezodstpw"/>
        <w:jc w:val="both"/>
        <w:rPr>
          <w:b/>
        </w:rPr>
      </w:pPr>
      <w:r>
        <w:t xml:space="preserve">W środę 29 kwietnia 2015 roku zamieściłem na stronie internetowej </w:t>
      </w:r>
      <w:hyperlink r:id="rId9" w:history="1">
        <w:r w:rsidRPr="003420A4">
          <w:rPr>
            <w:rStyle w:val="Hipercze"/>
          </w:rPr>
          <w:t>http://analizy-rynkowe.pl/</w:t>
        </w:r>
      </w:hyperlink>
      <w:r>
        <w:t xml:space="preserve"> wykresy 3 indeksów branżowych obliczanych przez portal </w:t>
      </w:r>
      <w:hyperlink r:id="rId10" w:history="1">
        <w:r w:rsidRPr="003420A4">
          <w:rPr>
            <w:rStyle w:val="Hipercze"/>
          </w:rPr>
          <w:t>http://stooq.com/</w:t>
        </w:r>
      </w:hyperlink>
      <w:r>
        <w:t xml:space="preserve">. Były to: </w:t>
      </w:r>
      <w:r w:rsidRPr="006528C8">
        <w:rPr>
          <w:b/>
        </w:rPr>
        <w:t xml:space="preserve">indeks branży bod wolnej, indeks branży informatycznej oraz indeks branży medialnej. </w:t>
      </w:r>
    </w:p>
    <w:p w:rsidR="0039641B" w:rsidRDefault="0039641B" w:rsidP="0039641B">
      <w:pPr>
        <w:pStyle w:val="Bezodstpw"/>
        <w:jc w:val="both"/>
      </w:pPr>
    </w:p>
    <w:p w:rsidR="0039641B" w:rsidRDefault="0039641B" w:rsidP="0039641B">
      <w:pPr>
        <w:pStyle w:val="Bezodstpw"/>
        <w:jc w:val="both"/>
      </w:pPr>
      <w:r>
        <w:t xml:space="preserve">Można było zauważyć, że w przypadku tych 3 wykresów mamy do czynienia ze zjawiskiem pojawienia się tak zwanego </w:t>
      </w:r>
      <w:r w:rsidRPr="006528C8">
        <w:rPr>
          <w:b/>
        </w:rPr>
        <w:t>pęku średnich</w:t>
      </w:r>
      <w:r>
        <w:t xml:space="preserve">. Jego istotą jest silne </w:t>
      </w:r>
      <w:r w:rsidRPr="006528C8">
        <w:rPr>
          <w:b/>
          <w:u w:val="single"/>
        </w:rPr>
        <w:t>zbliżenie się do siebie średnich ruchomych</w:t>
      </w:r>
      <w:r>
        <w:t xml:space="preserve">. </w:t>
      </w:r>
    </w:p>
    <w:p w:rsidR="0039641B" w:rsidRDefault="0039641B" w:rsidP="0039641B">
      <w:pPr>
        <w:pStyle w:val="Bezodstpw"/>
        <w:jc w:val="both"/>
      </w:pPr>
    </w:p>
    <w:p w:rsidR="0039641B" w:rsidRDefault="0039641B" w:rsidP="0039641B">
      <w:pPr>
        <w:pStyle w:val="Bezodstpw"/>
        <w:jc w:val="both"/>
      </w:pPr>
      <w:r>
        <w:t xml:space="preserve">Co ważne, aby (moim zdaniem) można było mówić o </w:t>
      </w:r>
      <w:r w:rsidR="006D27DC" w:rsidRPr="006D27DC">
        <w:rPr>
          <w:b/>
          <w:u w:val="single"/>
        </w:rPr>
        <w:t xml:space="preserve">szczególnie wartościowym </w:t>
      </w:r>
      <w:r w:rsidRPr="006D27DC">
        <w:rPr>
          <w:b/>
          <w:u w:val="single"/>
        </w:rPr>
        <w:t>pęku średnich</w:t>
      </w:r>
      <w:r>
        <w:t xml:space="preserve"> konieczne jest, aby w pobliżu tego ,,zbiorowiska” średnich znajdował się sam indeks. Oczywiście w przypadku wykresu akcji spółki chodzić będzie nie o wykres indeksu a o </w:t>
      </w:r>
      <w:r w:rsidR="006D27DC">
        <w:t>wykres</w:t>
      </w:r>
      <w:r>
        <w:t xml:space="preserve"> kursu akcji. </w:t>
      </w:r>
    </w:p>
    <w:p w:rsidR="0039641B" w:rsidRDefault="0039641B" w:rsidP="0039641B">
      <w:pPr>
        <w:pStyle w:val="Bezodstpw"/>
        <w:jc w:val="both"/>
      </w:pPr>
    </w:p>
    <w:p w:rsidR="0039641B" w:rsidRDefault="0039641B" w:rsidP="0039641B">
      <w:pPr>
        <w:pStyle w:val="Bezodstpw"/>
        <w:jc w:val="both"/>
      </w:pPr>
      <w:r>
        <w:t xml:space="preserve">W przypadku zarówno indeksu budowlanego, jak również informatycznego oraz medialnego nastąpiło zbliżenie się do siebie 3 średnich ruchomych: średniej </w:t>
      </w:r>
      <w:r w:rsidRPr="006528C8">
        <w:rPr>
          <w:b/>
        </w:rPr>
        <w:t>z 500 sesji</w:t>
      </w:r>
      <w:r>
        <w:t xml:space="preserve"> (zaznaczyłem ją kolorem czerwonym przerywanym), średniej z </w:t>
      </w:r>
      <w:r w:rsidRPr="006528C8">
        <w:rPr>
          <w:b/>
        </w:rPr>
        <w:t>200 sesji</w:t>
      </w:r>
      <w:r>
        <w:t xml:space="preserve"> (zaznaczyłem ją kolorem niebieskim) oraz średniej ze </w:t>
      </w:r>
      <w:r w:rsidRPr="006528C8">
        <w:rPr>
          <w:b/>
        </w:rPr>
        <w:t>100 sesji</w:t>
      </w:r>
      <w:r>
        <w:t xml:space="preserve"> (zaznaczyłem ją kolorem żółtym). </w:t>
      </w:r>
    </w:p>
    <w:p w:rsidR="0039641B" w:rsidRDefault="0039641B" w:rsidP="0039641B">
      <w:pPr>
        <w:pStyle w:val="Bezodstpw"/>
        <w:jc w:val="both"/>
      </w:pPr>
    </w:p>
    <w:p w:rsidR="0039641B" w:rsidRDefault="0039641B" w:rsidP="0039641B">
      <w:pPr>
        <w:pStyle w:val="Bezodstpw"/>
        <w:jc w:val="both"/>
      </w:pPr>
      <w:r>
        <w:t xml:space="preserve">Doświadczenie podpowiada mi, że pojawienie się takiego pęku średnich stwarza bardzo dużą szansę na to, że niedługo czeka nas bardzo silny ruch (w górę lub w dół). Oczywiście zawsze właśnie pojawia się ten dylemat: czy pojawi się ruch w górę, czy też w dół. </w:t>
      </w:r>
    </w:p>
    <w:p w:rsidR="0039641B" w:rsidRDefault="0039641B" w:rsidP="0039641B">
      <w:pPr>
        <w:pStyle w:val="Bezodstpw"/>
        <w:jc w:val="both"/>
      </w:pPr>
    </w:p>
    <w:p w:rsidR="0039641B" w:rsidRPr="00D87466" w:rsidRDefault="0039641B" w:rsidP="0039641B">
      <w:pPr>
        <w:pStyle w:val="Bezodstpw"/>
        <w:jc w:val="both"/>
        <w:rPr>
          <w:b/>
          <w:u w:val="single"/>
        </w:rPr>
      </w:pPr>
      <w:r>
        <w:t xml:space="preserve">W tym kontekście warto być może </w:t>
      </w:r>
      <w:r w:rsidRPr="006528C8">
        <w:rPr>
          <w:b/>
          <w:u w:val="single"/>
        </w:rPr>
        <w:t>połączyć analizę</w:t>
      </w:r>
      <w:r>
        <w:t xml:space="preserve"> pojawiającego się pęku średnich </w:t>
      </w:r>
      <w:r w:rsidRPr="00D87466">
        <w:rPr>
          <w:b/>
          <w:u w:val="single"/>
        </w:rPr>
        <w:t xml:space="preserve">z analizą hipotetycznego (typowego lub nietypowego) podwójnego dna. </w:t>
      </w:r>
    </w:p>
    <w:p w:rsidR="0039641B" w:rsidRDefault="0039641B" w:rsidP="0039641B">
      <w:pPr>
        <w:pStyle w:val="Bezodstpw"/>
        <w:jc w:val="both"/>
      </w:pPr>
    </w:p>
    <w:p w:rsidR="0039641B" w:rsidRDefault="0039641B" w:rsidP="0039641B">
      <w:pPr>
        <w:pStyle w:val="Bezodstpw"/>
        <w:jc w:val="both"/>
        <w:rPr>
          <w:b/>
          <w:u w:val="single"/>
        </w:rPr>
      </w:pPr>
      <w:r w:rsidRPr="009C0626">
        <w:rPr>
          <w:b/>
          <w:u w:val="single"/>
        </w:rPr>
        <w:t xml:space="preserve">INDEKS BRANŻY BUDOWLANEJ </w:t>
      </w:r>
    </w:p>
    <w:p w:rsidR="0039641B" w:rsidRDefault="0039641B" w:rsidP="0039641B">
      <w:pPr>
        <w:pStyle w:val="Bezodstpw"/>
        <w:jc w:val="both"/>
        <w:rPr>
          <w:b/>
          <w:u w:val="single"/>
        </w:rPr>
      </w:pPr>
    </w:p>
    <w:p w:rsidR="0039641B" w:rsidRDefault="0039641B" w:rsidP="0039641B">
      <w:pPr>
        <w:pStyle w:val="Bezodstpw"/>
        <w:jc w:val="both"/>
        <w:rPr>
          <w:b/>
          <w:u w:val="single"/>
        </w:rPr>
      </w:pPr>
      <w:r>
        <w:rPr>
          <w:b/>
          <w:noProof/>
          <w:u w:val="single"/>
        </w:rPr>
        <w:drawing>
          <wp:inline distT="0" distB="0" distL="0" distR="0">
            <wp:extent cx="4829175" cy="2905125"/>
            <wp:effectExtent l="19050" t="0" r="9525"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rPr>
          <w:b/>
          <w:noProof/>
          <w:u w:val="single"/>
        </w:rPr>
      </w:pPr>
    </w:p>
    <w:p w:rsidR="0039641B" w:rsidRDefault="0039641B" w:rsidP="0039641B">
      <w:pPr>
        <w:pStyle w:val="Bezodstpw"/>
        <w:jc w:val="both"/>
        <w:rPr>
          <w:noProof/>
        </w:rPr>
      </w:pPr>
      <w:r>
        <w:rPr>
          <w:noProof/>
        </w:rPr>
        <w:t xml:space="preserve">Za pomocą zielonej elispy zaznaczyłem pęk średnich. Jeżeli indeks branży budowlanej wzrośnie o jeszcze o </w:t>
      </w:r>
      <w:r w:rsidRPr="00645380">
        <w:rPr>
          <w:b/>
          <w:noProof/>
          <w:color w:val="FF0000"/>
        </w:rPr>
        <w:t>5,7 %</w:t>
      </w:r>
      <w:r>
        <w:rPr>
          <w:noProof/>
        </w:rPr>
        <w:t xml:space="preserve"> doszłoby do wybicia z nietypowej formacji podwójnego dna. Czy do tego dojdzie ? Zobaczymy. </w:t>
      </w:r>
    </w:p>
    <w:p w:rsidR="0039641B" w:rsidRPr="006528C8" w:rsidRDefault="0039641B" w:rsidP="0039641B">
      <w:pPr>
        <w:pStyle w:val="Bezodstpw"/>
        <w:jc w:val="both"/>
        <w:rPr>
          <w:b/>
          <w:noProof/>
        </w:rPr>
      </w:pPr>
    </w:p>
    <w:p w:rsidR="0039641B" w:rsidRPr="0066077C" w:rsidRDefault="0039641B" w:rsidP="0039641B">
      <w:pPr>
        <w:pStyle w:val="Bezodstpw"/>
        <w:jc w:val="both"/>
        <w:rPr>
          <w:noProof/>
        </w:rPr>
      </w:pPr>
      <w:r w:rsidRPr="006528C8">
        <w:rPr>
          <w:b/>
          <w:noProof/>
        </w:rPr>
        <w:t>Szansę są duże. Warto zauważyć, że układ średnich zmienil się w typowy</w:t>
      </w:r>
      <w:r>
        <w:rPr>
          <w:noProof/>
        </w:rPr>
        <w:t xml:space="preserve"> dla hossy. Rosną wszytskie 3 średnie: średnia z 500 sesji, 200 sesji oraz 100 sesji. </w:t>
      </w:r>
    </w:p>
    <w:p w:rsidR="0039641B" w:rsidRDefault="0039641B" w:rsidP="0039641B">
      <w:pPr>
        <w:pStyle w:val="Bezodstpw"/>
        <w:jc w:val="both"/>
        <w:rPr>
          <w:b/>
          <w:u w:val="single"/>
        </w:rPr>
      </w:pPr>
      <w:r>
        <w:rPr>
          <w:b/>
          <w:u w:val="single"/>
        </w:rPr>
        <w:lastRenderedPageBreak/>
        <w:t xml:space="preserve">INDEKS BRANŻY INFORMATYCZNEJ </w:t>
      </w:r>
    </w:p>
    <w:p w:rsidR="0039641B" w:rsidRDefault="0039641B" w:rsidP="0039641B">
      <w:pPr>
        <w:pStyle w:val="Bezodstpw"/>
        <w:jc w:val="both"/>
        <w:rPr>
          <w:b/>
          <w:u w:val="single"/>
        </w:rPr>
      </w:pPr>
    </w:p>
    <w:p w:rsidR="0039641B" w:rsidRDefault="0039641B" w:rsidP="0039641B">
      <w:pPr>
        <w:pStyle w:val="Bezodstpw"/>
        <w:jc w:val="both"/>
        <w:rPr>
          <w:b/>
          <w:u w:val="single"/>
        </w:rPr>
      </w:pPr>
      <w:r>
        <w:rPr>
          <w:b/>
          <w:noProof/>
          <w:u w:val="single"/>
        </w:rPr>
        <w:drawing>
          <wp:inline distT="0" distB="0" distL="0" distR="0">
            <wp:extent cx="4829175" cy="2905125"/>
            <wp:effectExtent l="19050" t="0" r="9525" b="0"/>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rPr>
          <w:b/>
          <w:noProof/>
          <w:u w:val="single"/>
        </w:rPr>
      </w:pPr>
    </w:p>
    <w:p w:rsidR="0039641B" w:rsidRDefault="0039641B" w:rsidP="0039641B">
      <w:pPr>
        <w:pStyle w:val="Bezodstpw"/>
        <w:jc w:val="both"/>
        <w:rPr>
          <w:noProof/>
        </w:rPr>
      </w:pPr>
      <w:r>
        <w:rPr>
          <w:noProof/>
        </w:rPr>
        <w:t xml:space="preserve">Za pomocą zielonej elispy zaznaczyłem pęk średnich. Jeżeli indeks branży informatycznej wzrośnie o jeszcze o </w:t>
      </w:r>
      <w:r w:rsidRPr="00645380">
        <w:rPr>
          <w:b/>
          <w:noProof/>
          <w:color w:val="FF0000"/>
        </w:rPr>
        <w:t>7,5 %</w:t>
      </w:r>
      <w:r>
        <w:rPr>
          <w:noProof/>
        </w:rPr>
        <w:t xml:space="preserve"> doszłoby do wybicia z nietypowej formacji podwójnego dna. Czy do tego dojdzie ? Zobaczymy. </w:t>
      </w:r>
      <w:r w:rsidRPr="006528C8">
        <w:rPr>
          <w:b/>
          <w:noProof/>
        </w:rPr>
        <w:t>Szansę są duże. Warto zauważyć, że układ średnich zmienil się w typowy dla hossy. Rosną wszytskie 3 średnie: średnia z 500 sesji, 200 sesji oraz 100 sesji</w:t>
      </w:r>
      <w:r>
        <w:rPr>
          <w:noProof/>
        </w:rPr>
        <w:t xml:space="preserve">. </w:t>
      </w:r>
    </w:p>
    <w:p w:rsidR="0039641B" w:rsidRPr="0066077C" w:rsidRDefault="0039641B" w:rsidP="0039641B">
      <w:pPr>
        <w:pStyle w:val="Bezodstpw"/>
        <w:jc w:val="both"/>
        <w:rPr>
          <w:noProof/>
        </w:rPr>
      </w:pPr>
    </w:p>
    <w:p w:rsidR="0039641B" w:rsidRDefault="0039641B" w:rsidP="0039641B">
      <w:pPr>
        <w:pStyle w:val="Bezodstpw"/>
        <w:jc w:val="both"/>
        <w:rPr>
          <w:b/>
          <w:u w:val="single"/>
        </w:rPr>
      </w:pPr>
      <w:r>
        <w:rPr>
          <w:b/>
          <w:u w:val="single"/>
        </w:rPr>
        <w:t xml:space="preserve">INDEKS BRANŻY MEDIALNEJ </w:t>
      </w:r>
    </w:p>
    <w:p w:rsidR="0039641B" w:rsidRDefault="0039641B" w:rsidP="0039641B">
      <w:pPr>
        <w:pStyle w:val="Bezodstpw"/>
        <w:jc w:val="both"/>
        <w:rPr>
          <w:b/>
          <w:u w:val="single"/>
        </w:rPr>
      </w:pPr>
    </w:p>
    <w:p w:rsidR="0039641B" w:rsidRDefault="0039641B" w:rsidP="0039641B">
      <w:pPr>
        <w:pStyle w:val="Bezodstpw"/>
        <w:jc w:val="both"/>
        <w:rPr>
          <w:b/>
          <w:u w:val="single"/>
        </w:rPr>
      </w:pPr>
      <w:r>
        <w:rPr>
          <w:b/>
          <w:noProof/>
          <w:u w:val="single"/>
        </w:rPr>
        <w:drawing>
          <wp:inline distT="0" distB="0" distL="0" distR="0">
            <wp:extent cx="4829175" cy="2905125"/>
            <wp:effectExtent l="19050" t="0" r="9525" b="0"/>
            <wp:docPr id="1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rPr>
          <w:b/>
          <w:noProof/>
          <w:u w:val="single"/>
        </w:rPr>
      </w:pPr>
    </w:p>
    <w:p w:rsidR="0039641B" w:rsidRPr="006528C8" w:rsidRDefault="0039641B" w:rsidP="0039641B">
      <w:pPr>
        <w:pStyle w:val="Bezodstpw"/>
        <w:jc w:val="both"/>
        <w:rPr>
          <w:b/>
          <w:noProof/>
        </w:rPr>
      </w:pPr>
      <w:r>
        <w:rPr>
          <w:noProof/>
        </w:rPr>
        <w:t xml:space="preserve">Za pomocą zielonej elispy zaznaczyłem pęk średnich. Jeżeli indeks branży medialnej wzrośnie o jeszcze o </w:t>
      </w:r>
      <w:r w:rsidRPr="00645380">
        <w:rPr>
          <w:b/>
          <w:noProof/>
          <w:color w:val="FF0000"/>
        </w:rPr>
        <w:t>4,3 %</w:t>
      </w:r>
      <w:r>
        <w:rPr>
          <w:noProof/>
        </w:rPr>
        <w:t xml:space="preserve"> doszłoby do wybicia z nietypowej formacji podwójnego dna. Czy do tego dojdzie ? Zobaczymy. </w:t>
      </w:r>
      <w:r w:rsidRPr="006528C8">
        <w:rPr>
          <w:b/>
          <w:noProof/>
        </w:rPr>
        <w:t xml:space="preserve">Szansę są duże. Warto zauważyć, że układ średnich zmienil się w typowy dla hossy. Rosną wszytskie 3 średnie: średnia z 500 sesji, 200 sesji oraz 100 sesji. </w:t>
      </w:r>
    </w:p>
    <w:p w:rsidR="0039641B" w:rsidRDefault="0039641B" w:rsidP="0039641B">
      <w:pPr>
        <w:pStyle w:val="Bezodstpw"/>
        <w:jc w:val="both"/>
        <w:rPr>
          <w:b/>
          <w:u w:val="single"/>
        </w:rPr>
      </w:pPr>
    </w:p>
    <w:p w:rsidR="0039641B" w:rsidRDefault="0039641B" w:rsidP="0039641B">
      <w:pPr>
        <w:pStyle w:val="Bezodstpw"/>
        <w:jc w:val="both"/>
      </w:pPr>
      <w:r>
        <w:lastRenderedPageBreak/>
        <w:t xml:space="preserve">W jaki sposób możliwe jest </w:t>
      </w:r>
      <w:r w:rsidRPr="006528C8">
        <w:rPr>
          <w:b/>
          <w:u w:val="single"/>
        </w:rPr>
        <w:t xml:space="preserve">połączenie </w:t>
      </w:r>
      <w:r>
        <w:t xml:space="preserve">analizy pęku średnich z analizę hipotetycznego podwójnego dna </w:t>
      </w:r>
      <w:r w:rsidR="006D27DC">
        <w:t>w praktycy inwestycyjnej</w:t>
      </w:r>
      <w:r>
        <w:t xml:space="preserve">? </w:t>
      </w:r>
    </w:p>
    <w:p w:rsidR="0039641B" w:rsidRDefault="0039641B" w:rsidP="0039641B">
      <w:pPr>
        <w:pStyle w:val="Bezodstpw"/>
        <w:jc w:val="both"/>
      </w:pPr>
    </w:p>
    <w:p w:rsidR="0039641B" w:rsidRDefault="0039641B" w:rsidP="0039641B">
      <w:pPr>
        <w:pStyle w:val="Bezodstpw"/>
        <w:jc w:val="both"/>
      </w:pPr>
      <w:r>
        <w:t xml:space="preserve">Powiem w ten sposób: nie chcę nikomu udzielać żadnych rad. Nie czuję się do tego powołany i nie mam w tym zakresie uprawnień. </w:t>
      </w:r>
    </w:p>
    <w:p w:rsidR="0039641B" w:rsidRDefault="0039641B" w:rsidP="0039641B">
      <w:pPr>
        <w:pStyle w:val="Bezodstpw"/>
        <w:jc w:val="both"/>
      </w:pPr>
    </w:p>
    <w:p w:rsidR="0039641B" w:rsidRDefault="0039641B" w:rsidP="0039641B">
      <w:pPr>
        <w:pStyle w:val="Bezodstpw"/>
        <w:jc w:val="both"/>
      </w:pPr>
      <w:r>
        <w:t xml:space="preserve">Natomiast jestem w stanie wyobrazić sobie hipotetycznie </w:t>
      </w:r>
      <w:r w:rsidRPr="006528C8">
        <w:rPr>
          <w:b/>
          <w:color w:val="FF0000"/>
        </w:rPr>
        <w:t>inwestora Grzegorza</w:t>
      </w:r>
      <w:r>
        <w:t xml:space="preserve">, który powie mniej więcej tak: ,,kiedy pojawi się ,,pęk średnich” na wykresie konkretnego indeksu branżowego nie podejmuje jeszcze żadnych działań inwestycyjnych. Czekam. </w:t>
      </w:r>
      <w:r w:rsidRPr="00D87466">
        <w:rPr>
          <w:b/>
          <w:u w:val="single"/>
        </w:rPr>
        <w:t>Dopiero, kiedy</w:t>
      </w:r>
      <w:r>
        <w:t xml:space="preserve"> dojdzie do wybicia z formacji podwójnego dna kupuję akcje z tej branży”. </w:t>
      </w:r>
    </w:p>
    <w:p w:rsidR="0039641B" w:rsidRDefault="0039641B" w:rsidP="0039641B">
      <w:pPr>
        <w:pStyle w:val="Bezodstpw"/>
        <w:jc w:val="both"/>
      </w:pPr>
    </w:p>
    <w:p w:rsidR="0039641B" w:rsidRPr="00D87466" w:rsidRDefault="0039641B" w:rsidP="0039641B">
      <w:pPr>
        <w:pStyle w:val="Bezodstpw"/>
        <w:jc w:val="both"/>
        <w:rPr>
          <w:b/>
          <w:u w:val="single"/>
        </w:rPr>
      </w:pPr>
      <w:r>
        <w:t xml:space="preserve">Postawę tą można skonfrontować z postawą hipotetycznego </w:t>
      </w:r>
      <w:r w:rsidRPr="006528C8">
        <w:rPr>
          <w:b/>
          <w:color w:val="FF0000"/>
        </w:rPr>
        <w:t>inwestora Macieja</w:t>
      </w:r>
      <w:r>
        <w:t xml:space="preserve"> charakteryzującego się nieco większą skłonnością do podejmowania ryzyka. Może on powiedzieć: ,,kiedy pojawi się ,,pęk średnich” na wykresie danego indeksu branżowego i widzę, że układ średnich zmienił się na typowy dla hossy to już wtedy kupuje akcje spółek z danej branży. </w:t>
      </w:r>
      <w:r w:rsidRPr="00D87466">
        <w:rPr>
          <w:b/>
          <w:u w:val="single"/>
        </w:rPr>
        <w:t>Nie czekam. Dlaczegóż miałbym to czynić ?”</w:t>
      </w:r>
    </w:p>
    <w:p w:rsidR="0039641B" w:rsidRDefault="0039641B" w:rsidP="0039641B">
      <w:pPr>
        <w:pStyle w:val="Bezodstpw"/>
        <w:jc w:val="both"/>
      </w:pPr>
    </w:p>
    <w:p w:rsidR="0039641B" w:rsidRDefault="0039641B" w:rsidP="0039641B">
      <w:pPr>
        <w:pStyle w:val="Bezodstpw"/>
        <w:jc w:val="both"/>
      </w:pPr>
      <w:r>
        <w:t xml:space="preserve">Tego typu dyskusja toczyć się może dalej. Jej pojawienie się stanowić może dowód na to, że interpretowania wykresów może prowadzić do różnych wniosków. </w:t>
      </w:r>
    </w:p>
    <w:p w:rsidR="0039641B" w:rsidRDefault="0039641B" w:rsidP="0039641B">
      <w:pPr>
        <w:pStyle w:val="Bezodstpw"/>
        <w:jc w:val="both"/>
      </w:pPr>
    </w:p>
    <w:p w:rsidR="0039641B" w:rsidRDefault="0039641B" w:rsidP="0039641B">
      <w:pPr>
        <w:pStyle w:val="Bezodstpw"/>
        <w:jc w:val="both"/>
      </w:pPr>
      <w:r>
        <w:t xml:space="preserve">W każdym razie </w:t>
      </w:r>
      <w:r w:rsidRPr="006528C8">
        <w:rPr>
          <w:b/>
          <w:u w:val="single"/>
        </w:rPr>
        <w:t>na pewno będę uważnie śledził</w:t>
      </w:r>
      <w:r>
        <w:t xml:space="preserve">, czy w przypadku wspomnianych 3 indeksów branżowych dojdzie do wybicia z formacji podwójnego dna. </w:t>
      </w:r>
    </w:p>
    <w:p w:rsidR="0039641B" w:rsidRDefault="0039641B" w:rsidP="0039641B">
      <w:pPr>
        <w:pStyle w:val="Bezodstpw"/>
        <w:jc w:val="both"/>
      </w:pPr>
    </w:p>
    <w:p w:rsidR="0039641B" w:rsidRDefault="0039641B" w:rsidP="0039641B">
      <w:pPr>
        <w:pStyle w:val="Bezodstpw"/>
        <w:pBdr>
          <w:top w:val="single" w:sz="4" w:space="1" w:color="auto"/>
          <w:left w:val="single" w:sz="4" w:space="4" w:color="auto"/>
          <w:bottom w:val="single" w:sz="4" w:space="1" w:color="auto"/>
          <w:right w:val="single" w:sz="4" w:space="4" w:color="auto"/>
        </w:pBdr>
        <w:jc w:val="center"/>
      </w:pPr>
      <w:proofErr w:type="spellStart"/>
      <w:r>
        <w:t>S&amp;P</w:t>
      </w:r>
      <w:proofErr w:type="spellEnd"/>
      <w:r>
        <w:t xml:space="preserve"> 500 – spojrzenie bardzo, bardzo, bardzo długoterminowe….</w:t>
      </w:r>
    </w:p>
    <w:p w:rsidR="0039641B" w:rsidRDefault="0039641B" w:rsidP="0039641B">
      <w:pPr>
        <w:pStyle w:val="Bezodstpw"/>
        <w:jc w:val="both"/>
      </w:pPr>
    </w:p>
    <w:p w:rsidR="0039641B" w:rsidRDefault="0039641B" w:rsidP="0039641B">
      <w:pPr>
        <w:pStyle w:val="Bezodstpw"/>
        <w:jc w:val="both"/>
      </w:pPr>
      <w:r>
        <w:t xml:space="preserve">W swych rozważaniach na stronie internetowej </w:t>
      </w:r>
      <w:hyperlink r:id="rId14" w:history="1">
        <w:r w:rsidRPr="003420A4">
          <w:rPr>
            <w:rStyle w:val="Hipercze"/>
          </w:rPr>
          <w:t>http://analizy-rynkowe.pl/</w:t>
        </w:r>
      </w:hyperlink>
      <w:r>
        <w:t xml:space="preserve"> wielokrotnie powracałem do koncepcji </w:t>
      </w:r>
      <w:r w:rsidRPr="006528C8">
        <w:rPr>
          <w:b/>
        </w:rPr>
        <w:t>,,spalenia”</w:t>
      </w:r>
      <w:r>
        <w:t xml:space="preserve"> formacji podwójnego szczytu, o której pisał Thomas Bulkowski. </w:t>
      </w:r>
    </w:p>
    <w:p w:rsidR="0039641B" w:rsidRDefault="0039641B" w:rsidP="0039641B">
      <w:pPr>
        <w:pStyle w:val="Bezodstpw"/>
        <w:jc w:val="both"/>
      </w:pPr>
    </w:p>
    <w:p w:rsidR="0039641B" w:rsidRDefault="0039641B" w:rsidP="0039641B">
      <w:pPr>
        <w:pStyle w:val="Bezodstpw"/>
        <w:jc w:val="both"/>
      </w:pPr>
      <w:r>
        <w:t xml:space="preserve">Mówiąc w skrócie do ,,spalenia” formacji podwójnego szczytu dochodzi wówczas, gdy po </w:t>
      </w:r>
      <w:r w:rsidRPr="006528C8">
        <w:rPr>
          <w:b/>
        </w:rPr>
        <w:t>początkowym</w:t>
      </w:r>
      <w:r>
        <w:t xml:space="preserve"> wybiciu z formacji podwójnego szczytu w dół </w:t>
      </w:r>
      <w:r w:rsidRPr="006528C8">
        <w:rPr>
          <w:b/>
        </w:rPr>
        <w:t>kurs nagle zawraca</w:t>
      </w:r>
      <w:r>
        <w:t xml:space="preserve">, zaczyna rosnąć, rośnie, rośnie, rośnie… </w:t>
      </w:r>
      <w:r w:rsidRPr="006528C8">
        <w:rPr>
          <w:b/>
        </w:rPr>
        <w:t>aż</w:t>
      </w:r>
      <w:r>
        <w:t xml:space="preserve"> (!) dochodzi do poziomu wyższego szczytu. </w:t>
      </w:r>
    </w:p>
    <w:p w:rsidR="0039641B" w:rsidRDefault="0039641B" w:rsidP="0039641B">
      <w:pPr>
        <w:pStyle w:val="Bezodstpw"/>
        <w:jc w:val="both"/>
      </w:pPr>
    </w:p>
    <w:p w:rsidR="0039641B" w:rsidRDefault="0039641B" w:rsidP="0039641B">
      <w:pPr>
        <w:pStyle w:val="Bezodstpw"/>
        <w:jc w:val="both"/>
      </w:pPr>
      <w:r>
        <w:t xml:space="preserve">Wówczas dochodzi do ,,spalenia” formacji podwójnego szczytu. Owo ,,spalenie” stanowi sygnał kupna. Popatrzmy na wykres indeksu </w:t>
      </w:r>
      <w:proofErr w:type="spellStart"/>
      <w:r>
        <w:t>S&amp;P</w:t>
      </w:r>
      <w:proofErr w:type="spellEnd"/>
      <w:r>
        <w:t xml:space="preserve"> 500 od 1970 roku do chwili obecnej </w:t>
      </w:r>
    </w:p>
    <w:p w:rsidR="0039641B" w:rsidRDefault="0039641B" w:rsidP="0039641B">
      <w:pPr>
        <w:pStyle w:val="Bezodstpw"/>
        <w:jc w:val="both"/>
      </w:pPr>
    </w:p>
    <w:p w:rsidR="0039641B" w:rsidRDefault="0039641B" w:rsidP="0039641B">
      <w:pPr>
        <w:pStyle w:val="Bezodstpw"/>
        <w:jc w:val="both"/>
        <w:rPr>
          <w:b/>
          <w:u w:val="single"/>
        </w:rPr>
      </w:pPr>
      <w:proofErr w:type="spellStart"/>
      <w:r w:rsidRPr="00E81432">
        <w:rPr>
          <w:b/>
          <w:u w:val="single"/>
        </w:rPr>
        <w:t>S&amp;P</w:t>
      </w:r>
      <w:proofErr w:type="spellEnd"/>
      <w:r w:rsidRPr="00E81432">
        <w:rPr>
          <w:b/>
          <w:u w:val="single"/>
        </w:rPr>
        <w:t xml:space="preserve"> 500</w:t>
      </w:r>
    </w:p>
    <w:p w:rsidR="0039641B" w:rsidRDefault="0039641B" w:rsidP="0039641B">
      <w:pPr>
        <w:pStyle w:val="Bezodstpw"/>
        <w:jc w:val="both"/>
        <w:rPr>
          <w:b/>
          <w:u w:val="single"/>
        </w:rPr>
      </w:pPr>
    </w:p>
    <w:p w:rsidR="0039641B" w:rsidRDefault="0039641B" w:rsidP="0039641B">
      <w:pPr>
        <w:pStyle w:val="Bezodstpw"/>
        <w:jc w:val="both"/>
        <w:rPr>
          <w:b/>
          <w:u w:val="single"/>
        </w:rPr>
      </w:pPr>
      <w:r>
        <w:rPr>
          <w:b/>
          <w:noProof/>
          <w:u w:val="single"/>
        </w:rPr>
        <w:drawing>
          <wp:inline distT="0" distB="0" distL="0" distR="0">
            <wp:extent cx="3619500" cy="2181225"/>
            <wp:effectExtent l="19050" t="0" r="0" b="0"/>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619500" cy="2181225"/>
                    </a:xfrm>
                    <a:prstGeom prst="rect">
                      <a:avLst/>
                    </a:prstGeom>
                    <a:noFill/>
                  </pic:spPr>
                </pic:pic>
              </a:graphicData>
            </a:graphic>
          </wp:inline>
        </w:drawing>
      </w:r>
    </w:p>
    <w:p w:rsidR="0039641B" w:rsidRDefault="0039641B" w:rsidP="0039641B">
      <w:pPr>
        <w:pStyle w:val="Bezodstpw"/>
        <w:jc w:val="both"/>
        <w:rPr>
          <w:b/>
          <w:u w:val="single"/>
        </w:rPr>
      </w:pPr>
    </w:p>
    <w:p w:rsidR="0039641B" w:rsidRPr="00CD1A3A" w:rsidRDefault="0039641B" w:rsidP="0039641B">
      <w:pPr>
        <w:pStyle w:val="Bezodstpw"/>
        <w:jc w:val="both"/>
        <w:rPr>
          <w:b/>
          <w:u w:val="single"/>
        </w:rPr>
      </w:pPr>
      <w:r>
        <w:rPr>
          <w:b/>
          <w:u w:val="single"/>
        </w:rPr>
        <w:lastRenderedPageBreak/>
        <w:t>Etap pierwszy</w:t>
      </w:r>
    </w:p>
    <w:p w:rsidR="0039641B" w:rsidRDefault="0039641B" w:rsidP="0039641B">
      <w:pPr>
        <w:pStyle w:val="Bezodstpw"/>
        <w:jc w:val="both"/>
        <w:rPr>
          <w:b/>
        </w:rPr>
      </w:pPr>
    </w:p>
    <w:p w:rsidR="0039641B" w:rsidRDefault="0039641B" w:rsidP="0039641B">
      <w:pPr>
        <w:pStyle w:val="Bezodstpw"/>
        <w:jc w:val="both"/>
      </w:pPr>
      <w:r>
        <w:t>W listopadzie 2008 roku p</w:t>
      </w:r>
      <w:r w:rsidRPr="00CD1A3A">
        <w:t xml:space="preserve">od wypływem pęknięcia </w:t>
      </w:r>
      <w:r>
        <w:t xml:space="preserve">bąbla na rynku nieruchomości w USA oraz w związku z problemami różnych instytucji finansowych, w tym upadkiem banku </w:t>
      </w:r>
      <w:r w:rsidRPr="00CD1A3A">
        <w:t>Lehman Brothers</w:t>
      </w:r>
      <w:r>
        <w:t xml:space="preserve"> doszło do ogromnego krachu na rynkach akcji. Indeks </w:t>
      </w:r>
      <w:proofErr w:type="spellStart"/>
      <w:r>
        <w:t>S&amp;P</w:t>
      </w:r>
      <w:proofErr w:type="spellEnd"/>
      <w:r>
        <w:t xml:space="preserve"> 500 wybił się z ogromnej </w:t>
      </w:r>
      <w:r w:rsidRPr="006528C8">
        <w:rPr>
          <w:b/>
        </w:rPr>
        <w:t>formacji podwójnego szczytu</w:t>
      </w:r>
      <w:r>
        <w:t xml:space="preserve">, </w:t>
      </w:r>
      <w:r w:rsidRPr="006528C8">
        <w:rPr>
          <w:b/>
        </w:rPr>
        <w:t>co zapowiadało</w:t>
      </w:r>
      <w:r>
        <w:t xml:space="preserve"> dalsze spadki cen akcji na giełdzie nowojorskiej….</w:t>
      </w:r>
    </w:p>
    <w:p w:rsidR="0039641B" w:rsidRDefault="0039641B" w:rsidP="0039641B">
      <w:pPr>
        <w:pStyle w:val="Bezodstpw"/>
        <w:jc w:val="both"/>
      </w:pPr>
    </w:p>
    <w:p w:rsidR="0039641B" w:rsidRPr="00CD1A3A" w:rsidRDefault="0039641B" w:rsidP="0039641B">
      <w:pPr>
        <w:pStyle w:val="Bezodstpw"/>
        <w:jc w:val="both"/>
      </w:pPr>
      <w:r>
        <w:rPr>
          <w:noProof/>
        </w:rPr>
        <w:drawing>
          <wp:inline distT="0" distB="0" distL="0" distR="0">
            <wp:extent cx="4829175" cy="2905125"/>
            <wp:effectExtent l="19050" t="0" r="9525" b="0"/>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pPr>
    </w:p>
    <w:p w:rsidR="0039641B" w:rsidRPr="00CD1A3A" w:rsidRDefault="0039641B" w:rsidP="0039641B">
      <w:pPr>
        <w:pStyle w:val="Bezodstpw"/>
        <w:jc w:val="both"/>
        <w:rPr>
          <w:b/>
          <w:u w:val="single"/>
        </w:rPr>
      </w:pPr>
      <w:r>
        <w:rPr>
          <w:b/>
          <w:u w:val="single"/>
        </w:rPr>
        <w:t xml:space="preserve">Etap drugi </w:t>
      </w:r>
    </w:p>
    <w:p w:rsidR="0039641B" w:rsidRDefault="0039641B" w:rsidP="0039641B">
      <w:pPr>
        <w:pStyle w:val="Bezodstpw"/>
        <w:jc w:val="both"/>
        <w:rPr>
          <w:b/>
        </w:rPr>
      </w:pPr>
    </w:p>
    <w:p w:rsidR="0039641B" w:rsidRDefault="0039641B" w:rsidP="0039641B">
      <w:pPr>
        <w:pStyle w:val="Bezodstpw"/>
        <w:jc w:val="both"/>
      </w:pPr>
      <w:r w:rsidRPr="00CD1A3A">
        <w:t xml:space="preserve">W </w:t>
      </w:r>
      <w:r>
        <w:t xml:space="preserve">związku z pogorszeniem nastrojów konsumentów wywołanych spadkiem cen akcji na giełdzie nowojorskiej amerykański bank centralny rozpoczął politykę ilościowego luzowania polityki pieniężnej. Rozpoczął się skup amerykańskich obligacji. Stopy procentowe zostały wcześniej doprowadzone do bardzo niskiego poziomu, co zwiększyło skłonność  uczestników życia gospodarczego do podejmowania ryzyka. Zaczęli oni kupować akcje. </w:t>
      </w:r>
      <w:r w:rsidRPr="006528C8">
        <w:rPr>
          <w:b/>
        </w:rPr>
        <w:t xml:space="preserve">Indeks </w:t>
      </w:r>
      <w:proofErr w:type="spellStart"/>
      <w:r w:rsidRPr="006528C8">
        <w:rPr>
          <w:b/>
        </w:rPr>
        <w:t>S&amp;P</w:t>
      </w:r>
      <w:proofErr w:type="spellEnd"/>
      <w:r w:rsidRPr="006528C8">
        <w:rPr>
          <w:b/>
        </w:rPr>
        <w:t xml:space="preserve"> 500 powrócił</w:t>
      </w:r>
      <w:r>
        <w:t xml:space="preserve"> powyżej dołka z października 2002 roku. </w:t>
      </w:r>
    </w:p>
    <w:p w:rsidR="0039641B" w:rsidRDefault="0039641B" w:rsidP="0039641B">
      <w:pPr>
        <w:pStyle w:val="Bezodstpw"/>
        <w:jc w:val="both"/>
      </w:pPr>
    </w:p>
    <w:p w:rsidR="0039641B" w:rsidRDefault="0039641B" w:rsidP="0039641B">
      <w:pPr>
        <w:pStyle w:val="Bezodstpw"/>
        <w:jc w:val="both"/>
      </w:pPr>
      <w:r>
        <w:rPr>
          <w:noProof/>
        </w:rPr>
        <w:drawing>
          <wp:inline distT="0" distB="0" distL="0" distR="0">
            <wp:extent cx="4829175" cy="2905125"/>
            <wp:effectExtent l="19050" t="0" r="9525" b="0"/>
            <wp:docPr id="1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pPr>
    </w:p>
    <w:p w:rsidR="0039641B" w:rsidRDefault="0039641B" w:rsidP="0039641B">
      <w:pPr>
        <w:pStyle w:val="Bezodstpw"/>
        <w:jc w:val="both"/>
        <w:rPr>
          <w:b/>
          <w:u w:val="single"/>
        </w:rPr>
      </w:pPr>
      <w:r w:rsidRPr="00B15C8A">
        <w:rPr>
          <w:b/>
          <w:u w:val="single"/>
        </w:rPr>
        <w:lastRenderedPageBreak/>
        <w:t xml:space="preserve">Etap trzeci </w:t>
      </w:r>
    </w:p>
    <w:p w:rsidR="0039641B" w:rsidRDefault="0039641B" w:rsidP="0039641B">
      <w:pPr>
        <w:pStyle w:val="Bezodstpw"/>
        <w:jc w:val="both"/>
        <w:rPr>
          <w:b/>
          <w:u w:val="single"/>
        </w:rPr>
      </w:pPr>
    </w:p>
    <w:p w:rsidR="0039641B" w:rsidRPr="006528C8" w:rsidRDefault="0039641B" w:rsidP="0039641B">
      <w:pPr>
        <w:pStyle w:val="Bezodstpw"/>
        <w:jc w:val="both"/>
        <w:rPr>
          <w:b/>
        </w:rPr>
      </w:pPr>
      <w:r w:rsidRPr="00B15C8A">
        <w:t xml:space="preserve">Pod wpływem </w:t>
      </w:r>
      <w:r>
        <w:t xml:space="preserve">ekspansji monetarnej a wcześniej także budżetowej indeks </w:t>
      </w:r>
      <w:proofErr w:type="spellStart"/>
      <w:r>
        <w:t>S&amp;P</w:t>
      </w:r>
      <w:proofErr w:type="spellEnd"/>
      <w:r>
        <w:t xml:space="preserve"> 500 rósł dalej. W pewnym momencie osiągnął poziom wyższego szczytu (szczytu z 9 października 2007 roku). Doszło wówczas do ,,spalenia” formacji podwójnego szczytu. </w:t>
      </w:r>
      <w:r w:rsidRPr="006528C8">
        <w:rPr>
          <w:b/>
        </w:rPr>
        <w:t xml:space="preserve">Pojawił się więc bardzo długoterminowy sygnał kupna. </w:t>
      </w:r>
    </w:p>
    <w:p w:rsidR="0039641B" w:rsidRDefault="0039641B" w:rsidP="0039641B">
      <w:pPr>
        <w:pStyle w:val="Bezodstpw"/>
        <w:jc w:val="both"/>
      </w:pPr>
    </w:p>
    <w:p w:rsidR="0039641B" w:rsidRDefault="0039641B" w:rsidP="0039641B">
      <w:pPr>
        <w:pStyle w:val="Bezodstpw"/>
        <w:jc w:val="both"/>
      </w:pPr>
      <w:r>
        <w:rPr>
          <w:noProof/>
        </w:rPr>
        <w:drawing>
          <wp:inline distT="0" distB="0" distL="0" distR="0">
            <wp:extent cx="4829175" cy="2905125"/>
            <wp:effectExtent l="19050" t="0" r="9525" b="0"/>
            <wp:docPr id="1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pPr>
    </w:p>
    <w:p w:rsidR="0039641B" w:rsidRDefault="0039641B" w:rsidP="0039641B">
      <w:pPr>
        <w:pStyle w:val="Bezodstpw"/>
        <w:jc w:val="both"/>
      </w:pPr>
      <w:r>
        <w:t xml:space="preserve">W tej sytuacji powstaje jednak bardzo ważne pytanie – </w:t>
      </w:r>
      <w:r w:rsidRPr="006528C8">
        <w:rPr>
          <w:b/>
          <w:u w:val="single"/>
        </w:rPr>
        <w:t>w jaki sposób można obliczyć docelowy, minimalny poziom wybicia po ,,spaleniu” formacji podwójnego szczytu ?</w:t>
      </w:r>
      <w:r>
        <w:t xml:space="preserve"> Na początku wprowadzę dwa pojęcia: minimum (w skrócie ,,MIN”) oraz maksimum (w skrócie ,,MAX”). ,,MIN” to najniższy poziom po wybiciu z formacji podwójnego szczytu. ,,MAX” to poziom wyższego szczytu (wyższego ze szczytów S1 oraz S2).  ,,MIN” wynosi 656,73 pkt. (9 marca 2009 roku). ,,MAX” wynosi 1 565,15 pkt. (9 października 2007 roku). Najpierw dzielimy poziom ,,MAX” przez poziom ,,MAX”. Potem wynik tego dzielenia mnożymy przez poziom ,,MAX”. W rezultacie otrzymujemy </w:t>
      </w:r>
      <w:r w:rsidRPr="006528C8">
        <w:rPr>
          <w:b/>
          <w:color w:val="FF0000"/>
        </w:rPr>
        <w:t>3 014,50 pkt</w:t>
      </w:r>
      <w:r>
        <w:t xml:space="preserve">. Tyle wynosi docelowy, minimalny poziom wybicia po ,,spaleniu” formacji podwójnego szczytu w przypadku indeksu </w:t>
      </w:r>
      <w:proofErr w:type="spellStart"/>
      <w:r>
        <w:t>S&amp;P</w:t>
      </w:r>
      <w:proofErr w:type="spellEnd"/>
      <w:r>
        <w:t xml:space="preserve"> 500. Pojawia się więc szansa na wzrost indeksu </w:t>
      </w:r>
      <w:proofErr w:type="spellStart"/>
      <w:r>
        <w:t>S&amp;P</w:t>
      </w:r>
      <w:proofErr w:type="spellEnd"/>
      <w:r>
        <w:t xml:space="preserve"> 500 </w:t>
      </w:r>
      <w:r w:rsidRPr="006528C8">
        <w:rPr>
          <w:b/>
        </w:rPr>
        <w:t>o jeszcze 43,0 %.</w:t>
      </w:r>
      <w:r>
        <w:t xml:space="preserve"> </w:t>
      </w:r>
    </w:p>
    <w:p w:rsidR="0039641B" w:rsidRDefault="0039641B" w:rsidP="0039641B">
      <w:pPr>
        <w:pStyle w:val="Bezodstpw"/>
        <w:jc w:val="both"/>
      </w:pPr>
    </w:p>
    <w:p w:rsidR="0039641B" w:rsidRDefault="0039641B" w:rsidP="0039641B">
      <w:pPr>
        <w:pStyle w:val="Bezodstpw"/>
        <w:jc w:val="both"/>
      </w:pPr>
      <w:r>
        <w:rPr>
          <w:noProof/>
        </w:rPr>
        <w:drawing>
          <wp:inline distT="0" distB="0" distL="0" distR="0">
            <wp:extent cx="4829175" cy="2905125"/>
            <wp:effectExtent l="19050" t="0" r="9525" b="0"/>
            <wp:docPr id="2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pBdr>
          <w:top w:val="single" w:sz="4" w:space="0" w:color="auto"/>
          <w:left w:val="single" w:sz="4" w:space="4" w:color="auto"/>
          <w:bottom w:val="single" w:sz="4" w:space="1" w:color="auto"/>
          <w:right w:val="single" w:sz="4" w:space="4" w:color="auto"/>
        </w:pBdr>
        <w:jc w:val="center"/>
      </w:pPr>
      <w:r>
        <w:lastRenderedPageBreak/>
        <w:t xml:space="preserve">Wykres do przemyślenia – refleksje </w:t>
      </w:r>
    </w:p>
    <w:p w:rsidR="0039641B" w:rsidRDefault="0039641B" w:rsidP="0039641B">
      <w:pPr>
        <w:pStyle w:val="Bezodstpw"/>
        <w:jc w:val="both"/>
      </w:pPr>
    </w:p>
    <w:p w:rsidR="0039641B" w:rsidRDefault="0039641B" w:rsidP="0039641B">
      <w:pPr>
        <w:pStyle w:val="Bezodstpw"/>
        <w:jc w:val="both"/>
      </w:pPr>
      <w:r>
        <w:t xml:space="preserve">W pierwszym numerze ,,Raportu Tygodniowego” z 8 września 2014 roku pojawiły się wykresy akcji czterech spółek. Były to wykresy akcji następujących spółek: </w:t>
      </w:r>
    </w:p>
    <w:p w:rsidR="0039641B" w:rsidRDefault="0039641B" w:rsidP="0039641B">
      <w:pPr>
        <w:pStyle w:val="Bezodstpw"/>
        <w:jc w:val="both"/>
      </w:pPr>
    </w:p>
    <w:p w:rsidR="0039641B" w:rsidRDefault="0039641B" w:rsidP="0039641B">
      <w:pPr>
        <w:pStyle w:val="Bezodstpw"/>
        <w:numPr>
          <w:ilvl w:val="0"/>
          <w:numId w:val="1"/>
        </w:numPr>
        <w:jc w:val="both"/>
      </w:pPr>
      <w:proofErr w:type="spellStart"/>
      <w:r>
        <w:t>Immobile</w:t>
      </w:r>
      <w:proofErr w:type="spellEnd"/>
    </w:p>
    <w:p w:rsidR="0039641B" w:rsidRDefault="0039641B" w:rsidP="0039641B">
      <w:pPr>
        <w:pStyle w:val="Bezodstpw"/>
        <w:numPr>
          <w:ilvl w:val="0"/>
          <w:numId w:val="1"/>
        </w:numPr>
        <w:jc w:val="both"/>
      </w:pPr>
      <w:r>
        <w:t>Lena</w:t>
      </w:r>
    </w:p>
    <w:p w:rsidR="0039641B" w:rsidRDefault="0039641B" w:rsidP="0039641B">
      <w:pPr>
        <w:pStyle w:val="Bezodstpw"/>
        <w:numPr>
          <w:ilvl w:val="0"/>
          <w:numId w:val="1"/>
        </w:numPr>
        <w:jc w:val="both"/>
      </w:pPr>
      <w:proofErr w:type="spellStart"/>
      <w:r>
        <w:t>Netmedia</w:t>
      </w:r>
      <w:proofErr w:type="spellEnd"/>
      <w:r>
        <w:t xml:space="preserve"> </w:t>
      </w:r>
    </w:p>
    <w:p w:rsidR="0039641B" w:rsidRDefault="0039641B" w:rsidP="0039641B">
      <w:pPr>
        <w:pStyle w:val="Bezodstpw"/>
        <w:numPr>
          <w:ilvl w:val="0"/>
          <w:numId w:val="1"/>
        </w:numPr>
        <w:jc w:val="both"/>
      </w:pPr>
      <w:r>
        <w:t>Rafako</w:t>
      </w:r>
    </w:p>
    <w:p w:rsidR="0039641B" w:rsidRDefault="0039641B" w:rsidP="0039641B">
      <w:pPr>
        <w:pStyle w:val="Bezodstpw"/>
        <w:jc w:val="both"/>
      </w:pPr>
    </w:p>
    <w:p w:rsidR="0039641B" w:rsidRPr="00DF5937" w:rsidRDefault="0039641B" w:rsidP="0039641B">
      <w:pPr>
        <w:pStyle w:val="Bezodstpw"/>
        <w:jc w:val="both"/>
        <w:rPr>
          <w:b/>
          <w:color w:val="FF0000"/>
        </w:rPr>
      </w:pPr>
      <w:r>
        <w:t xml:space="preserve">Kryterium pojawienia się wykresu akcji danej spółki w tej rubryce jest </w:t>
      </w:r>
      <w:r w:rsidRPr="0053119C">
        <w:rPr>
          <w:b/>
        </w:rPr>
        <w:t>wybicie z formacji podwójnego dna</w:t>
      </w:r>
      <w:r>
        <w:t xml:space="preserve">. </w:t>
      </w:r>
      <w:r w:rsidRPr="00DF5937">
        <w:rPr>
          <w:b/>
          <w:color w:val="FF66FF"/>
        </w:rPr>
        <w:t xml:space="preserve">Na str. </w:t>
      </w:r>
      <w:r w:rsidR="00BB6C62">
        <w:rPr>
          <w:b/>
          <w:color w:val="FF66FF"/>
        </w:rPr>
        <w:t>8</w:t>
      </w:r>
      <w:r w:rsidRPr="00DF5937">
        <w:rPr>
          <w:b/>
          <w:color w:val="FF66FF"/>
        </w:rPr>
        <w:t>-</w:t>
      </w:r>
      <w:r>
        <w:rPr>
          <w:b/>
          <w:color w:val="FF66FF"/>
        </w:rPr>
        <w:t>1</w:t>
      </w:r>
      <w:r w:rsidR="00BB6C62">
        <w:rPr>
          <w:b/>
          <w:color w:val="FF66FF"/>
        </w:rPr>
        <w:t>1</w:t>
      </w:r>
      <w:r w:rsidRPr="00DF5937">
        <w:rPr>
          <w:b/>
          <w:color w:val="FF66FF"/>
        </w:rPr>
        <w:t xml:space="preserve"> przedstawiam listę 2</w:t>
      </w:r>
      <w:r>
        <w:rPr>
          <w:b/>
          <w:color w:val="FF66FF"/>
        </w:rPr>
        <w:t>6</w:t>
      </w:r>
      <w:r w:rsidRPr="00DF5937">
        <w:rPr>
          <w:b/>
          <w:color w:val="FF66FF"/>
        </w:rPr>
        <w:t xml:space="preserve"> spółek wpisanych do rubryki ,,Wykres do przemyślenia”.</w:t>
      </w:r>
      <w:r>
        <w:t xml:space="preserve"> </w:t>
      </w:r>
      <w:r w:rsidRPr="00DF5937">
        <w:rPr>
          <w:b/>
          <w:color w:val="FF66FF"/>
        </w:rPr>
        <w:t xml:space="preserve">Osoby znającą tą listę mogą listę tą pominąć i od razu przejść na stronę </w:t>
      </w:r>
      <w:r>
        <w:rPr>
          <w:b/>
          <w:color w:val="FF66FF"/>
        </w:rPr>
        <w:t>1</w:t>
      </w:r>
      <w:r w:rsidR="00BB6C62">
        <w:rPr>
          <w:b/>
          <w:color w:val="FF66FF"/>
        </w:rPr>
        <w:t>2</w:t>
      </w:r>
      <w:r>
        <w:rPr>
          <w:b/>
          <w:color w:val="FF66FF"/>
        </w:rPr>
        <w:t xml:space="preserve"> </w:t>
      </w:r>
      <w:r w:rsidRPr="00DF5937">
        <w:rPr>
          <w:b/>
          <w:color w:val="0000FF"/>
        </w:rPr>
        <w:t>(!!!)</w:t>
      </w:r>
    </w:p>
    <w:p w:rsidR="0039641B" w:rsidRDefault="0039641B" w:rsidP="0039641B">
      <w:pPr>
        <w:pStyle w:val="Bezodstpw"/>
        <w:jc w:val="both"/>
      </w:pPr>
    </w:p>
    <w:p w:rsidR="0039641B" w:rsidRDefault="0039641B" w:rsidP="0039641B">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w:t>
      </w:r>
      <w:r w:rsidR="00BB6C62">
        <w:t xml:space="preserve">30 </w:t>
      </w:r>
      <w:r>
        <w:t xml:space="preserve">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05.09.2014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Immobile</w:t>
            </w:r>
            <w:proofErr w:type="spellEnd"/>
          </w:p>
        </w:tc>
        <w:tc>
          <w:tcPr>
            <w:tcW w:w="2302" w:type="dxa"/>
          </w:tcPr>
          <w:p w:rsidR="0039641B" w:rsidRDefault="0039641B" w:rsidP="00603584">
            <w:pPr>
              <w:pStyle w:val="Bezodstpw"/>
              <w:jc w:val="center"/>
            </w:pPr>
            <w:r>
              <w:t>2,04 zł.</w:t>
            </w:r>
          </w:p>
        </w:tc>
        <w:tc>
          <w:tcPr>
            <w:tcW w:w="2303" w:type="dxa"/>
          </w:tcPr>
          <w:p w:rsidR="0039641B" w:rsidRDefault="0039641B" w:rsidP="00603584">
            <w:pPr>
              <w:pStyle w:val="Bezodstpw"/>
              <w:jc w:val="center"/>
            </w:pPr>
            <w:r>
              <w:t>2,19 zł.</w:t>
            </w:r>
          </w:p>
        </w:tc>
        <w:tc>
          <w:tcPr>
            <w:tcW w:w="1134" w:type="dxa"/>
          </w:tcPr>
          <w:p w:rsidR="0039641B" w:rsidRDefault="0039641B" w:rsidP="00603584">
            <w:pPr>
              <w:pStyle w:val="Bezodstpw"/>
              <w:jc w:val="center"/>
            </w:pPr>
            <w:r>
              <w:t xml:space="preserve">   +7,4 %</w:t>
            </w:r>
          </w:p>
        </w:tc>
      </w:tr>
      <w:tr w:rsidR="0039641B" w:rsidTr="00603584">
        <w:tc>
          <w:tcPr>
            <w:tcW w:w="3402" w:type="dxa"/>
          </w:tcPr>
          <w:p w:rsidR="0039641B" w:rsidRDefault="0039641B" w:rsidP="00603584">
            <w:pPr>
              <w:pStyle w:val="Bezodstpw"/>
              <w:jc w:val="center"/>
            </w:pPr>
            <w:r>
              <w:t>Akcja spółki Lena</w:t>
            </w:r>
          </w:p>
        </w:tc>
        <w:tc>
          <w:tcPr>
            <w:tcW w:w="2302" w:type="dxa"/>
          </w:tcPr>
          <w:p w:rsidR="0039641B" w:rsidRDefault="0039641B" w:rsidP="00603584">
            <w:pPr>
              <w:pStyle w:val="Bezodstpw"/>
              <w:jc w:val="center"/>
            </w:pPr>
            <w:r>
              <w:t xml:space="preserve">3,99 zł. </w:t>
            </w:r>
          </w:p>
        </w:tc>
        <w:tc>
          <w:tcPr>
            <w:tcW w:w="2303" w:type="dxa"/>
          </w:tcPr>
          <w:p w:rsidR="0039641B" w:rsidRDefault="0039641B" w:rsidP="00603584">
            <w:pPr>
              <w:pStyle w:val="Bezodstpw"/>
              <w:jc w:val="center"/>
            </w:pPr>
            <w:r>
              <w:t>5,03 zł.</w:t>
            </w:r>
          </w:p>
        </w:tc>
        <w:tc>
          <w:tcPr>
            <w:tcW w:w="1134" w:type="dxa"/>
          </w:tcPr>
          <w:p w:rsidR="0039641B" w:rsidRDefault="0039641B" w:rsidP="00603584">
            <w:pPr>
              <w:pStyle w:val="Bezodstpw"/>
              <w:jc w:val="center"/>
            </w:pPr>
            <w:r>
              <w:t xml:space="preserve">   +26,1 %</w:t>
            </w:r>
          </w:p>
        </w:tc>
      </w:tr>
      <w:tr w:rsidR="0039641B" w:rsidTr="00603584">
        <w:tc>
          <w:tcPr>
            <w:tcW w:w="3402" w:type="dxa"/>
          </w:tcPr>
          <w:p w:rsidR="0039641B" w:rsidRDefault="0039641B" w:rsidP="00603584">
            <w:pPr>
              <w:pStyle w:val="Bezodstpw"/>
              <w:jc w:val="center"/>
            </w:pPr>
            <w:r>
              <w:t xml:space="preserve">Akcja spółki  </w:t>
            </w:r>
            <w:proofErr w:type="spellStart"/>
            <w:r>
              <w:t>Netmedia</w:t>
            </w:r>
            <w:proofErr w:type="spellEnd"/>
          </w:p>
        </w:tc>
        <w:tc>
          <w:tcPr>
            <w:tcW w:w="2302" w:type="dxa"/>
          </w:tcPr>
          <w:p w:rsidR="0039641B" w:rsidRDefault="0039641B" w:rsidP="00603584">
            <w:pPr>
              <w:pStyle w:val="Bezodstpw"/>
              <w:jc w:val="center"/>
            </w:pPr>
            <w:r>
              <w:t xml:space="preserve">3,63 zł. </w:t>
            </w:r>
          </w:p>
        </w:tc>
        <w:tc>
          <w:tcPr>
            <w:tcW w:w="2303" w:type="dxa"/>
          </w:tcPr>
          <w:p w:rsidR="0039641B" w:rsidRDefault="0039641B" w:rsidP="00603584">
            <w:pPr>
              <w:pStyle w:val="Bezodstpw"/>
              <w:jc w:val="center"/>
            </w:pPr>
            <w:r>
              <w:t>6,74zł.</w:t>
            </w:r>
          </w:p>
        </w:tc>
        <w:tc>
          <w:tcPr>
            <w:tcW w:w="1134" w:type="dxa"/>
          </w:tcPr>
          <w:p w:rsidR="0039641B" w:rsidRDefault="0039641B" w:rsidP="00603584">
            <w:pPr>
              <w:pStyle w:val="Bezodstpw"/>
              <w:jc w:val="center"/>
            </w:pPr>
            <w:r>
              <w:t xml:space="preserve">   +85,7 %</w:t>
            </w:r>
          </w:p>
        </w:tc>
      </w:tr>
      <w:tr w:rsidR="0039641B" w:rsidTr="00603584">
        <w:tc>
          <w:tcPr>
            <w:tcW w:w="3402" w:type="dxa"/>
          </w:tcPr>
          <w:p w:rsidR="0039641B" w:rsidRDefault="0039641B" w:rsidP="00603584">
            <w:pPr>
              <w:pStyle w:val="Bezodstpw"/>
              <w:jc w:val="center"/>
            </w:pPr>
            <w:r>
              <w:t>Akcja spółki Rafako</w:t>
            </w:r>
          </w:p>
        </w:tc>
        <w:tc>
          <w:tcPr>
            <w:tcW w:w="2302" w:type="dxa"/>
            <w:tcBorders>
              <w:bottom w:val="single" w:sz="4" w:space="0" w:color="auto"/>
            </w:tcBorders>
          </w:tcPr>
          <w:p w:rsidR="0039641B" w:rsidRDefault="0039641B" w:rsidP="00603584">
            <w:pPr>
              <w:pStyle w:val="Bezodstpw"/>
              <w:jc w:val="center"/>
            </w:pPr>
            <w:r>
              <w:t xml:space="preserve">4,25 zł. </w:t>
            </w:r>
          </w:p>
        </w:tc>
        <w:tc>
          <w:tcPr>
            <w:tcW w:w="2303" w:type="dxa"/>
            <w:tcBorders>
              <w:bottom w:val="single" w:sz="4" w:space="0" w:color="auto"/>
            </w:tcBorders>
          </w:tcPr>
          <w:p w:rsidR="0039641B" w:rsidRDefault="0039641B" w:rsidP="00603584">
            <w:pPr>
              <w:pStyle w:val="Bezodstpw"/>
              <w:jc w:val="center"/>
            </w:pPr>
            <w:r>
              <w:t>7,05 zł.</w:t>
            </w:r>
          </w:p>
        </w:tc>
        <w:tc>
          <w:tcPr>
            <w:tcW w:w="1134" w:type="dxa"/>
          </w:tcPr>
          <w:p w:rsidR="0039641B" w:rsidRDefault="0039641B" w:rsidP="00603584">
            <w:pPr>
              <w:pStyle w:val="Bezodstpw"/>
              <w:jc w:val="center"/>
            </w:pPr>
            <w:r>
              <w:t xml:space="preserve">   +65,9 %</w:t>
            </w:r>
          </w:p>
        </w:tc>
      </w:tr>
      <w:tr w:rsidR="0039641B"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+46,2 %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2 541,42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-1,1 %</w:t>
            </w:r>
          </w:p>
        </w:tc>
      </w:tr>
    </w:tbl>
    <w:p w:rsidR="0039641B" w:rsidRDefault="0039641B" w:rsidP="0039641B">
      <w:pPr>
        <w:pStyle w:val="Bezodstpw"/>
        <w:jc w:val="both"/>
      </w:pPr>
      <w:r>
        <w:t xml:space="preserve">Tabela: Procentowa zmiana ceny akcji spółki, której akcje zostały wymienione w drugim numerze ,,Raportu Tygodniowego” z 15 września 2014 roku w rubryce ,,Wykres do przemyślenia” w okresie od 12 września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12.09.2014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Boryszew</w:t>
            </w:r>
          </w:p>
        </w:tc>
        <w:tc>
          <w:tcPr>
            <w:tcW w:w="2302" w:type="dxa"/>
          </w:tcPr>
          <w:p w:rsidR="0039641B" w:rsidRDefault="0039641B" w:rsidP="00603584">
            <w:pPr>
              <w:pStyle w:val="Bezodstpw"/>
              <w:jc w:val="center"/>
            </w:pPr>
            <w:r>
              <w:t>6,50 zł.</w:t>
            </w:r>
          </w:p>
        </w:tc>
        <w:tc>
          <w:tcPr>
            <w:tcW w:w="2303" w:type="dxa"/>
          </w:tcPr>
          <w:p w:rsidR="0039641B" w:rsidRDefault="0039641B" w:rsidP="00603584">
            <w:pPr>
              <w:pStyle w:val="Bezodstpw"/>
              <w:jc w:val="center"/>
            </w:pPr>
            <w:r>
              <w:t xml:space="preserve">6,02 zł. </w:t>
            </w:r>
          </w:p>
        </w:tc>
        <w:tc>
          <w:tcPr>
            <w:tcW w:w="1134" w:type="dxa"/>
          </w:tcPr>
          <w:p w:rsidR="0039641B" w:rsidRDefault="0039641B" w:rsidP="00603584">
            <w:pPr>
              <w:pStyle w:val="Bezodstpw"/>
              <w:jc w:val="center"/>
            </w:pPr>
            <w:r>
              <w:t xml:space="preserve">  -7,4 %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-7,4 %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2 497,38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+0,7 %</w:t>
            </w:r>
          </w:p>
        </w:tc>
      </w:tr>
    </w:tbl>
    <w:p w:rsidR="0039641B" w:rsidRDefault="0039641B" w:rsidP="0039641B">
      <w:pPr>
        <w:pStyle w:val="Bezodstpw"/>
        <w:jc w:val="both"/>
      </w:pPr>
      <w:r>
        <w:t xml:space="preserve">Tabela: Procentowa zmiana ceny akcji spółki, której akcje zostały umieszczone 16 września na stronie internetowej </w:t>
      </w:r>
      <w:hyperlink r:id="rId20" w:history="1">
        <w:r w:rsidRPr="003C5ED1">
          <w:rPr>
            <w:rStyle w:val="Hipercze"/>
          </w:rPr>
          <w:t>www.analizy-rynkowe.pl</w:t>
        </w:r>
      </w:hyperlink>
      <w:r>
        <w:t xml:space="preserve"> w rubryce  ,,Wykres do przemyślenia” w okresie od 15 września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15.09.2014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Erbud</w:t>
            </w:r>
            <w:proofErr w:type="spellEnd"/>
          </w:p>
        </w:tc>
        <w:tc>
          <w:tcPr>
            <w:tcW w:w="2302" w:type="dxa"/>
          </w:tcPr>
          <w:p w:rsidR="0039641B" w:rsidRDefault="0039641B" w:rsidP="00603584">
            <w:pPr>
              <w:pStyle w:val="Bezodstpw"/>
              <w:jc w:val="center"/>
            </w:pPr>
            <w:r>
              <w:t>26,50 zł.</w:t>
            </w:r>
          </w:p>
        </w:tc>
        <w:tc>
          <w:tcPr>
            <w:tcW w:w="2303" w:type="dxa"/>
          </w:tcPr>
          <w:p w:rsidR="0039641B" w:rsidRDefault="0039641B" w:rsidP="00603584">
            <w:pPr>
              <w:pStyle w:val="Bezodstpw"/>
              <w:jc w:val="center"/>
            </w:pPr>
            <w:r>
              <w:t>31,50 zł.</w:t>
            </w:r>
          </w:p>
        </w:tc>
        <w:tc>
          <w:tcPr>
            <w:tcW w:w="1134" w:type="dxa"/>
          </w:tcPr>
          <w:p w:rsidR="0039641B" w:rsidRDefault="0039641B" w:rsidP="00603584">
            <w:pPr>
              <w:pStyle w:val="Bezodstpw"/>
              <w:jc w:val="center"/>
            </w:pPr>
            <w:r>
              <w:t xml:space="preserve">  18,9 %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18,9 %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2 489,77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+1,0 %</w:t>
            </w:r>
          </w:p>
        </w:tc>
      </w:tr>
    </w:tbl>
    <w:p w:rsidR="0039641B" w:rsidRDefault="0039641B" w:rsidP="0039641B">
      <w:pPr>
        <w:pStyle w:val="Bezodstpw"/>
        <w:jc w:val="both"/>
      </w:pPr>
      <w:r>
        <w:t xml:space="preserve">Tabela: Procentowa zmiana ceny akcji spółki, której akcje zostały wymienione w trzecim numerze ,,Raportu Tygodniowego” z 22 września 2014 roku w rubryce ,,Wykres do przemyślenia” w okresie od 19 września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19.09.2014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IF Capital</w:t>
            </w:r>
          </w:p>
        </w:tc>
        <w:tc>
          <w:tcPr>
            <w:tcW w:w="2302" w:type="dxa"/>
          </w:tcPr>
          <w:p w:rsidR="0039641B" w:rsidRDefault="0039641B" w:rsidP="00603584">
            <w:pPr>
              <w:pStyle w:val="Bezodstpw"/>
              <w:jc w:val="center"/>
            </w:pPr>
            <w:r>
              <w:t>1,32 zł.</w:t>
            </w:r>
          </w:p>
        </w:tc>
        <w:tc>
          <w:tcPr>
            <w:tcW w:w="2303" w:type="dxa"/>
          </w:tcPr>
          <w:p w:rsidR="0039641B" w:rsidRDefault="0039641B" w:rsidP="00603584">
            <w:pPr>
              <w:pStyle w:val="Bezodstpw"/>
              <w:jc w:val="center"/>
            </w:pPr>
            <w:r>
              <w:t>1,01 zł.</w:t>
            </w:r>
          </w:p>
        </w:tc>
        <w:tc>
          <w:tcPr>
            <w:tcW w:w="1134" w:type="dxa"/>
          </w:tcPr>
          <w:p w:rsidR="0039641B" w:rsidRDefault="0039641B" w:rsidP="00603584">
            <w:pPr>
              <w:pStyle w:val="Bezodstpw"/>
              <w:jc w:val="center"/>
            </w:pPr>
            <w:r>
              <w:t>-23,5 %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-23,5 %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2 497,38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+0,7 %</w:t>
            </w:r>
          </w:p>
        </w:tc>
      </w:tr>
    </w:tbl>
    <w:p w:rsidR="0039641B" w:rsidRDefault="0039641B" w:rsidP="0039641B">
      <w:pPr>
        <w:pStyle w:val="Bezodstpw"/>
        <w:jc w:val="both"/>
      </w:pPr>
      <w:r>
        <w:lastRenderedPageBreak/>
        <w:t xml:space="preserve">Tabela: Procentowa zmiana ceny akcji spółki, której akcje zostały umieszczone 25 września na stronie internetowej </w:t>
      </w:r>
      <w:hyperlink r:id="rId21" w:history="1">
        <w:r w:rsidRPr="003C5ED1">
          <w:rPr>
            <w:rStyle w:val="Hipercze"/>
          </w:rPr>
          <w:t>www.analizy-rynkowe.pl</w:t>
        </w:r>
      </w:hyperlink>
      <w:r>
        <w:t xml:space="preserve"> w rubryce  ,,Wykres do przemyślenia” w okresie od 24 września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24.09.2014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Capital Partners</w:t>
            </w:r>
          </w:p>
        </w:tc>
        <w:tc>
          <w:tcPr>
            <w:tcW w:w="2302" w:type="dxa"/>
          </w:tcPr>
          <w:p w:rsidR="0039641B" w:rsidRDefault="0039641B" w:rsidP="00603584">
            <w:pPr>
              <w:pStyle w:val="Bezodstpw"/>
              <w:jc w:val="center"/>
            </w:pPr>
            <w:r>
              <w:t>1,85 zł.</w:t>
            </w:r>
          </w:p>
        </w:tc>
        <w:tc>
          <w:tcPr>
            <w:tcW w:w="2303" w:type="dxa"/>
          </w:tcPr>
          <w:p w:rsidR="0039641B" w:rsidRDefault="0039641B" w:rsidP="00603584">
            <w:pPr>
              <w:pStyle w:val="Bezodstpw"/>
              <w:jc w:val="center"/>
            </w:pPr>
            <w:r>
              <w:t>2,70 zł.</w:t>
            </w:r>
          </w:p>
        </w:tc>
        <w:tc>
          <w:tcPr>
            <w:tcW w:w="1134" w:type="dxa"/>
          </w:tcPr>
          <w:p w:rsidR="0039641B" w:rsidRDefault="0039641B" w:rsidP="00603584">
            <w:pPr>
              <w:pStyle w:val="Bezodstpw"/>
              <w:jc w:val="center"/>
            </w:pPr>
            <w:r>
              <w:t>+45,9 %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+45,9 %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2 489,77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+1,0 %</w:t>
            </w:r>
          </w:p>
        </w:tc>
      </w:tr>
    </w:tbl>
    <w:p w:rsidR="0039641B" w:rsidRDefault="0039641B" w:rsidP="0039641B">
      <w:pPr>
        <w:pStyle w:val="Bezodstpw"/>
        <w:jc w:val="both"/>
      </w:pPr>
    </w:p>
    <w:p w:rsidR="0039641B" w:rsidRDefault="0039641B" w:rsidP="0039641B">
      <w:pPr>
        <w:pStyle w:val="Bezodstpw"/>
        <w:jc w:val="both"/>
      </w:pPr>
    </w:p>
    <w:p w:rsidR="0039641B" w:rsidRDefault="0039641B" w:rsidP="0039641B">
      <w:pPr>
        <w:pStyle w:val="Bezodstpw"/>
        <w:jc w:val="both"/>
      </w:pPr>
      <w:r>
        <w:t xml:space="preserve">Tabela: Procentowa zmiana cen akcji trzech spółek, których akcje zostały wymienione w czwartym numerze ,,Raportu Tygodniowego” z 29 września 2014 roku w rubryce ,,Wykres do przemyślenia” w okresie od 30 września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26.09.2014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Asseco</w:t>
            </w:r>
            <w:proofErr w:type="spellEnd"/>
            <w:r>
              <w:t xml:space="preserve"> Poland </w:t>
            </w:r>
          </w:p>
        </w:tc>
        <w:tc>
          <w:tcPr>
            <w:tcW w:w="2302" w:type="dxa"/>
          </w:tcPr>
          <w:p w:rsidR="0039641B" w:rsidRDefault="0039641B" w:rsidP="00603584">
            <w:pPr>
              <w:pStyle w:val="Bezodstpw"/>
              <w:jc w:val="center"/>
            </w:pPr>
            <w:r>
              <w:t xml:space="preserve">45,64 zł. </w:t>
            </w:r>
          </w:p>
        </w:tc>
        <w:tc>
          <w:tcPr>
            <w:tcW w:w="2303" w:type="dxa"/>
          </w:tcPr>
          <w:p w:rsidR="0039641B" w:rsidRDefault="0039641B" w:rsidP="00603584">
            <w:pPr>
              <w:pStyle w:val="Bezodstpw"/>
              <w:jc w:val="center"/>
            </w:pPr>
            <w:r>
              <w:t>60,67 zł.</w:t>
            </w:r>
          </w:p>
        </w:tc>
        <w:tc>
          <w:tcPr>
            <w:tcW w:w="1134" w:type="dxa"/>
          </w:tcPr>
          <w:p w:rsidR="0039641B" w:rsidRDefault="0039641B" w:rsidP="00603584">
            <w:pPr>
              <w:pStyle w:val="Bezodstpw"/>
              <w:jc w:val="center"/>
            </w:pPr>
            <w:r>
              <w:t xml:space="preserve"> +32,9 %</w:t>
            </w:r>
          </w:p>
        </w:tc>
      </w:tr>
      <w:tr w:rsidR="0039641B" w:rsidTr="00603584">
        <w:tc>
          <w:tcPr>
            <w:tcW w:w="3402" w:type="dxa"/>
          </w:tcPr>
          <w:p w:rsidR="0039641B" w:rsidRDefault="0039641B" w:rsidP="00603584">
            <w:pPr>
              <w:pStyle w:val="Bezodstpw"/>
              <w:jc w:val="center"/>
            </w:pPr>
            <w:r>
              <w:t>Akcja spółki  CD Projekt</w:t>
            </w:r>
          </w:p>
        </w:tc>
        <w:tc>
          <w:tcPr>
            <w:tcW w:w="2302" w:type="dxa"/>
          </w:tcPr>
          <w:p w:rsidR="0039641B" w:rsidRDefault="0039641B" w:rsidP="00603584">
            <w:pPr>
              <w:pStyle w:val="Bezodstpw"/>
              <w:jc w:val="center"/>
            </w:pPr>
            <w:r>
              <w:t xml:space="preserve">16,59 zł. </w:t>
            </w:r>
          </w:p>
        </w:tc>
        <w:tc>
          <w:tcPr>
            <w:tcW w:w="2303" w:type="dxa"/>
          </w:tcPr>
          <w:p w:rsidR="0039641B" w:rsidRDefault="0039641B" w:rsidP="00603584">
            <w:pPr>
              <w:pStyle w:val="Bezodstpw"/>
              <w:jc w:val="center"/>
            </w:pPr>
            <w:r>
              <w:t>20,69 zł.</w:t>
            </w:r>
          </w:p>
        </w:tc>
        <w:tc>
          <w:tcPr>
            <w:tcW w:w="1134" w:type="dxa"/>
          </w:tcPr>
          <w:p w:rsidR="0039641B" w:rsidRDefault="0039641B" w:rsidP="00603584">
            <w:pPr>
              <w:pStyle w:val="Bezodstpw"/>
              <w:jc w:val="center"/>
            </w:pPr>
            <w:r>
              <w:t xml:space="preserve">  +24,7 %</w:t>
            </w:r>
          </w:p>
        </w:tc>
      </w:tr>
      <w:tr w:rsidR="0039641B" w:rsidTr="00603584">
        <w:tc>
          <w:tcPr>
            <w:tcW w:w="3402" w:type="dxa"/>
          </w:tcPr>
          <w:p w:rsidR="0039641B" w:rsidRDefault="0039641B" w:rsidP="00603584">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39641B" w:rsidRDefault="0039641B" w:rsidP="00603584">
            <w:pPr>
              <w:pStyle w:val="Bezodstpw"/>
              <w:jc w:val="center"/>
            </w:pPr>
            <w:r>
              <w:t>17,60 zł.</w:t>
            </w:r>
          </w:p>
        </w:tc>
        <w:tc>
          <w:tcPr>
            <w:tcW w:w="2303" w:type="dxa"/>
            <w:tcBorders>
              <w:bottom w:val="single" w:sz="4" w:space="0" w:color="auto"/>
            </w:tcBorders>
          </w:tcPr>
          <w:p w:rsidR="0039641B" w:rsidRDefault="0039641B" w:rsidP="00603584">
            <w:pPr>
              <w:pStyle w:val="Bezodstpw"/>
              <w:jc w:val="center"/>
            </w:pPr>
            <w:r>
              <w:t>12,91 zł.</w:t>
            </w:r>
          </w:p>
        </w:tc>
        <w:tc>
          <w:tcPr>
            <w:tcW w:w="1134" w:type="dxa"/>
          </w:tcPr>
          <w:p w:rsidR="0039641B" w:rsidRDefault="0039641B" w:rsidP="00603584">
            <w:pPr>
              <w:pStyle w:val="Bezodstpw"/>
              <w:jc w:val="center"/>
            </w:pPr>
            <w:r>
              <w:t>- 26,6 %</w:t>
            </w:r>
          </w:p>
        </w:tc>
      </w:tr>
      <w:tr w:rsidR="0039641B"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+10,3 %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2484,02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+ 1,2 %</w:t>
            </w:r>
          </w:p>
        </w:tc>
      </w:tr>
    </w:tbl>
    <w:p w:rsidR="0039641B" w:rsidRDefault="0039641B" w:rsidP="0039641B">
      <w:pPr>
        <w:pStyle w:val="Bezodstpw"/>
        <w:jc w:val="both"/>
      </w:pPr>
    </w:p>
    <w:p w:rsidR="0039641B" w:rsidRDefault="0039641B" w:rsidP="0039641B">
      <w:pPr>
        <w:pStyle w:val="Bezodstpw"/>
        <w:jc w:val="both"/>
      </w:pPr>
      <w:r>
        <w:t xml:space="preserve">Tabela: Procentowa zmiana ceny akcji spółki, której akcje zostały wymienione w piątym numerze ,,Raportu Tygodniowego” z 6 października 2014 roku w rubryce ,,Wykres do przemyślenia” w okresie od 3 października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03.10.2014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Stalprodukt</w:t>
            </w:r>
          </w:p>
        </w:tc>
        <w:tc>
          <w:tcPr>
            <w:tcW w:w="2302" w:type="dxa"/>
          </w:tcPr>
          <w:p w:rsidR="0039641B" w:rsidRDefault="0039641B" w:rsidP="00603584">
            <w:pPr>
              <w:pStyle w:val="Bezodstpw"/>
              <w:jc w:val="center"/>
            </w:pPr>
            <w:r>
              <w:t>244,10 zł.</w:t>
            </w:r>
          </w:p>
        </w:tc>
        <w:tc>
          <w:tcPr>
            <w:tcW w:w="2303" w:type="dxa"/>
          </w:tcPr>
          <w:p w:rsidR="0039641B" w:rsidRDefault="0039641B" w:rsidP="00603584">
            <w:pPr>
              <w:pStyle w:val="Bezodstpw"/>
              <w:jc w:val="center"/>
            </w:pPr>
            <w:r>
              <w:t>438,95 zł.</w:t>
            </w:r>
          </w:p>
        </w:tc>
        <w:tc>
          <w:tcPr>
            <w:tcW w:w="1134" w:type="dxa"/>
          </w:tcPr>
          <w:p w:rsidR="0039641B" w:rsidRDefault="0039641B" w:rsidP="00603584">
            <w:pPr>
              <w:pStyle w:val="Bezodstpw"/>
              <w:jc w:val="center"/>
            </w:pPr>
            <w:r>
              <w:t>+79,8 %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+79,8 %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2 444,06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+2,9 %</w:t>
            </w:r>
          </w:p>
        </w:tc>
      </w:tr>
    </w:tbl>
    <w:p w:rsidR="0039641B" w:rsidRDefault="0039641B" w:rsidP="0039641B">
      <w:pPr>
        <w:pStyle w:val="Bezodstpw"/>
        <w:jc w:val="both"/>
        <w:rPr>
          <w:b/>
          <w:color w:val="FF0000"/>
        </w:rPr>
      </w:pPr>
    </w:p>
    <w:p w:rsidR="0039641B" w:rsidRDefault="0039641B" w:rsidP="0039641B">
      <w:pPr>
        <w:pStyle w:val="Bezodstpw"/>
        <w:jc w:val="both"/>
      </w:pPr>
      <w:r>
        <w:t xml:space="preserve">Tabela: Procentowa zmiana ceny akcji spółki, której akcje zostały wymienione w szóstym numerze ,,Raportu Tygodniowego” z 20 października 2014 roku w rubryce ,,Wykres do przemyślenia” w okresie od 17 września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17.10.2014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Tauron</w:t>
            </w:r>
            <w:proofErr w:type="spellEnd"/>
            <w:r>
              <w:t xml:space="preserve"> Polska Energia</w:t>
            </w:r>
          </w:p>
        </w:tc>
        <w:tc>
          <w:tcPr>
            <w:tcW w:w="2302" w:type="dxa"/>
          </w:tcPr>
          <w:p w:rsidR="0039641B" w:rsidRDefault="0039641B" w:rsidP="00603584">
            <w:pPr>
              <w:pStyle w:val="Bezodstpw"/>
              <w:jc w:val="center"/>
            </w:pPr>
            <w:r>
              <w:t>5,21 zł.</w:t>
            </w:r>
          </w:p>
        </w:tc>
        <w:tc>
          <w:tcPr>
            <w:tcW w:w="2303" w:type="dxa"/>
          </w:tcPr>
          <w:p w:rsidR="0039641B" w:rsidRDefault="0039641B" w:rsidP="00603584">
            <w:pPr>
              <w:pStyle w:val="Bezodstpw"/>
              <w:jc w:val="center"/>
            </w:pPr>
            <w:r>
              <w:t xml:space="preserve">4,82 zł. </w:t>
            </w:r>
          </w:p>
        </w:tc>
        <w:tc>
          <w:tcPr>
            <w:tcW w:w="1134" w:type="dxa"/>
          </w:tcPr>
          <w:p w:rsidR="0039641B" w:rsidRDefault="0039641B" w:rsidP="00603584">
            <w:pPr>
              <w:pStyle w:val="Bezodstpw"/>
              <w:jc w:val="center"/>
            </w:pPr>
            <w:r>
              <w:t xml:space="preserve">  -7,5 %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-7,5 %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2 401,13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+4,7 %</w:t>
            </w:r>
          </w:p>
        </w:tc>
      </w:tr>
    </w:tbl>
    <w:p w:rsidR="0039641B" w:rsidRDefault="0039641B" w:rsidP="0039641B">
      <w:pPr>
        <w:pStyle w:val="Bezodstpw"/>
        <w:jc w:val="both"/>
      </w:pPr>
      <w:r>
        <w:t xml:space="preserve">Tabela: Procentowa zmiana ceny akcji spółki, której akcje zostały umieszczone 22 października na stronie internetowej </w:t>
      </w:r>
      <w:hyperlink r:id="rId22" w:history="1">
        <w:r w:rsidRPr="003C5ED1">
          <w:rPr>
            <w:rStyle w:val="Hipercze"/>
          </w:rPr>
          <w:t>www.analizy-rynkowe.pl</w:t>
        </w:r>
      </w:hyperlink>
      <w:r>
        <w:t xml:space="preserve"> w rubryce  ,,Wykres do przemyślenia” w okresie od 21 października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21.10.2014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39641B" w:rsidRDefault="0039641B" w:rsidP="00603584">
            <w:pPr>
              <w:pStyle w:val="Bezodstpw"/>
              <w:jc w:val="center"/>
            </w:pPr>
            <w:r>
              <w:t>8,70 zł.</w:t>
            </w:r>
          </w:p>
        </w:tc>
        <w:tc>
          <w:tcPr>
            <w:tcW w:w="2303" w:type="dxa"/>
            <w:tcBorders>
              <w:bottom w:val="single" w:sz="4" w:space="0" w:color="auto"/>
            </w:tcBorders>
          </w:tcPr>
          <w:p w:rsidR="0039641B" w:rsidRDefault="0039641B" w:rsidP="00603584">
            <w:pPr>
              <w:pStyle w:val="Bezodstpw"/>
              <w:jc w:val="center"/>
            </w:pPr>
            <w:r>
              <w:t>11,30 zł.</w:t>
            </w:r>
          </w:p>
        </w:tc>
        <w:tc>
          <w:tcPr>
            <w:tcW w:w="1134" w:type="dxa"/>
          </w:tcPr>
          <w:p w:rsidR="0039641B" w:rsidRDefault="0039641B" w:rsidP="00603584">
            <w:pPr>
              <w:pStyle w:val="Bezodstpw"/>
              <w:jc w:val="center"/>
            </w:pPr>
            <w:r>
              <w:t>+ 29,9 %</w:t>
            </w:r>
          </w:p>
        </w:tc>
      </w:tr>
      <w:tr w:rsidR="0039641B" w:rsidRPr="008F668F" w:rsidTr="00603584">
        <w:tc>
          <w:tcPr>
            <w:tcW w:w="3402" w:type="dxa"/>
          </w:tcPr>
          <w:p w:rsidR="0039641B" w:rsidRPr="008F668F" w:rsidRDefault="0039641B" w:rsidP="00603584">
            <w:pPr>
              <w:pStyle w:val="Bezodstpw"/>
              <w:jc w:val="center"/>
              <w:rPr>
                <w:b/>
                <w:color w:val="FF0000"/>
              </w:rPr>
            </w:pPr>
            <w:r>
              <w:t>Akcja spółki Relpol</w:t>
            </w:r>
          </w:p>
        </w:tc>
        <w:tc>
          <w:tcPr>
            <w:tcW w:w="2302" w:type="dxa"/>
            <w:tcBorders>
              <w:right w:val="single" w:sz="4" w:space="0" w:color="auto"/>
            </w:tcBorders>
          </w:tcPr>
          <w:p w:rsidR="0039641B" w:rsidRPr="00A556F3" w:rsidRDefault="0039641B" w:rsidP="00603584">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39641B" w:rsidRPr="00A556F3" w:rsidRDefault="0039641B" w:rsidP="00603584">
            <w:pPr>
              <w:pStyle w:val="Bezodstpw"/>
              <w:jc w:val="center"/>
              <w:rPr>
                <w:color w:val="000000" w:themeColor="text1"/>
              </w:rPr>
            </w:pPr>
            <w:r>
              <w:rPr>
                <w:color w:val="000000" w:themeColor="text1"/>
              </w:rPr>
              <w:t xml:space="preserve">6,91 zł. </w:t>
            </w:r>
          </w:p>
        </w:tc>
        <w:tc>
          <w:tcPr>
            <w:tcW w:w="1134" w:type="dxa"/>
          </w:tcPr>
          <w:p w:rsidR="0039641B" w:rsidRPr="00A556F3" w:rsidRDefault="0039641B" w:rsidP="00603584">
            <w:pPr>
              <w:pStyle w:val="Bezodstpw"/>
              <w:jc w:val="center"/>
              <w:rPr>
                <w:color w:val="000000" w:themeColor="text1"/>
              </w:rPr>
            </w:pPr>
            <w:r>
              <w:rPr>
                <w:color w:val="000000" w:themeColor="text1"/>
              </w:rPr>
              <w:t xml:space="preserve">    -0,3  %</w:t>
            </w:r>
          </w:p>
        </w:tc>
      </w:tr>
      <w:tr w:rsidR="0039641B" w:rsidTr="00603584">
        <w:tc>
          <w:tcPr>
            <w:tcW w:w="3402" w:type="dxa"/>
          </w:tcPr>
          <w:p w:rsidR="0039641B" w:rsidRPr="00A556F3" w:rsidRDefault="0039641B" w:rsidP="00603584">
            <w:pPr>
              <w:pStyle w:val="Bezodstpw"/>
              <w:jc w:val="center"/>
              <w:rPr>
                <w:b/>
                <w:color w:val="FF0000"/>
              </w:rPr>
            </w:pPr>
            <w:r w:rsidRPr="00A556F3">
              <w:rPr>
                <w:b/>
                <w:color w:val="FF0000"/>
              </w:rPr>
              <w:t>Średnio</w:t>
            </w:r>
          </w:p>
        </w:tc>
        <w:tc>
          <w:tcPr>
            <w:tcW w:w="2302" w:type="dxa"/>
          </w:tcPr>
          <w:p w:rsidR="0039641B" w:rsidRDefault="0039641B" w:rsidP="00603584">
            <w:pPr>
              <w:pStyle w:val="Bezodstpw"/>
              <w:jc w:val="center"/>
            </w:pPr>
          </w:p>
        </w:tc>
        <w:tc>
          <w:tcPr>
            <w:tcW w:w="2303" w:type="dxa"/>
          </w:tcPr>
          <w:p w:rsidR="0039641B" w:rsidRDefault="0039641B" w:rsidP="00603584">
            <w:pPr>
              <w:pStyle w:val="Bezodstpw"/>
              <w:jc w:val="center"/>
            </w:pPr>
          </w:p>
        </w:tc>
        <w:tc>
          <w:tcPr>
            <w:tcW w:w="1134" w:type="dxa"/>
          </w:tcPr>
          <w:p w:rsidR="0039641B" w:rsidRPr="00581996" w:rsidRDefault="0039641B" w:rsidP="00603584">
            <w:pPr>
              <w:pStyle w:val="Bezodstpw"/>
              <w:jc w:val="center"/>
              <w:rPr>
                <w:b/>
                <w:color w:val="FF0000"/>
              </w:rPr>
            </w:pPr>
            <w:r>
              <w:rPr>
                <w:b/>
                <w:color w:val="FF0000"/>
              </w:rPr>
              <w:t xml:space="preserve">   + 14</w:t>
            </w:r>
            <w:r w:rsidRPr="00581996">
              <w:rPr>
                <w:b/>
                <w:color w:val="FF0000"/>
              </w:rPr>
              <w:t>,</w:t>
            </w:r>
            <w:r>
              <w:rPr>
                <w:b/>
                <w:color w:val="FF0000"/>
              </w:rPr>
              <w:t>8 %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2 423,29,77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+3,8 % </w:t>
            </w:r>
          </w:p>
        </w:tc>
      </w:tr>
    </w:tbl>
    <w:p w:rsidR="0039641B" w:rsidRDefault="0039641B" w:rsidP="0039641B">
      <w:pPr>
        <w:pStyle w:val="Bezodstpw"/>
        <w:jc w:val="both"/>
      </w:pPr>
      <w:r>
        <w:lastRenderedPageBreak/>
        <w:t xml:space="preserve">Tabela: Procentowa zmiana ceny akcji spółki, której akcje zostały wymienione w siódmym numerze ,,Raportu Tygodniowego” z 27 października 2014 roku w rubryce ,,Wykres do przemyślenia” w okresie od 24 października 2014 roku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24.10.2014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Tesgas</w:t>
            </w:r>
            <w:proofErr w:type="spellEnd"/>
            <w:r>
              <w:t xml:space="preserve"> </w:t>
            </w:r>
          </w:p>
        </w:tc>
        <w:tc>
          <w:tcPr>
            <w:tcW w:w="2302" w:type="dxa"/>
          </w:tcPr>
          <w:p w:rsidR="0039641B" w:rsidRDefault="0039641B" w:rsidP="00603584">
            <w:pPr>
              <w:pStyle w:val="Bezodstpw"/>
              <w:jc w:val="center"/>
            </w:pPr>
            <w:r>
              <w:t>4,32 zł.</w:t>
            </w:r>
          </w:p>
        </w:tc>
        <w:tc>
          <w:tcPr>
            <w:tcW w:w="2303" w:type="dxa"/>
          </w:tcPr>
          <w:p w:rsidR="0039641B" w:rsidRDefault="0039641B" w:rsidP="00603584">
            <w:pPr>
              <w:pStyle w:val="Bezodstpw"/>
              <w:jc w:val="center"/>
            </w:pPr>
            <w:r>
              <w:t xml:space="preserve">3,72 zł. </w:t>
            </w:r>
          </w:p>
        </w:tc>
        <w:tc>
          <w:tcPr>
            <w:tcW w:w="1134" w:type="dxa"/>
          </w:tcPr>
          <w:p w:rsidR="0039641B" w:rsidRDefault="0039641B" w:rsidP="00603584">
            <w:pPr>
              <w:pStyle w:val="Bezodstpw"/>
              <w:jc w:val="center"/>
            </w:pPr>
            <w:r>
              <w:t xml:space="preserve">  -13,9 %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-13,9 %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2 401,13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+3,6 %</w:t>
            </w:r>
          </w:p>
        </w:tc>
      </w:tr>
    </w:tbl>
    <w:p w:rsidR="0039641B" w:rsidRDefault="0039641B" w:rsidP="0039641B">
      <w:pPr>
        <w:pStyle w:val="Bezodstpw"/>
        <w:jc w:val="both"/>
      </w:pPr>
      <w:r>
        <w:t xml:space="preserve">Tabela: Procentowa zmiana ceny akcji spółki, której akcje zostały wymienione w numerze ,,Raportu Tygodniowego” z 3 listopada 2014 roku w rubryce ,,Wykres do przemyślenia” w okresie od 31 października 2014 roku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31.10.2014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Enea</w:t>
            </w:r>
          </w:p>
        </w:tc>
        <w:tc>
          <w:tcPr>
            <w:tcW w:w="2302" w:type="dxa"/>
          </w:tcPr>
          <w:p w:rsidR="0039641B" w:rsidRDefault="0039641B" w:rsidP="00603584">
            <w:pPr>
              <w:pStyle w:val="Bezodstpw"/>
              <w:jc w:val="center"/>
            </w:pPr>
            <w:r>
              <w:t>16,00 zł.</w:t>
            </w:r>
          </w:p>
        </w:tc>
        <w:tc>
          <w:tcPr>
            <w:tcW w:w="2303" w:type="dxa"/>
          </w:tcPr>
          <w:p w:rsidR="0039641B" w:rsidRDefault="0039641B" w:rsidP="00603584">
            <w:pPr>
              <w:pStyle w:val="Bezodstpw"/>
              <w:jc w:val="center"/>
            </w:pPr>
            <w:r>
              <w:t xml:space="preserve">16,30 zł. </w:t>
            </w:r>
          </w:p>
        </w:tc>
        <w:tc>
          <w:tcPr>
            <w:tcW w:w="1134" w:type="dxa"/>
          </w:tcPr>
          <w:p w:rsidR="0039641B" w:rsidRDefault="0039641B" w:rsidP="00603584">
            <w:pPr>
              <w:pStyle w:val="Bezodstpw"/>
              <w:jc w:val="center"/>
            </w:pPr>
            <w:r>
              <w:t xml:space="preserve">  +1,9 %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+1,9 %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2 463,68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+2,1 %</w:t>
            </w:r>
          </w:p>
        </w:tc>
      </w:tr>
    </w:tbl>
    <w:p w:rsidR="0039641B" w:rsidRDefault="0039641B" w:rsidP="0039641B">
      <w:pPr>
        <w:pStyle w:val="Bezodstpw"/>
        <w:jc w:val="both"/>
      </w:pPr>
      <w:r>
        <w:t xml:space="preserve">Tabela: Procentowa zmiana ceny akcji spółki, której akcje zostały wymienione w numerze ,,Raportu Tygodniowego” z 1 grudnia 2014 roku w rubryce ,,Wykres do przemyślenia” w okresie od 28 listopada 2014 roku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28.11.2014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Procad</w:t>
            </w:r>
            <w:proofErr w:type="spellEnd"/>
          </w:p>
        </w:tc>
        <w:tc>
          <w:tcPr>
            <w:tcW w:w="2302" w:type="dxa"/>
          </w:tcPr>
          <w:p w:rsidR="0039641B" w:rsidRDefault="0039641B" w:rsidP="00603584">
            <w:pPr>
              <w:pStyle w:val="Bezodstpw"/>
              <w:jc w:val="center"/>
            </w:pPr>
            <w:r>
              <w:t>1,06 zł.</w:t>
            </w:r>
          </w:p>
        </w:tc>
        <w:tc>
          <w:tcPr>
            <w:tcW w:w="2303" w:type="dxa"/>
          </w:tcPr>
          <w:p w:rsidR="0039641B" w:rsidRDefault="0039641B" w:rsidP="00603584">
            <w:pPr>
              <w:pStyle w:val="Bezodstpw"/>
              <w:jc w:val="center"/>
            </w:pPr>
            <w:r>
              <w:t>1,84 zł.</w:t>
            </w:r>
          </w:p>
        </w:tc>
        <w:tc>
          <w:tcPr>
            <w:tcW w:w="1134" w:type="dxa"/>
          </w:tcPr>
          <w:p w:rsidR="0039641B" w:rsidRDefault="0039641B" w:rsidP="00603584">
            <w:pPr>
              <w:pStyle w:val="Bezodstpw"/>
              <w:jc w:val="center"/>
            </w:pPr>
            <w:r>
              <w:t>+73,6 %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+73,6 %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2 416,93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+4,0 %</w:t>
            </w:r>
          </w:p>
        </w:tc>
      </w:tr>
    </w:tbl>
    <w:p w:rsidR="0039641B" w:rsidRDefault="0039641B" w:rsidP="0039641B">
      <w:pPr>
        <w:pStyle w:val="Bezodstpw"/>
        <w:jc w:val="both"/>
      </w:pPr>
      <w:r>
        <w:t xml:space="preserve">Tabela: Procentowa zmiana ceny akcji spółki, której akcje zostały umieszczone 2 grudnia na stronie internetowej </w:t>
      </w:r>
      <w:hyperlink r:id="rId23" w:history="1">
        <w:r w:rsidRPr="003C5ED1">
          <w:rPr>
            <w:rStyle w:val="Hipercze"/>
          </w:rPr>
          <w:t>www.analizy-rynkowe.pl</w:t>
        </w:r>
      </w:hyperlink>
      <w:r>
        <w:t xml:space="preserve"> w rubryce  ,,Wykres do przemyślenia” w okresie od 1 grudnia 2014 roku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01.12.2014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PKO BP </w:t>
            </w:r>
          </w:p>
        </w:tc>
        <w:tc>
          <w:tcPr>
            <w:tcW w:w="2302" w:type="dxa"/>
          </w:tcPr>
          <w:p w:rsidR="0039641B" w:rsidRDefault="0039641B" w:rsidP="00603584">
            <w:pPr>
              <w:pStyle w:val="Bezodstpw"/>
              <w:jc w:val="center"/>
            </w:pPr>
            <w:r>
              <w:t>37,65 zł.</w:t>
            </w:r>
          </w:p>
        </w:tc>
        <w:tc>
          <w:tcPr>
            <w:tcW w:w="2303" w:type="dxa"/>
          </w:tcPr>
          <w:p w:rsidR="0039641B" w:rsidRDefault="0039641B" w:rsidP="00603584">
            <w:pPr>
              <w:pStyle w:val="Bezodstpw"/>
              <w:jc w:val="center"/>
            </w:pPr>
            <w:r>
              <w:t>36,10 zł.</w:t>
            </w:r>
          </w:p>
        </w:tc>
        <w:tc>
          <w:tcPr>
            <w:tcW w:w="1134" w:type="dxa"/>
          </w:tcPr>
          <w:p w:rsidR="0039641B" w:rsidRDefault="0039641B" w:rsidP="00603584">
            <w:pPr>
              <w:pStyle w:val="Bezodstpw"/>
              <w:jc w:val="center"/>
            </w:pPr>
            <w:r>
              <w:t>-4,1%</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-4,1 %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+4,0 %</w:t>
            </w:r>
          </w:p>
        </w:tc>
      </w:tr>
    </w:tbl>
    <w:p w:rsidR="0039641B" w:rsidRDefault="0039641B" w:rsidP="0039641B">
      <w:pPr>
        <w:pStyle w:val="Bezodstpw"/>
        <w:jc w:val="both"/>
      </w:pPr>
      <w:r>
        <w:t xml:space="preserve">Tabela: Procentowa zmiana ceny akcji spółki, której akcje zostały wymienione w numerze ,,Raportu Tygodniowego” z 15 grudnia 2014 roku w rubryce ,,Wykres do przemyślenia” w okresie od 12 grudnia 2014 roku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12.12.2014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Mercor</w:t>
            </w:r>
            <w:proofErr w:type="spellEnd"/>
            <w:r>
              <w:t xml:space="preserve"> </w:t>
            </w:r>
          </w:p>
        </w:tc>
        <w:tc>
          <w:tcPr>
            <w:tcW w:w="2302" w:type="dxa"/>
          </w:tcPr>
          <w:p w:rsidR="0039641B" w:rsidRDefault="0039641B" w:rsidP="00603584">
            <w:pPr>
              <w:pStyle w:val="Bezodstpw"/>
              <w:jc w:val="center"/>
            </w:pPr>
            <w:r>
              <w:t>8,14 zł.</w:t>
            </w:r>
          </w:p>
        </w:tc>
        <w:tc>
          <w:tcPr>
            <w:tcW w:w="2303" w:type="dxa"/>
          </w:tcPr>
          <w:p w:rsidR="0039641B" w:rsidRDefault="0039641B" w:rsidP="00603584">
            <w:pPr>
              <w:pStyle w:val="Bezodstpw"/>
              <w:jc w:val="center"/>
            </w:pPr>
            <w:r>
              <w:t xml:space="preserve">10,00 zł. </w:t>
            </w:r>
          </w:p>
        </w:tc>
        <w:tc>
          <w:tcPr>
            <w:tcW w:w="1134" w:type="dxa"/>
          </w:tcPr>
          <w:p w:rsidR="0039641B" w:rsidRDefault="0039641B" w:rsidP="00603584">
            <w:pPr>
              <w:pStyle w:val="Bezodstpw"/>
              <w:jc w:val="center"/>
            </w:pPr>
            <w:r>
              <w:t xml:space="preserve">  +22,9 %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 xml:space="preserve">  +23,2 %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2 360,00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xml:space="preserve"> + 6,6 %</w:t>
            </w:r>
          </w:p>
        </w:tc>
      </w:tr>
    </w:tbl>
    <w:p w:rsidR="0039641B" w:rsidRDefault="0039641B" w:rsidP="0039641B">
      <w:pPr>
        <w:pStyle w:val="Bezodstpw"/>
        <w:jc w:val="both"/>
      </w:pPr>
      <w:r>
        <w:t xml:space="preserve">Tabela: Procentowa zmiana ceny akcji spółki, której akcje zostały umieszczone 2 stycznia 2015 roku na  stronie internetowej </w:t>
      </w:r>
      <w:hyperlink r:id="rId24" w:history="1">
        <w:r w:rsidRPr="003C5ED1">
          <w:rPr>
            <w:rStyle w:val="Hipercze"/>
          </w:rPr>
          <w:t>www.analizy-rynkowe.pl</w:t>
        </w:r>
      </w:hyperlink>
      <w:r>
        <w:t xml:space="preserve"> w rubryce  ,,Wykres do przemyślenia” w okresie od 1 do </w:t>
      </w:r>
      <w:r w:rsidR="00BB6C62">
        <w:t>30</w:t>
      </w:r>
      <w:r>
        <w:t xml:space="preserve"> kwietnia 2015 roku oraz procentowa zmiana indeksu WIG 20 w tym okresie. </w:t>
      </w: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01.12.2014</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Comarch</w:t>
            </w:r>
          </w:p>
        </w:tc>
        <w:tc>
          <w:tcPr>
            <w:tcW w:w="2302" w:type="dxa"/>
          </w:tcPr>
          <w:p w:rsidR="0039641B" w:rsidRDefault="0039641B" w:rsidP="00603584">
            <w:pPr>
              <w:pStyle w:val="Bezodstpw"/>
              <w:jc w:val="center"/>
            </w:pPr>
            <w:r>
              <w:t>115,50 zł.</w:t>
            </w:r>
          </w:p>
        </w:tc>
        <w:tc>
          <w:tcPr>
            <w:tcW w:w="2303" w:type="dxa"/>
          </w:tcPr>
          <w:p w:rsidR="0039641B" w:rsidRDefault="0039641B" w:rsidP="00603584">
            <w:pPr>
              <w:pStyle w:val="Bezodstpw"/>
              <w:jc w:val="center"/>
            </w:pPr>
            <w:r>
              <w:t>134,00 zł.</w:t>
            </w:r>
          </w:p>
        </w:tc>
        <w:tc>
          <w:tcPr>
            <w:tcW w:w="1134" w:type="dxa"/>
          </w:tcPr>
          <w:p w:rsidR="0039641B" w:rsidRDefault="0039641B" w:rsidP="00603584">
            <w:pPr>
              <w:pStyle w:val="Bezodstpw"/>
              <w:jc w:val="center"/>
            </w:pPr>
            <w:r>
              <w:t>+16,0 %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+16,0 %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+ 8,6 %</w:t>
            </w:r>
          </w:p>
        </w:tc>
      </w:tr>
    </w:tbl>
    <w:p w:rsidR="0039641B" w:rsidRDefault="0039641B" w:rsidP="0039641B">
      <w:pPr>
        <w:pStyle w:val="Bezodstpw"/>
        <w:jc w:val="both"/>
      </w:pPr>
      <w:r>
        <w:lastRenderedPageBreak/>
        <w:t xml:space="preserve">Tabela: Procentowa zmiana ceny akcji spółki, której akcje zostały umieszczone 12 stycznia 2015 roku na  stronie internetowej </w:t>
      </w:r>
      <w:hyperlink r:id="rId25" w:history="1">
        <w:r w:rsidRPr="003C5ED1">
          <w:rPr>
            <w:rStyle w:val="Hipercze"/>
          </w:rPr>
          <w:t>www.analizy-rynkowe.pl</w:t>
        </w:r>
      </w:hyperlink>
      <w:r>
        <w:t xml:space="preserve"> w rubryce  ,,Wykres do przemyślenia” w okresie od 9 stycznia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09.01.2015</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Muza</w:t>
            </w:r>
          </w:p>
        </w:tc>
        <w:tc>
          <w:tcPr>
            <w:tcW w:w="2302" w:type="dxa"/>
          </w:tcPr>
          <w:p w:rsidR="0039641B" w:rsidRDefault="0039641B" w:rsidP="00603584">
            <w:pPr>
              <w:pStyle w:val="Bezodstpw"/>
              <w:jc w:val="center"/>
            </w:pPr>
            <w:r>
              <w:t>3,34 zł.</w:t>
            </w:r>
          </w:p>
        </w:tc>
        <w:tc>
          <w:tcPr>
            <w:tcW w:w="2303" w:type="dxa"/>
          </w:tcPr>
          <w:p w:rsidR="0039641B" w:rsidRDefault="0039641B" w:rsidP="00603584">
            <w:pPr>
              <w:pStyle w:val="Bezodstpw"/>
              <w:jc w:val="center"/>
            </w:pPr>
            <w:r>
              <w:t>3,73 zł.</w:t>
            </w:r>
          </w:p>
        </w:tc>
        <w:tc>
          <w:tcPr>
            <w:tcW w:w="1134" w:type="dxa"/>
          </w:tcPr>
          <w:p w:rsidR="0039641B" w:rsidRDefault="0039641B" w:rsidP="00603584">
            <w:pPr>
              <w:pStyle w:val="Bezodstpw"/>
              <w:jc w:val="center"/>
            </w:pPr>
            <w:r>
              <w:t>+11,7 %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+11,7 %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+7,6 %</w:t>
            </w:r>
          </w:p>
        </w:tc>
      </w:tr>
    </w:tbl>
    <w:p w:rsidR="0039641B" w:rsidRDefault="0039641B" w:rsidP="0039641B">
      <w:pPr>
        <w:pStyle w:val="Bezodstpw"/>
        <w:jc w:val="both"/>
      </w:pPr>
    </w:p>
    <w:p w:rsidR="0039641B" w:rsidRDefault="0039641B" w:rsidP="0039641B">
      <w:pPr>
        <w:pStyle w:val="Bezodstpw"/>
        <w:jc w:val="both"/>
      </w:pPr>
      <w:r>
        <w:t xml:space="preserve">Tabela: Procentowa zmiana ceny akcji spółki, której akcje zostały umieszczone 30 stycznia 2015 roku na  stronie internetowej </w:t>
      </w:r>
      <w:hyperlink r:id="rId26" w:history="1">
        <w:r w:rsidRPr="003C5ED1">
          <w:rPr>
            <w:rStyle w:val="Hipercze"/>
          </w:rPr>
          <w:t>www.analizy-rynkowe.pl</w:t>
        </w:r>
      </w:hyperlink>
      <w:r>
        <w:t xml:space="preserve"> w rubryce  ,,Wykres do przemyślenia” w okresie od 29 stycznia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29.01.2015</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Lubawa</w:t>
            </w:r>
          </w:p>
        </w:tc>
        <w:tc>
          <w:tcPr>
            <w:tcW w:w="2302" w:type="dxa"/>
          </w:tcPr>
          <w:p w:rsidR="0039641B" w:rsidRDefault="0039641B" w:rsidP="00603584">
            <w:pPr>
              <w:pStyle w:val="Bezodstpw"/>
              <w:jc w:val="center"/>
            </w:pPr>
            <w:r>
              <w:t>1,11 zł.</w:t>
            </w:r>
          </w:p>
        </w:tc>
        <w:tc>
          <w:tcPr>
            <w:tcW w:w="2303" w:type="dxa"/>
          </w:tcPr>
          <w:p w:rsidR="0039641B" w:rsidRDefault="0039641B" w:rsidP="00603584">
            <w:pPr>
              <w:pStyle w:val="Bezodstpw"/>
              <w:jc w:val="center"/>
            </w:pPr>
            <w:r>
              <w:t>1,37 zł.</w:t>
            </w:r>
          </w:p>
        </w:tc>
        <w:tc>
          <w:tcPr>
            <w:tcW w:w="1134" w:type="dxa"/>
          </w:tcPr>
          <w:p w:rsidR="0039641B" w:rsidRDefault="0039641B" w:rsidP="00603584">
            <w:pPr>
              <w:pStyle w:val="Bezodstpw"/>
              <w:jc w:val="center"/>
            </w:pPr>
            <w:r>
              <w:t>+23,4 %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+23,4 %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+ 7,4  %</w:t>
            </w:r>
          </w:p>
        </w:tc>
      </w:tr>
    </w:tbl>
    <w:p w:rsidR="0039641B" w:rsidRDefault="0039641B" w:rsidP="0039641B">
      <w:pPr>
        <w:pStyle w:val="Bezodstpw"/>
        <w:jc w:val="both"/>
        <w:rPr>
          <w:b/>
          <w:u w:val="single"/>
        </w:rPr>
      </w:pPr>
    </w:p>
    <w:p w:rsidR="0039641B" w:rsidRDefault="0039641B" w:rsidP="0039641B">
      <w:pPr>
        <w:pStyle w:val="Bezodstpw"/>
        <w:jc w:val="both"/>
      </w:pPr>
      <w:r>
        <w:t xml:space="preserve">Tabela: Procentowa zmiana ceny akcji spółki, której akcje zostały umieszczone 10 lutego 2015 roku na  stronie internetowej </w:t>
      </w:r>
      <w:hyperlink r:id="rId27" w:history="1">
        <w:r w:rsidRPr="003C5ED1">
          <w:rPr>
            <w:rStyle w:val="Hipercze"/>
          </w:rPr>
          <w:t>www.analizy-rynkowe.pl</w:t>
        </w:r>
      </w:hyperlink>
      <w:r>
        <w:t xml:space="preserve"> w rubryce  ,,Wykres do przemyślenia” w okresie od 9 lutego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09.02.2015</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 xml:space="preserve">Akcja spółki </w:t>
            </w:r>
            <w:proofErr w:type="spellStart"/>
            <w:r>
              <w:t>Atrem</w:t>
            </w:r>
            <w:proofErr w:type="spellEnd"/>
          </w:p>
        </w:tc>
        <w:tc>
          <w:tcPr>
            <w:tcW w:w="2302" w:type="dxa"/>
          </w:tcPr>
          <w:p w:rsidR="0039641B" w:rsidRDefault="0039641B" w:rsidP="00603584">
            <w:pPr>
              <w:pStyle w:val="Bezodstpw"/>
              <w:jc w:val="center"/>
            </w:pPr>
            <w:r>
              <w:t>4,50 zł.</w:t>
            </w:r>
          </w:p>
        </w:tc>
        <w:tc>
          <w:tcPr>
            <w:tcW w:w="2303" w:type="dxa"/>
          </w:tcPr>
          <w:p w:rsidR="0039641B" w:rsidRDefault="0039641B" w:rsidP="00603584">
            <w:pPr>
              <w:pStyle w:val="Bezodstpw"/>
              <w:jc w:val="center"/>
            </w:pPr>
            <w:r>
              <w:t>4,99 zł.</w:t>
            </w:r>
          </w:p>
        </w:tc>
        <w:tc>
          <w:tcPr>
            <w:tcW w:w="1134" w:type="dxa"/>
          </w:tcPr>
          <w:p w:rsidR="0039641B" w:rsidRDefault="0039641B" w:rsidP="00603584">
            <w:pPr>
              <w:pStyle w:val="Bezodstpw"/>
              <w:jc w:val="center"/>
            </w:pPr>
            <w:r>
              <w:t>+10,9 %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+10,9 %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+7,5  %</w:t>
            </w:r>
          </w:p>
        </w:tc>
      </w:tr>
    </w:tbl>
    <w:p w:rsidR="0039641B" w:rsidRDefault="0039641B" w:rsidP="0039641B">
      <w:pPr>
        <w:pStyle w:val="Bezodstpw"/>
        <w:jc w:val="both"/>
        <w:rPr>
          <w:b/>
        </w:rPr>
      </w:pPr>
    </w:p>
    <w:p w:rsidR="0039641B" w:rsidRDefault="0039641B" w:rsidP="0039641B">
      <w:pPr>
        <w:pStyle w:val="Bezodstpw"/>
        <w:jc w:val="both"/>
      </w:pPr>
      <w:r>
        <w:t xml:space="preserve">Tabela: Procentowa zmiana ceny akcji spółki, której akcje zostały umieszczone 3 marca 2015 roku na  stronie internetowej </w:t>
      </w:r>
      <w:hyperlink r:id="rId28" w:history="1">
        <w:r w:rsidRPr="003C5ED1">
          <w:rPr>
            <w:rStyle w:val="Hipercze"/>
          </w:rPr>
          <w:t>www.analizy-rynkowe.pl</w:t>
        </w:r>
      </w:hyperlink>
      <w:r>
        <w:t xml:space="preserve"> w rubryce  ,,Wykres do przemyślenia” w okresie od 2 marca do </w:t>
      </w:r>
      <w:r w:rsidR="00BB6C62">
        <w:t>30</w:t>
      </w:r>
      <w:r>
        <w:t xml:space="preserve"> kwietnia 2015 roku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02.03.2015</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Mostostal Warszawa</w:t>
            </w:r>
          </w:p>
        </w:tc>
        <w:tc>
          <w:tcPr>
            <w:tcW w:w="2302" w:type="dxa"/>
          </w:tcPr>
          <w:p w:rsidR="0039641B" w:rsidRDefault="0039641B" w:rsidP="00603584">
            <w:pPr>
              <w:pStyle w:val="Bezodstpw"/>
              <w:jc w:val="center"/>
            </w:pPr>
            <w:r>
              <w:t>7,57 zł.</w:t>
            </w:r>
          </w:p>
        </w:tc>
        <w:tc>
          <w:tcPr>
            <w:tcW w:w="2303" w:type="dxa"/>
          </w:tcPr>
          <w:p w:rsidR="0039641B" w:rsidRDefault="0039641B" w:rsidP="00603584">
            <w:pPr>
              <w:pStyle w:val="Bezodstpw"/>
              <w:jc w:val="center"/>
            </w:pPr>
            <w:r>
              <w:t>10,41 zł.</w:t>
            </w:r>
          </w:p>
        </w:tc>
        <w:tc>
          <w:tcPr>
            <w:tcW w:w="1134" w:type="dxa"/>
          </w:tcPr>
          <w:p w:rsidR="0039641B" w:rsidRDefault="0039641B" w:rsidP="00603584">
            <w:pPr>
              <w:pStyle w:val="Bezodstpw"/>
              <w:jc w:val="center"/>
            </w:pPr>
            <w:r>
              <w:t>+37,5 %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+37,5 %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2 417,11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+6,6 %</w:t>
            </w:r>
          </w:p>
        </w:tc>
      </w:tr>
    </w:tbl>
    <w:p w:rsidR="0039641B" w:rsidRDefault="0039641B" w:rsidP="0039641B">
      <w:pPr>
        <w:pStyle w:val="Bezodstpw"/>
        <w:jc w:val="both"/>
        <w:rPr>
          <w:b/>
        </w:rPr>
      </w:pPr>
    </w:p>
    <w:p w:rsidR="0039641B" w:rsidRDefault="0039641B" w:rsidP="0039641B">
      <w:pPr>
        <w:pStyle w:val="Bezodstpw"/>
        <w:jc w:val="both"/>
      </w:pPr>
      <w:r>
        <w:t xml:space="preserve">Tabela: Procentowa zmiana ceny akcji spółki, której akcje zostały umieszczone 9 kwietnia 2015 roku na  stronie internetowej </w:t>
      </w:r>
      <w:hyperlink r:id="rId29" w:history="1">
        <w:r w:rsidRPr="003C5ED1">
          <w:rPr>
            <w:rStyle w:val="Hipercze"/>
          </w:rPr>
          <w:t>www.analizy-rynkowe.pl</w:t>
        </w:r>
      </w:hyperlink>
      <w:r>
        <w:t xml:space="preserve"> w rubryce  ,,Wykres do przemyślenia” w okresie od 8 do </w:t>
      </w:r>
      <w:r w:rsidR="00BB6C62">
        <w:t>30</w:t>
      </w:r>
      <w:r>
        <w:t xml:space="preserve"> kwietnia 2015 roku oraz procentowa zmiana indeksu WIG 20 w tym okresie. </w:t>
      </w:r>
    </w:p>
    <w:p w:rsidR="0039641B" w:rsidRDefault="0039641B" w:rsidP="0039641B">
      <w:pPr>
        <w:pStyle w:val="Bezodstpw"/>
        <w:jc w:val="both"/>
      </w:pPr>
    </w:p>
    <w:tbl>
      <w:tblPr>
        <w:tblStyle w:val="Tabela-Siatka"/>
        <w:tblW w:w="0" w:type="auto"/>
        <w:tblLook w:val="04A0"/>
      </w:tblPr>
      <w:tblGrid>
        <w:gridCol w:w="3402"/>
        <w:gridCol w:w="2302"/>
        <w:gridCol w:w="2303"/>
        <w:gridCol w:w="1134"/>
      </w:tblGrid>
      <w:tr w:rsidR="0039641B" w:rsidTr="00603584">
        <w:tc>
          <w:tcPr>
            <w:tcW w:w="3402" w:type="dxa"/>
          </w:tcPr>
          <w:p w:rsidR="0039641B" w:rsidRDefault="0039641B" w:rsidP="00603584">
            <w:pPr>
              <w:pStyle w:val="Bezodstpw"/>
              <w:jc w:val="center"/>
            </w:pPr>
            <w:r>
              <w:t>Instrument finansowy</w:t>
            </w:r>
          </w:p>
        </w:tc>
        <w:tc>
          <w:tcPr>
            <w:tcW w:w="2302" w:type="dxa"/>
          </w:tcPr>
          <w:p w:rsidR="0039641B" w:rsidRDefault="0039641B" w:rsidP="00603584">
            <w:pPr>
              <w:pStyle w:val="Bezodstpw"/>
              <w:jc w:val="center"/>
            </w:pPr>
            <w:r>
              <w:t>Poziom – 08.04.2015</w:t>
            </w:r>
          </w:p>
        </w:tc>
        <w:tc>
          <w:tcPr>
            <w:tcW w:w="2303" w:type="dxa"/>
          </w:tcPr>
          <w:p w:rsidR="0039641B" w:rsidRDefault="0039641B" w:rsidP="00603584">
            <w:pPr>
              <w:pStyle w:val="Bezodstpw"/>
              <w:jc w:val="center"/>
            </w:pPr>
            <w:r>
              <w:t>Poziom – 30.04.2015</w:t>
            </w:r>
          </w:p>
        </w:tc>
        <w:tc>
          <w:tcPr>
            <w:tcW w:w="1134" w:type="dxa"/>
          </w:tcPr>
          <w:p w:rsidR="0039641B" w:rsidRDefault="0039641B" w:rsidP="00603584">
            <w:pPr>
              <w:pStyle w:val="Bezodstpw"/>
              <w:jc w:val="center"/>
            </w:pPr>
            <w:r>
              <w:t>Zmiana (w %)</w:t>
            </w:r>
          </w:p>
        </w:tc>
      </w:tr>
      <w:tr w:rsidR="0039641B" w:rsidTr="00603584">
        <w:tc>
          <w:tcPr>
            <w:tcW w:w="3402" w:type="dxa"/>
          </w:tcPr>
          <w:p w:rsidR="0039641B" w:rsidRDefault="0039641B" w:rsidP="00603584">
            <w:pPr>
              <w:pStyle w:val="Bezodstpw"/>
              <w:jc w:val="center"/>
            </w:pPr>
            <w:r>
              <w:t>Akcja spółki Ceramika Nowa Gala</w:t>
            </w:r>
          </w:p>
        </w:tc>
        <w:tc>
          <w:tcPr>
            <w:tcW w:w="2302" w:type="dxa"/>
          </w:tcPr>
          <w:p w:rsidR="0039641B" w:rsidRDefault="0039641B" w:rsidP="00603584">
            <w:pPr>
              <w:pStyle w:val="Bezodstpw"/>
              <w:jc w:val="center"/>
            </w:pPr>
            <w:r>
              <w:t>1,25 zł.</w:t>
            </w:r>
          </w:p>
        </w:tc>
        <w:tc>
          <w:tcPr>
            <w:tcW w:w="2303" w:type="dxa"/>
          </w:tcPr>
          <w:p w:rsidR="0039641B" w:rsidRDefault="0039641B" w:rsidP="00603584">
            <w:pPr>
              <w:pStyle w:val="Bezodstpw"/>
              <w:jc w:val="center"/>
            </w:pPr>
            <w:r>
              <w:t>1,27 zł.</w:t>
            </w:r>
          </w:p>
        </w:tc>
        <w:tc>
          <w:tcPr>
            <w:tcW w:w="1134" w:type="dxa"/>
          </w:tcPr>
          <w:p w:rsidR="0039641B" w:rsidRDefault="0039641B" w:rsidP="00603584">
            <w:pPr>
              <w:pStyle w:val="Bezodstpw"/>
              <w:jc w:val="center"/>
            </w:pPr>
            <w:r>
              <w:t>-0,8 %</w:t>
            </w:r>
          </w:p>
        </w:tc>
      </w:tr>
      <w:tr w:rsidR="0039641B" w:rsidRPr="008F668F" w:rsidTr="00603584">
        <w:tc>
          <w:tcPr>
            <w:tcW w:w="3402" w:type="dxa"/>
          </w:tcPr>
          <w:p w:rsidR="0039641B" w:rsidRPr="008F668F" w:rsidRDefault="0039641B" w:rsidP="00603584">
            <w:pPr>
              <w:pStyle w:val="Bezodstpw"/>
              <w:jc w:val="center"/>
              <w:rPr>
                <w:b/>
                <w:color w:val="FF0000"/>
              </w:rPr>
            </w:pPr>
            <w:r w:rsidRPr="008F668F">
              <w:rPr>
                <w:b/>
                <w:color w:val="FF0000"/>
              </w:rPr>
              <w:t>Średnio</w:t>
            </w:r>
          </w:p>
        </w:tc>
        <w:tc>
          <w:tcPr>
            <w:tcW w:w="2302" w:type="dxa"/>
            <w:tcBorders>
              <w:right w:val="nil"/>
            </w:tcBorders>
          </w:tcPr>
          <w:p w:rsidR="0039641B" w:rsidRPr="008F668F" w:rsidRDefault="0039641B" w:rsidP="00603584">
            <w:pPr>
              <w:pStyle w:val="Bezodstpw"/>
              <w:jc w:val="center"/>
              <w:rPr>
                <w:b/>
                <w:color w:val="FF0000"/>
              </w:rPr>
            </w:pPr>
          </w:p>
        </w:tc>
        <w:tc>
          <w:tcPr>
            <w:tcW w:w="2303" w:type="dxa"/>
            <w:tcBorders>
              <w:left w:val="nil"/>
            </w:tcBorders>
          </w:tcPr>
          <w:p w:rsidR="0039641B" w:rsidRPr="008F668F" w:rsidRDefault="0039641B" w:rsidP="00603584">
            <w:pPr>
              <w:pStyle w:val="Bezodstpw"/>
              <w:jc w:val="center"/>
              <w:rPr>
                <w:b/>
                <w:color w:val="FF0000"/>
              </w:rPr>
            </w:pPr>
          </w:p>
        </w:tc>
        <w:tc>
          <w:tcPr>
            <w:tcW w:w="1134" w:type="dxa"/>
          </w:tcPr>
          <w:p w:rsidR="0039641B" w:rsidRPr="008F668F" w:rsidRDefault="0039641B" w:rsidP="00603584">
            <w:pPr>
              <w:pStyle w:val="Bezodstpw"/>
              <w:jc w:val="center"/>
              <w:rPr>
                <w:b/>
                <w:color w:val="FF0000"/>
              </w:rPr>
            </w:pPr>
            <w:r>
              <w:rPr>
                <w:b/>
                <w:color w:val="FF0000"/>
              </w:rPr>
              <w:t>-0,8 %</w:t>
            </w:r>
          </w:p>
        </w:tc>
      </w:tr>
      <w:tr w:rsidR="0039641B" w:rsidTr="00603584">
        <w:tc>
          <w:tcPr>
            <w:tcW w:w="3402" w:type="dxa"/>
          </w:tcPr>
          <w:p w:rsidR="0039641B" w:rsidRDefault="0039641B" w:rsidP="00603584">
            <w:pPr>
              <w:pStyle w:val="Bezodstpw"/>
              <w:jc w:val="center"/>
            </w:pPr>
            <w:r>
              <w:t>WIG 20</w:t>
            </w:r>
          </w:p>
        </w:tc>
        <w:tc>
          <w:tcPr>
            <w:tcW w:w="2302" w:type="dxa"/>
          </w:tcPr>
          <w:p w:rsidR="0039641B" w:rsidRDefault="0039641B" w:rsidP="00603584">
            <w:pPr>
              <w:pStyle w:val="Bezodstpw"/>
              <w:jc w:val="center"/>
            </w:pPr>
            <w:r>
              <w:t xml:space="preserve">2 424,82 pkt. </w:t>
            </w:r>
          </w:p>
        </w:tc>
        <w:tc>
          <w:tcPr>
            <w:tcW w:w="2303" w:type="dxa"/>
          </w:tcPr>
          <w:p w:rsidR="0039641B" w:rsidRDefault="0039641B" w:rsidP="00603584">
            <w:pPr>
              <w:pStyle w:val="Bezodstpw"/>
              <w:jc w:val="center"/>
            </w:pPr>
            <w:r w:rsidRPr="00662678">
              <w:t>2</w:t>
            </w:r>
            <w:r>
              <w:t> 514,63 pkt.</w:t>
            </w:r>
          </w:p>
        </w:tc>
        <w:tc>
          <w:tcPr>
            <w:tcW w:w="1134" w:type="dxa"/>
          </w:tcPr>
          <w:p w:rsidR="0039641B" w:rsidRDefault="0039641B" w:rsidP="00603584">
            <w:pPr>
              <w:pStyle w:val="Bezodstpw"/>
              <w:jc w:val="center"/>
            </w:pPr>
            <w:r>
              <w:t>+ 3,7 %</w:t>
            </w:r>
          </w:p>
        </w:tc>
      </w:tr>
    </w:tbl>
    <w:p w:rsidR="0039641B" w:rsidRDefault="0039641B" w:rsidP="0039641B">
      <w:pPr>
        <w:pStyle w:val="Bezodstpw"/>
        <w:jc w:val="both"/>
        <w:rPr>
          <w:sz w:val="34"/>
          <w:szCs w:val="34"/>
        </w:rPr>
      </w:pPr>
    </w:p>
    <w:p w:rsidR="0039641B" w:rsidRPr="009240AE" w:rsidRDefault="0039641B" w:rsidP="0039641B">
      <w:pPr>
        <w:pStyle w:val="Bezodstpw"/>
        <w:jc w:val="both"/>
        <w:rPr>
          <w:b/>
          <w:sz w:val="36"/>
          <w:szCs w:val="36"/>
          <w:u w:val="single"/>
        </w:rPr>
      </w:pPr>
      <w:r w:rsidRPr="00147018">
        <w:rPr>
          <w:sz w:val="36"/>
          <w:szCs w:val="36"/>
        </w:rPr>
        <w:lastRenderedPageBreak/>
        <w:t xml:space="preserve">Warto zauważyć, że </w:t>
      </w:r>
      <w:r w:rsidRPr="00147018">
        <w:rPr>
          <w:b/>
          <w:color w:val="FF0000"/>
          <w:sz w:val="36"/>
          <w:szCs w:val="36"/>
        </w:rPr>
        <w:t>spośród</w:t>
      </w:r>
      <w:r w:rsidRPr="00147018">
        <w:rPr>
          <w:b/>
          <w:sz w:val="36"/>
          <w:szCs w:val="36"/>
        </w:rPr>
        <w:t xml:space="preserve"> </w:t>
      </w:r>
      <w:r w:rsidRPr="00147018">
        <w:rPr>
          <w:b/>
          <w:color w:val="FF0000"/>
          <w:sz w:val="36"/>
          <w:szCs w:val="36"/>
        </w:rPr>
        <w:t>26 spółek</w:t>
      </w:r>
      <w:r w:rsidRPr="00147018">
        <w:rPr>
          <w:b/>
          <w:sz w:val="36"/>
          <w:szCs w:val="36"/>
        </w:rPr>
        <w:t>, których akcje zakwalifikowane zostały do rubryki ,,Wykres do przemyślenia”</w:t>
      </w:r>
      <w:r w:rsidRPr="00147018">
        <w:rPr>
          <w:sz w:val="36"/>
          <w:szCs w:val="36"/>
        </w:rPr>
        <w:t xml:space="preserve"> (gdyż wybiły się już z formacji podwójnego dna) </w:t>
      </w:r>
      <w:r w:rsidRPr="00147018">
        <w:rPr>
          <w:b/>
          <w:sz w:val="36"/>
          <w:szCs w:val="36"/>
        </w:rPr>
        <w:t xml:space="preserve">kursy akcji </w:t>
      </w:r>
      <w:r w:rsidRPr="00147018">
        <w:rPr>
          <w:b/>
          <w:color w:val="FF0000"/>
          <w:sz w:val="36"/>
          <w:szCs w:val="36"/>
        </w:rPr>
        <w:t>1</w:t>
      </w:r>
      <w:r>
        <w:rPr>
          <w:b/>
          <w:color w:val="FF0000"/>
          <w:sz w:val="36"/>
          <w:szCs w:val="36"/>
        </w:rPr>
        <w:t>7</w:t>
      </w:r>
      <w:r w:rsidRPr="00147018">
        <w:rPr>
          <w:b/>
          <w:color w:val="FF0000"/>
          <w:sz w:val="36"/>
          <w:szCs w:val="36"/>
        </w:rPr>
        <w:t xml:space="preserve"> spółek</w:t>
      </w:r>
      <w:r w:rsidRPr="00147018">
        <w:rPr>
          <w:sz w:val="36"/>
          <w:szCs w:val="36"/>
        </w:rPr>
        <w:t xml:space="preserve"> od momentu owego zakwalifikowania do tej rubryki do dnia 24 kwietnia 2015 roku zachowywały się </w:t>
      </w:r>
      <w:r w:rsidRPr="00147018">
        <w:rPr>
          <w:b/>
          <w:color w:val="FF0000"/>
          <w:sz w:val="36"/>
          <w:szCs w:val="36"/>
          <w:u w:val="single"/>
        </w:rPr>
        <w:t>lepiej</w:t>
      </w:r>
      <w:r w:rsidRPr="00147018">
        <w:rPr>
          <w:b/>
          <w:color w:val="FF0000"/>
          <w:sz w:val="36"/>
          <w:szCs w:val="36"/>
        </w:rPr>
        <w:t xml:space="preserve"> od indeksu WIG20</w:t>
      </w:r>
      <w:r w:rsidRPr="00147018">
        <w:rPr>
          <w:b/>
          <w:sz w:val="36"/>
          <w:szCs w:val="36"/>
        </w:rPr>
        <w:t xml:space="preserve"> a </w:t>
      </w:r>
      <w:r>
        <w:rPr>
          <w:b/>
          <w:sz w:val="36"/>
          <w:szCs w:val="36"/>
        </w:rPr>
        <w:t>9</w:t>
      </w:r>
      <w:r w:rsidRPr="00147018">
        <w:rPr>
          <w:b/>
          <w:sz w:val="36"/>
          <w:szCs w:val="36"/>
        </w:rPr>
        <w:t xml:space="preserve"> </w:t>
      </w:r>
      <w:r w:rsidRPr="009240AE">
        <w:rPr>
          <w:b/>
          <w:sz w:val="36"/>
          <w:szCs w:val="36"/>
          <w:u w:val="single"/>
        </w:rPr>
        <w:t xml:space="preserve">gorzej </w:t>
      </w:r>
      <w:r w:rsidRPr="009240AE">
        <w:rPr>
          <w:b/>
          <w:sz w:val="36"/>
          <w:szCs w:val="36"/>
        </w:rPr>
        <w:t>od indeksu WIG20.</w:t>
      </w:r>
      <w:r>
        <w:rPr>
          <w:b/>
          <w:sz w:val="36"/>
          <w:szCs w:val="36"/>
          <w:u w:val="single"/>
        </w:rPr>
        <w:t xml:space="preserve"> </w:t>
      </w:r>
    </w:p>
    <w:p w:rsidR="0039641B" w:rsidRPr="004B4AAC" w:rsidRDefault="0039641B" w:rsidP="0039641B">
      <w:pPr>
        <w:pStyle w:val="Bezodstpw"/>
        <w:jc w:val="both"/>
        <w:rPr>
          <w:b/>
          <w:sz w:val="40"/>
          <w:szCs w:val="40"/>
          <w:u w:val="single"/>
        </w:rPr>
      </w:pPr>
    </w:p>
    <w:p w:rsidR="0039641B" w:rsidRPr="004B4AAC" w:rsidRDefault="0039641B" w:rsidP="0039641B">
      <w:pPr>
        <w:pStyle w:val="Bezodstpw"/>
        <w:jc w:val="center"/>
        <w:rPr>
          <w:b/>
          <w:emboss/>
          <w:color w:val="FF0000"/>
          <w:sz w:val="40"/>
          <w:szCs w:val="40"/>
        </w:rPr>
      </w:pPr>
      <w:r w:rsidRPr="004B4AAC">
        <w:rPr>
          <w:b/>
          <w:emboss/>
          <w:color w:val="FF0000"/>
          <w:sz w:val="40"/>
          <w:szCs w:val="40"/>
        </w:rPr>
        <w:t>Porównanie</w:t>
      </w:r>
    </w:p>
    <w:p w:rsidR="0039641B" w:rsidRPr="004B4AAC" w:rsidRDefault="0039641B" w:rsidP="0039641B">
      <w:pPr>
        <w:pStyle w:val="Bezodstpw"/>
        <w:jc w:val="both"/>
        <w:rPr>
          <w:sz w:val="40"/>
          <w:szCs w:val="40"/>
        </w:rPr>
      </w:pPr>
      <w:r w:rsidRPr="004B4AAC">
        <w:rPr>
          <w:sz w:val="40"/>
          <w:szCs w:val="40"/>
        </w:rPr>
        <w:t xml:space="preserve">Wykres: </w:t>
      </w:r>
      <w:r w:rsidRPr="004B4AAC">
        <w:rPr>
          <w:color w:val="000000" w:themeColor="text1"/>
          <w:sz w:val="40"/>
          <w:szCs w:val="40"/>
        </w:rPr>
        <w:t>Średnia procentowa zmiana kursu akcji spółki po wprowadzeniu jej do rubryki ,,Wykres do przemyślenia”</w:t>
      </w:r>
      <w:r w:rsidRPr="004B4AAC">
        <w:rPr>
          <w:b/>
          <w:color w:val="FF0000"/>
          <w:sz w:val="40"/>
          <w:szCs w:val="40"/>
        </w:rPr>
        <w:t xml:space="preserve"> w okresie </w:t>
      </w:r>
      <w:r>
        <w:rPr>
          <w:b/>
          <w:color w:val="FF0000"/>
          <w:sz w:val="40"/>
          <w:szCs w:val="40"/>
        </w:rPr>
        <w:t>6</w:t>
      </w:r>
      <w:r w:rsidRPr="004B4AAC">
        <w:rPr>
          <w:b/>
          <w:color w:val="FF0000"/>
          <w:sz w:val="40"/>
          <w:szCs w:val="40"/>
        </w:rPr>
        <w:t xml:space="preserve"> miesięcy</w:t>
      </w:r>
      <w:r w:rsidRPr="004B4AAC">
        <w:rPr>
          <w:sz w:val="40"/>
          <w:szCs w:val="40"/>
        </w:rPr>
        <w:t xml:space="preserve"> po jej wprowadzeniu do tej rubryki wynosiła </w:t>
      </w:r>
      <w:r w:rsidRPr="004B4AAC">
        <w:rPr>
          <w:b/>
          <w:color w:val="FF0000"/>
          <w:sz w:val="40"/>
          <w:szCs w:val="40"/>
        </w:rPr>
        <w:t xml:space="preserve">plus </w:t>
      </w:r>
      <w:r>
        <w:rPr>
          <w:b/>
          <w:color w:val="FF0000"/>
          <w:sz w:val="40"/>
          <w:szCs w:val="40"/>
        </w:rPr>
        <w:t>17,7</w:t>
      </w:r>
      <w:r w:rsidRPr="004B4AAC">
        <w:rPr>
          <w:b/>
          <w:color w:val="FF0000"/>
          <w:sz w:val="40"/>
          <w:szCs w:val="40"/>
        </w:rPr>
        <w:t xml:space="preserve"> %</w:t>
      </w:r>
      <w:r w:rsidRPr="004B4AAC">
        <w:rPr>
          <w:sz w:val="40"/>
          <w:szCs w:val="40"/>
        </w:rPr>
        <w:t xml:space="preserve"> a średnia procentowa zmiana indeksu WIG20 wynosiła w tym okresie minus </w:t>
      </w:r>
      <w:r>
        <w:rPr>
          <w:sz w:val="40"/>
          <w:szCs w:val="40"/>
        </w:rPr>
        <w:t>3</w:t>
      </w:r>
      <w:r w:rsidRPr="004B4AAC">
        <w:rPr>
          <w:sz w:val="40"/>
          <w:szCs w:val="40"/>
        </w:rPr>
        <w:t>,</w:t>
      </w:r>
      <w:r>
        <w:rPr>
          <w:sz w:val="40"/>
          <w:szCs w:val="40"/>
        </w:rPr>
        <w:t>3</w:t>
      </w:r>
      <w:r w:rsidRPr="004B4AAC">
        <w:rPr>
          <w:sz w:val="40"/>
          <w:szCs w:val="40"/>
        </w:rPr>
        <w:t xml:space="preserve"> % (</w:t>
      </w:r>
      <w:r w:rsidRPr="004B4AAC">
        <w:rPr>
          <w:sz w:val="40"/>
          <w:szCs w:val="40"/>
          <w:u w:val="single"/>
        </w:rPr>
        <w:t xml:space="preserve">obliczenia według stanu na </w:t>
      </w:r>
      <w:r>
        <w:rPr>
          <w:sz w:val="40"/>
          <w:szCs w:val="40"/>
          <w:u w:val="single"/>
        </w:rPr>
        <w:t>30</w:t>
      </w:r>
      <w:r w:rsidRPr="004B4AAC">
        <w:rPr>
          <w:sz w:val="40"/>
          <w:szCs w:val="40"/>
          <w:u w:val="single"/>
        </w:rPr>
        <w:t xml:space="preserve"> kwietnia 2015 roku</w:t>
      </w:r>
      <w:r w:rsidRPr="004B4AAC">
        <w:rPr>
          <w:sz w:val="40"/>
          <w:szCs w:val="40"/>
        </w:rPr>
        <w:t xml:space="preserve">). Dane o procentowej zmianie kursu dla okresu </w:t>
      </w:r>
      <w:r>
        <w:rPr>
          <w:sz w:val="40"/>
          <w:szCs w:val="40"/>
        </w:rPr>
        <w:t>6</w:t>
      </w:r>
      <w:r w:rsidRPr="004B4AAC">
        <w:rPr>
          <w:sz w:val="40"/>
          <w:szCs w:val="40"/>
        </w:rPr>
        <w:t>-miesięcznego można było obliczyć dla akcji 1</w:t>
      </w:r>
      <w:r>
        <w:rPr>
          <w:sz w:val="40"/>
          <w:szCs w:val="40"/>
        </w:rPr>
        <w:t>6</w:t>
      </w:r>
      <w:r w:rsidRPr="004B4AAC">
        <w:rPr>
          <w:sz w:val="40"/>
          <w:szCs w:val="40"/>
        </w:rPr>
        <w:t xml:space="preserve"> spółek. </w:t>
      </w:r>
    </w:p>
    <w:p w:rsidR="0039641B" w:rsidRDefault="0039641B" w:rsidP="0039641B">
      <w:pPr>
        <w:pStyle w:val="Bezodstpw"/>
        <w:jc w:val="both"/>
      </w:pPr>
    </w:p>
    <w:p w:rsidR="0039641B" w:rsidRDefault="0039641B" w:rsidP="0039641B">
      <w:pPr>
        <w:pStyle w:val="Bezodstpw"/>
        <w:jc w:val="both"/>
      </w:pPr>
      <w:r w:rsidRPr="00AF56EB">
        <w:rPr>
          <w:noProof/>
          <w:bdr w:val="single" w:sz="24" w:space="0" w:color="00B050"/>
        </w:rPr>
        <w:drawing>
          <wp:inline distT="0" distB="0" distL="0" distR="0">
            <wp:extent cx="4162425" cy="2095500"/>
            <wp:effectExtent l="19050" t="0" r="9525" b="0"/>
            <wp:docPr id="2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9641B" w:rsidRDefault="0039641B" w:rsidP="0039641B">
      <w:pPr>
        <w:pStyle w:val="Bezodstpw"/>
        <w:jc w:val="both"/>
      </w:pPr>
    </w:p>
    <w:p w:rsidR="0039641B" w:rsidRDefault="0039641B" w:rsidP="0039641B">
      <w:pPr>
        <w:pStyle w:val="Bezodstpw"/>
        <w:jc w:val="both"/>
        <w:rPr>
          <w:sz w:val="24"/>
          <w:szCs w:val="24"/>
        </w:rPr>
      </w:pPr>
      <w:r w:rsidRPr="004B4AAC">
        <w:rPr>
          <w:sz w:val="24"/>
          <w:szCs w:val="24"/>
        </w:rPr>
        <w:t xml:space="preserve">Z powyższego porównania wynika, że </w:t>
      </w:r>
      <w:r w:rsidRPr="004B4AAC">
        <w:rPr>
          <w:b/>
          <w:sz w:val="24"/>
          <w:szCs w:val="24"/>
        </w:rPr>
        <w:t>wybicie kursu akcji spółki z formacji podwójnego dna</w:t>
      </w:r>
      <w:r w:rsidRPr="004B4AAC">
        <w:rPr>
          <w:sz w:val="24"/>
          <w:szCs w:val="24"/>
        </w:rPr>
        <w:t xml:space="preserve"> będące </w:t>
      </w:r>
      <w:r w:rsidRPr="004B4AAC">
        <w:rPr>
          <w:b/>
          <w:color w:val="000000" w:themeColor="text1"/>
          <w:sz w:val="24"/>
          <w:szCs w:val="24"/>
        </w:rPr>
        <w:t>niezbędnym kryterium kwalifikującym</w:t>
      </w:r>
      <w:r w:rsidRPr="004B4AAC">
        <w:rPr>
          <w:sz w:val="24"/>
          <w:szCs w:val="24"/>
        </w:rPr>
        <w:t xml:space="preserve"> do wprowadzenie spółki do rubryki ,,Wykres do przemyślenia” sprzyja relatywnie mocnemu zachowaniu kursu akcji tej spółki w okresie pierwszych </w:t>
      </w:r>
      <w:r>
        <w:rPr>
          <w:sz w:val="24"/>
          <w:szCs w:val="24"/>
        </w:rPr>
        <w:t>6</w:t>
      </w:r>
      <w:r w:rsidRPr="004B4AAC">
        <w:rPr>
          <w:sz w:val="24"/>
          <w:szCs w:val="24"/>
        </w:rPr>
        <w:t xml:space="preserve"> miesięcy po wprowadzeniu spółki do tej rubryki.</w:t>
      </w:r>
    </w:p>
    <w:p w:rsidR="0039641B" w:rsidRDefault="0039641B" w:rsidP="0039641B">
      <w:pPr>
        <w:pStyle w:val="Bezodstpw"/>
        <w:jc w:val="both"/>
      </w:pPr>
    </w:p>
    <w:p w:rsidR="0039641B" w:rsidRDefault="0039641B" w:rsidP="0039641B">
      <w:pPr>
        <w:pStyle w:val="Bezodstpw"/>
        <w:pBdr>
          <w:top w:val="single" w:sz="4" w:space="1" w:color="auto"/>
          <w:left w:val="single" w:sz="4" w:space="4" w:color="auto"/>
          <w:bottom w:val="single" w:sz="4" w:space="1" w:color="auto"/>
          <w:right w:val="single" w:sz="4" w:space="4" w:color="auto"/>
        </w:pBdr>
        <w:jc w:val="center"/>
      </w:pPr>
      <w:r>
        <w:lastRenderedPageBreak/>
        <w:t>Zastosowanie analizy ,,pęku średnich” w analizie jena japońskiego (w złotych) – to ważne !</w:t>
      </w:r>
    </w:p>
    <w:p w:rsidR="0039641B" w:rsidRDefault="0039641B" w:rsidP="0039641B">
      <w:pPr>
        <w:pStyle w:val="Bezodstpw"/>
        <w:jc w:val="center"/>
      </w:pPr>
    </w:p>
    <w:p w:rsidR="0039641B" w:rsidRDefault="0039641B" w:rsidP="0039641B">
      <w:pPr>
        <w:pStyle w:val="Bezodstpw"/>
        <w:jc w:val="both"/>
      </w:pPr>
      <w:r>
        <w:t xml:space="preserve">Dlaczego w tytule tego punktu ,,Raportu Tygodniowego” napisałem: </w:t>
      </w:r>
      <w:r w:rsidRPr="006D27DC">
        <w:rPr>
          <w:b/>
        </w:rPr>
        <w:t xml:space="preserve">,,to ważne !” </w:t>
      </w:r>
      <w:r>
        <w:t>?. Mógłby ktoś powiedzieć: przecież kluczowe dla nas są pary walutowe: euro (w złotych), dolar amerykański (w złotych) oraz frank szwajcarski (w złotych). Ta ostatnia para ma szczególne znaczenie dla posiadaczy kredytów w walucie szwajcarskiej. Ale jen ?</w:t>
      </w:r>
    </w:p>
    <w:p w:rsidR="0039641B" w:rsidRDefault="0039641B" w:rsidP="0039641B">
      <w:pPr>
        <w:pStyle w:val="Bezodstpw"/>
        <w:jc w:val="both"/>
      </w:pPr>
    </w:p>
    <w:p w:rsidR="0039641B" w:rsidRDefault="0039641B" w:rsidP="0039641B">
      <w:pPr>
        <w:pStyle w:val="Bezodstpw"/>
        <w:jc w:val="both"/>
      </w:pPr>
      <w:r>
        <w:t xml:space="preserve">Skoncentruje się dziś w swej analizie właśnie kursu jena japońskiego (w złotych), gdyż (takie odnoszę wrażenie) jego zachowanie może stanowić </w:t>
      </w:r>
      <w:r w:rsidRPr="003B66F3">
        <w:rPr>
          <w:b/>
        </w:rPr>
        <w:t>zapowiedź tego</w:t>
      </w:r>
      <w:r>
        <w:t xml:space="preserve"> co stanie się z pozostałymi 3 wymienionymi przeze mnie parami walutowymi. Otóż na wykresie kursu jena japońskiego (w złotych) pojawił się bardzo niedawno temu </w:t>
      </w:r>
      <w:r w:rsidRPr="00016A45">
        <w:rPr>
          <w:b/>
        </w:rPr>
        <w:t>,,pęk średnich”</w:t>
      </w:r>
      <w:r>
        <w:t>. Tak właśnie. Proszę popatrzeć na ten wykres.</w:t>
      </w:r>
    </w:p>
    <w:p w:rsidR="0039641B" w:rsidRDefault="0039641B" w:rsidP="0039641B">
      <w:pPr>
        <w:pStyle w:val="Bezodstpw"/>
        <w:jc w:val="both"/>
      </w:pPr>
    </w:p>
    <w:p w:rsidR="0039641B" w:rsidRDefault="0039641B" w:rsidP="0039641B">
      <w:pPr>
        <w:pStyle w:val="Bezodstpw"/>
        <w:jc w:val="both"/>
      </w:pPr>
      <w:r>
        <w:rPr>
          <w:noProof/>
        </w:rPr>
        <w:drawing>
          <wp:inline distT="0" distB="0" distL="0" distR="0">
            <wp:extent cx="4219575" cy="2533650"/>
            <wp:effectExtent l="19050" t="0" r="9525" b="0"/>
            <wp:docPr id="2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a:stretch>
                      <a:fillRect/>
                    </a:stretch>
                  </pic:blipFill>
                  <pic:spPr bwMode="auto">
                    <a:xfrm>
                      <a:off x="0" y="0"/>
                      <a:ext cx="4219575" cy="2533650"/>
                    </a:xfrm>
                    <a:prstGeom prst="rect">
                      <a:avLst/>
                    </a:prstGeom>
                    <a:noFill/>
                  </pic:spPr>
                </pic:pic>
              </a:graphicData>
            </a:graphic>
          </wp:inline>
        </w:drawing>
      </w:r>
    </w:p>
    <w:p w:rsidR="0039641B" w:rsidRDefault="0039641B" w:rsidP="0039641B">
      <w:pPr>
        <w:pStyle w:val="Bezodstpw"/>
        <w:jc w:val="both"/>
      </w:pPr>
    </w:p>
    <w:p w:rsidR="0039641B" w:rsidRPr="003C2B15" w:rsidRDefault="0039641B" w:rsidP="0039641B">
      <w:pPr>
        <w:pStyle w:val="Bezodstpw"/>
        <w:jc w:val="both"/>
        <w:rPr>
          <w:b/>
          <w:color w:val="FF0000"/>
        </w:rPr>
      </w:pPr>
      <w:r>
        <w:t xml:space="preserve">Po ukształtowaniu się tego ,,pęku średnich” doszło do </w:t>
      </w:r>
      <w:r w:rsidRPr="003B66F3">
        <w:rPr>
          <w:b/>
        </w:rPr>
        <w:t>wybicia z formacji podwójnego szczytu</w:t>
      </w:r>
      <w:r>
        <w:t xml:space="preserve">. Po wybiciu z formacji podwójnego szczytu powinno dojść </w:t>
      </w:r>
      <w:r w:rsidRPr="003B66F3">
        <w:rPr>
          <w:b/>
        </w:rPr>
        <w:t>do dalszych</w:t>
      </w:r>
      <w:r>
        <w:t xml:space="preserve"> spadków kursu jedna japońskiego (w złotych) a </w:t>
      </w:r>
      <w:r w:rsidRPr="003B66F3">
        <w:rPr>
          <w:b/>
          <w:u w:val="single"/>
        </w:rPr>
        <w:t>w konsekwencji także</w:t>
      </w:r>
      <w:r>
        <w:t xml:space="preserve"> euro (w złotych) czy też np. dolara amerykańskiego (w złotych). Przewidywany spadek kursów walut zagranicznych (w złotych) to inaczej mówiąc… po prostu umocnienie złotego w wyniku być może </w:t>
      </w:r>
      <w:r w:rsidRPr="003C2B15">
        <w:rPr>
          <w:b/>
          <w:color w:val="FF0000"/>
        </w:rPr>
        <w:t xml:space="preserve">dalszego napływu kapitału zagranicznego na polski rynek akcji.  </w:t>
      </w:r>
    </w:p>
    <w:p w:rsidR="0039641B" w:rsidRDefault="0039641B" w:rsidP="0039641B">
      <w:pPr>
        <w:pStyle w:val="Bezodstpw"/>
      </w:pPr>
    </w:p>
    <w:p w:rsidR="0039641B" w:rsidRDefault="0039641B" w:rsidP="0039641B">
      <w:pPr>
        <w:pStyle w:val="Bezodstpw"/>
      </w:pPr>
      <w:r>
        <w:rPr>
          <w:noProof/>
        </w:rPr>
        <w:drawing>
          <wp:inline distT="0" distB="0" distL="0" distR="0">
            <wp:extent cx="4829175" cy="2905125"/>
            <wp:effectExtent l="19050" t="0" r="9525" b="0"/>
            <wp:docPr id="2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4829175" cy="2905125"/>
                    </a:xfrm>
                    <a:prstGeom prst="rect">
                      <a:avLst/>
                    </a:prstGeom>
                    <a:noFill/>
                  </pic:spPr>
                </pic:pic>
              </a:graphicData>
            </a:graphic>
          </wp:inline>
        </w:drawing>
      </w:r>
    </w:p>
    <w:p w:rsidR="0039641B" w:rsidRDefault="0039641B" w:rsidP="0039641B">
      <w:pPr>
        <w:pStyle w:val="Bezodstpw"/>
        <w:jc w:val="both"/>
      </w:pPr>
      <w:r>
        <w:lastRenderedPageBreak/>
        <w:t xml:space="preserve">Aby pokazać związek pomiędzy zachowaniem kursu jena japońskiego (w złotych) a zachowaniem dolara amerykańskiego (w złotych) oraz euro (w złotych) można spojrzeć na poniższy wykres. W przeszłości jakoś tak się zdarzało, że </w:t>
      </w:r>
      <w:r w:rsidRPr="00B62E51">
        <w:rPr>
          <w:b/>
        </w:rPr>
        <w:t>ważne dołki</w:t>
      </w:r>
      <w:r>
        <w:t xml:space="preserve"> (oznaczone na zielono) po których kurs waluty zagranicznej rósł oraz </w:t>
      </w:r>
      <w:r w:rsidRPr="00B62E51">
        <w:rPr>
          <w:b/>
        </w:rPr>
        <w:t>ważne szczyty</w:t>
      </w:r>
      <w:r>
        <w:t xml:space="preserve"> (oznaczone na czerwono) po których kurs waluty zagranicznej spadał </w:t>
      </w:r>
      <w:r w:rsidRPr="00B62E51">
        <w:rPr>
          <w:b/>
        </w:rPr>
        <w:t>występowały w bardzo podobnych momentach</w:t>
      </w:r>
      <w:r>
        <w:t xml:space="preserve">. Oznacza to, że kiedy kapitał zagraniczny napływa na polski rynek finansowy to wywołuje to ruch kursów walut obcych w tym samym kierunku. Także, gdy kapitał zagraniczny z polskiego rynku akcji odpływa to także wywołuje to ruch kursów walut obcych w tym samym (tylko odwrotnym niż w przypadku napływu) kierunku. </w:t>
      </w:r>
    </w:p>
    <w:p w:rsidR="0039641B" w:rsidRDefault="0039641B" w:rsidP="0039641B">
      <w:pPr>
        <w:pStyle w:val="Bezodstpw"/>
      </w:pPr>
    </w:p>
    <w:p w:rsidR="0039641B" w:rsidRDefault="0039641B" w:rsidP="0039641B">
      <w:pPr>
        <w:pStyle w:val="Bezodstpw"/>
        <w:rPr>
          <w:noProof/>
        </w:rPr>
      </w:pPr>
      <w:r w:rsidRPr="00CF61C6">
        <w:rPr>
          <w:noProof/>
        </w:rPr>
        <w:drawing>
          <wp:inline distT="0" distB="0" distL="0" distR="0">
            <wp:extent cx="5760720" cy="3447360"/>
            <wp:effectExtent l="19050" t="0" r="0" b="0"/>
            <wp:docPr id="2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760720" cy="3447360"/>
                    </a:xfrm>
                    <a:prstGeom prst="rect">
                      <a:avLst/>
                    </a:prstGeom>
                    <a:noFill/>
                  </pic:spPr>
                </pic:pic>
              </a:graphicData>
            </a:graphic>
          </wp:inline>
        </w:drawing>
      </w:r>
    </w:p>
    <w:p w:rsidR="0039641B" w:rsidRDefault="0039641B" w:rsidP="0039641B">
      <w:pPr>
        <w:pStyle w:val="Bezodstpw"/>
        <w:jc w:val="both"/>
        <w:rPr>
          <w:noProof/>
        </w:rPr>
      </w:pPr>
    </w:p>
    <w:p w:rsidR="0039641B" w:rsidRDefault="0039641B" w:rsidP="0039641B">
      <w:pPr>
        <w:pStyle w:val="Bezodstpw"/>
        <w:jc w:val="both"/>
        <w:rPr>
          <w:noProof/>
        </w:rPr>
      </w:pPr>
      <w:r>
        <w:rPr>
          <w:noProof/>
        </w:rPr>
        <w:t xml:space="preserve">Ten napływ kapitału zagranicznego na polski rynek finansowy może mieć swoje źródło między innymi we wzroście zainteresowania inwestowaniem na rynkach wschodzących. </w:t>
      </w:r>
      <w:r w:rsidRPr="001A3FB0">
        <w:rPr>
          <w:b/>
          <w:noProof/>
        </w:rPr>
        <w:t>Mark Mobius</w:t>
      </w:r>
      <w:r w:rsidRPr="00CF61C6">
        <w:rPr>
          <w:noProof/>
        </w:rPr>
        <w:t xml:space="preserve">, szef Templeton Emerging Markets Group </w:t>
      </w:r>
      <w:r>
        <w:rPr>
          <w:noProof/>
        </w:rPr>
        <w:t>powiedział niedawno: ,,</w:t>
      </w:r>
      <w:r w:rsidRPr="001A3FB0">
        <w:rPr>
          <w:b/>
          <w:noProof/>
          <w:color w:val="FF0000"/>
        </w:rPr>
        <w:t>nadszedł czas, aby inwestorzy zaczęli przenosić się z drogiego amerykańskiego rynku akcji na rynki akcji gospodarek wschodzących</w:t>
      </w:r>
      <w:r>
        <w:rPr>
          <w:noProof/>
        </w:rPr>
        <w:t xml:space="preserve">” </w:t>
      </w:r>
    </w:p>
    <w:p w:rsidR="0039641B" w:rsidRDefault="0039641B" w:rsidP="0039641B">
      <w:pPr>
        <w:pStyle w:val="Bezodstpw"/>
        <w:jc w:val="both"/>
        <w:rPr>
          <w:noProof/>
        </w:rPr>
      </w:pPr>
    </w:p>
    <w:p w:rsidR="0039641B" w:rsidRDefault="006334F9" w:rsidP="0039641B">
      <w:pPr>
        <w:pStyle w:val="Bezodstpw"/>
        <w:jc w:val="both"/>
        <w:rPr>
          <w:noProof/>
        </w:rPr>
      </w:pPr>
      <w:hyperlink r:id="rId34" w:history="1">
        <w:r w:rsidR="0039641B" w:rsidRPr="001E06DB">
          <w:rPr>
            <w:rStyle w:val="Hipercze"/>
            <w:noProof/>
          </w:rPr>
          <w:t>http://www.pb.pl/4051110,60911,mobius-czas-na-akcje-z-rynkow-wschodzacych</w:t>
        </w:r>
      </w:hyperlink>
    </w:p>
    <w:p w:rsidR="0039641B" w:rsidRDefault="0039641B" w:rsidP="0039641B">
      <w:pPr>
        <w:pStyle w:val="Bezodstpw"/>
        <w:jc w:val="both"/>
        <w:rPr>
          <w:noProof/>
        </w:rPr>
      </w:pPr>
    </w:p>
    <w:p w:rsidR="0039641B" w:rsidRDefault="0039641B" w:rsidP="0039641B">
      <w:pPr>
        <w:pStyle w:val="Bezodstpw"/>
        <w:jc w:val="both"/>
        <w:rPr>
          <w:noProof/>
        </w:rPr>
      </w:pPr>
      <w:r>
        <w:rPr>
          <w:noProof/>
        </w:rPr>
        <w:t xml:space="preserve">Warto zauważyć, że na wykresie siły względnej </w:t>
      </w:r>
      <w:r w:rsidRPr="00D07265">
        <w:rPr>
          <w:b/>
          <w:noProof/>
          <w:u w:val="single"/>
        </w:rPr>
        <w:t>WIG20/S&amp;P 500</w:t>
      </w:r>
      <w:r>
        <w:rPr>
          <w:noProof/>
        </w:rPr>
        <w:t xml:space="preserve"> doszło do </w:t>
      </w:r>
      <w:r w:rsidRPr="00B62E51">
        <w:rPr>
          <w:b/>
          <w:noProof/>
        </w:rPr>
        <w:t>wybiicia z formacji podwójengo dna</w:t>
      </w:r>
      <w:r>
        <w:rPr>
          <w:noProof/>
        </w:rPr>
        <w:t xml:space="preserve">, co stwarza szansę na to, że faktycznie nadchodzi okres, gdy WIG 20 może się zachowywać lepiej od indeksu S&amp;P 500. Możliwe więc, że Mark Mobius będzie miał rację. </w:t>
      </w:r>
    </w:p>
    <w:p w:rsidR="0039641B" w:rsidRDefault="0039641B" w:rsidP="0039641B">
      <w:pPr>
        <w:pStyle w:val="Bezodstpw"/>
        <w:jc w:val="both"/>
        <w:rPr>
          <w:noProof/>
        </w:rPr>
      </w:pPr>
      <w:r>
        <w:rPr>
          <w:noProof/>
        </w:rPr>
        <w:drawing>
          <wp:inline distT="0" distB="0" distL="0" distR="0">
            <wp:extent cx="3028950" cy="1819275"/>
            <wp:effectExtent l="19050" t="0" r="0" b="0"/>
            <wp:docPr id="2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a:stretch>
                      <a:fillRect/>
                    </a:stretch>
                  </pic:blipFill>
                  <pic:spPr bwMode="auto">
                    <a:xfrm>
                      <a:off x="0" y="0"/>
                      <a:ext cx="3028950" cy="1819275"/>
                    </a:xfrm>
                    <a:prstGeom prst="rect">
                      <a:avLst/>
                    </a:prstGeom>
                    <a:noFill/>
                  </pic:spPr>
                </pic:pic>
              </a:graphicData>
            </a:graphic>
          </wp:inline>
        </w:drawing>
      </w:r>
    </w:p>
    <w:p w:rsidR="00210881" w:rsidRDefault="00210881" w:rsidP="0039641B">
      <w:pPr>
        <w:pStyle w:val="Bezodstpw"/>
        <w:jc w:val="both"/>
        <w:rPr>
          <w:b/>
        </w:rPr>
      </w:pPr>
    </w:p>
    <w:p w:rsidR="0039641B" w:rsidRPr="00295250" w:rsidRDefault="0039641B" w:rsidP="0039641B">
      <w:pPr>
        <w:pStyle w:val="Bezodstpw"/>
        <w:jc w:val="both"/>
        <w:rPr>
          <w:b/>
        </w:rPr>
      </w:pPr>
      <w:r w:rsidRPr="00295250">
        <w:rPr>
          <w:b/>
        </w:rPr>
        <w:lastRenderedPageBreak/>
        <w:t>Wnioski końcowe</w:t>
      </w:r>
    </w:p>
    <w:p w:rsidR="0039641B" w:rsidRDefault="0039641B" w:rsidP="0039641B">
      <w:pPr>
        <w:pStyle w:val="Bezodstpw"/>
        <w:jc w:val="both"/>
      </w:pPr>
    </w:p>
    <w:p w:rsidR="00D97B8A" w:rsidRDefault="0039641B" w:rsidP="00D97B8A">
      <w:pPr>
        <w:pStyle w:val="Bezodstpw"/>
        <w:numPr>
          <w:ilvl w:val="0"/>
          <w:numId w:val="2"/>
        </w:numPr>
        <w:jc w:val="both"/>
      </w:pPr>
      <w:r w:rsidRPr="00E0596A">
        <w:rPr>
          <w:b/>
        </w:rPr>
        <w:t>Kurs dolara amerykańskiego (w złotych)</w:t>
      </w:r>
      <w:r>
        <w:t xml:space="preserve"> spadł poniżej bardzo ważnego oporu na poziomie 3,9130 zł. z lutego 2009 roku. W tej sytuacji można oczekiwać rozpoczęcia się fali spadków w kierunku linii trendu wzrostowego poprowadzonej przez dołki z lipca 2008 roku oraz czerwca 2014 roku, która aktualnie przebiega na poziomie </w:t>
      </w:r>
      <w:r w:rsidRPr="00E0596A">
        <w:rPr>
          <w:b/>
          <w:color w:val="FF0000"/>
        </w:rPr>
        <w:t>3,10</w:t>
      </w:r>
      <w:r>
        <w:t xml:space="preserve">. </w:t>
      </w:r>
      <w:r w:rsidR="002C177B">
        <w:t xml:space="preserve">Osłabienie kursu dolara amerykańskiego (w złotych) może być związane z </w:t>
      </w:r>
      <w:r w:rsidR="002C177B" w:rsidRPr="002C177B">
        <w:rPr>
          <w:b/>
        </w:rPr>
        <w:t>napływem kapitału zagranicznego na polski rynek akcji</w:t>
      </w:r>
      <w:r w:rsidR="002C177B">
        <w:t>, czemu towarzyszyć może także osłabienie kursów innych walut zagranicznych (w tym jena japońskiego złotych)</w:t>
      </w:r>
      <w:r w:rsidR="00D97B8A">
        <w:t xml:space="preserve">. Mark </w:t>
      </w:r>
      <w:proofErr w:type="spellStart"/>
      <w:r w:rsidR="00D97B8A">
        <w:t>Mobius</w:t>
      </w:r>
      <w:proofErr w:type="spellEnd"/>
      <w:r w:rsidR="00D97B8A" w:rsidRPr="00D97B8A">
        <w:t xml:space="preserve">, szef </w:t>
      </w:r>
      <w:proofErr w:type="spellStart"/>
      <w:r w:rsidR="00D97B8A" w:rsidRPr="00D97B8A">
        <w:t>Templeton</w:t>
      </w:r>
      <w:proofErr w:type="spellEnd"/>
      <w:r w:rsidR="00D97B8A" w:rsidRPr="00D97B8A">
        <w:t xml:space="preserve"> </w:t>
      </w:r>
      <w:proofErr w:type="spellStart"/>
      <w:r w:rsidR="00D97B8A" w:rsidRPr="00D97B8A">
        <w:t>Emerging</w:t>
      </w:r>
      <w:proofErr w:type="spellEnd"/>
      <w:r w:rsidR="00D97B8A" w:rsidRPr="00D97B8A">
        <w:t xml:space="preserve"> </w:t>
      </w:r>
      <w:proofErr w:type="spellStart"/>
      <w:r w:rsidR="00D97B8A" w:rsidRPr="00D97B8A">
        <w:t>Markets</w:t>
      </w:r>
      <w:proofErr w:type="spellEnd"/>
      <w:r w:rsidR="00D97B8A" w:rsidRPr="00D97B8A">
        <w:t xml:space="preserve"> Group powiedział niedawno: ,,nadszedł czas, aby inwestorzy zaczęli </w:t>
      </w:r>
      <w:r w:rsidR="00D97B8A" w:rsidRPr="00D97B8A">
        <w:rPr>
          <w:b/>
        </w:rPr>
        <w:t>przenosić się z drogiego amerykańskiego rynku akcji na rynki akcji gospodarek wschodzących</w:t>
      </w:r>
      <w:r w:rsidR="00D97B8A" w:rsidRPr="00D97B8A">
        <w:t>”</w:t>
      </w:r>
    </w:p>
    <w:p w:rsidR="0039641B" w:rsidRDefault="0039641B" w:rsidP="0039641B">
      <w:pPr>
        <w:pStyle w:val="Bezodstpw"/>
        <w:jc w:val="both"/>
      </w:pPr>
    </w:p>
    <w:p w:rsidR="0039641B" w:rsidRDefault="0039641B" w:rsidP="0039641B">
      <w:pPr>
        <w:pStyle w:val="Bezodstpw"/>
        <w:numPr>
          <w:ilvl w:val="0"/>
          <w:numId w:val="2"/>
        </w:numPr>
        <w:jc w:val="both"/>
      </w:pPr>
      <w:r>
        <w:t xml:space="preserve">W przypadku </w:t>
      </w:r>
      <w:r w:rsidRPr="00E0596A">
        <w:rPr>
          <w:b/>
        </w:rPr>
        <w:t>kursu euro (w złotych)</w:t>
      </w:r>
      <w:r>
        <w:t xml:space="preserve"> bardzo ważnym poziomem oporu jest poziom 4,3668 (szczyt z czerwca 2013 roku). Po dojściu do tego oporu rozpoczęła się fala spadków w kierunku ważnego wsparcia, którym był dołek z 6 czerwca 2014 roku przebiegający na poziomie  4,092. Kolejnym wsparciem jest poziom 4,0264. Pokonane zostało od dołu wsparcie na poziomie 4,0264 (dołek z 10 sierpnia 2012 roku). Kolejnym wsparciem jest poziom </w:t>
      </w:r>
      <w:r w:rsidRPr="00E0596A">
        <w:rPr>
          <w:b/>
          <w:color w:val="FF0000"/>
        </w:rPr>
        <w:t>3,8932 zł</w:t>
      </w:r>
      <w:r>
        <w:t xml:space="preserve"> (dołek z maja 2011 roku). </w:t>
      </w:r>
    </w:p>
    <w:p w:rsidR="0039641B" w:rsidRDefault="0039641B" w:rsidP="0039641B">
      <w:pPr>
        <w:pStyle w:val="Bezodstpw"/>
        <w:ind w:left="720"/>
        <w:jc w:val="both"/>
      </w:pPr>
    </w:p>
    <w:p w:rsidR="0039641B" w:rsidRDefault="0039641B" w:rsidP="0039641B">
      <w:pPr>
        <w:pStyle w:val="Bezodstpw"/>
        <w:numPr>
          <w:ilvl w:val="0"/>
          <w:numId w:val="2"/>
        </w:numPr>
        <w:jc w:val="both"/>
      </w:pPr>
      <w:r>
        <w:t xml:space="preserve">Z fundamentalnego punktu widzenia przewidywane w 2015 roku wzrosty indeksów giełdowych opisujących sytuację na polskim rynku akcji mogą być przejawem </w:t>
      </w:r>
      <w:r w:rsidRPr="00D97B8A">
        <w:rPr>
          <w:b/>
          <w:color w:val="FF0000"/>
        </w:rPr>
        <w:t>dyskontowania przez uczestników polskiego rynku akcji ożywienia gospodarczego w Polsce, które</w:t>
      </w:r>
      <w:r>
        <w:t xml:space="preserve"> (zgodnie z np. prognozami analityków NBP, Instytutu Badań nad Gospodarką Rynkową, czy też np. banku inwestycyjnego Morgan Stanley) </w:t>
      </w:r>
      <w:r w:rsidRPr="00D97B8A">
        <w:rPr>
          <w:b/>
          <w:color w:val="FF0000"/>
        </w:rPr>
        <w:t>powinno nastąpić w 2016 roku</w:t>
      </w:r>
      <w:r>
        <w:t xml:space="preserve"> (kiedy to zdaniem, wyżej wymienionych analityków można oczekiwać, wedle wyżej wymienionych prognoz przyspieszenia realnego wzrostu PKB. </w:t>
      </w:r>
    </w:p>
    <w:p w:rsidR="00D97B8A" w:rsidRDefault="00D97B8A" w:rsidP="00D97B8A">
      <w:pPr>
        <w:pStyle w:val="Bezodstpw"/>
        <w:ind w:left="720"/>
        <w:jc w:val="both"/>
      </w:pPr>
    </w:p>
    <w:p w:rsidR="0039641B" w:rsidRDefault="0039641B" w:rsidP="0039641B">
      <w:pPr>
        <w:pStyle w:val="Bezodstpw"/>
        <w:numPr>
          <w:ilvl w:val="0"/>
          <w:numId w:val="2"/>
        </w:numPr>
        <w:jc w:val="both"/>
      </w:pPr>
      <w:r>
        <w:t xml:space="preserve">Na wykresach 3 indeksów branżowych: indeksu </w:t>
      </w:r>
      <w:r w:rsidRPr="00A552BE">
        <w:rPr>
          <w:b/>
          <w:color w:val="FF0000"/>
        </w:rPr>
        <w:t>branży budowlanej, indeksu branży informatycznej oraz indeksu branży medialnej</w:t>
      </w:r>
      <w:r>
        <w:t xml:space="preserve"> pojawił się kilka tygodni temu tak zwany ,,pęk średnich”, którego istotą jest </w:t>
      </w:r>
      <w:r w:rsidRPr="00A552BE">
        <w:rPr>
          <w:b/>
        </w:rPr>
        <w:t>silne zbliżenie do siebie 3 ważnych średnich ruchomych (z 500, 200 oraz 100 sesji)</w:t>
      </w:r>
      <w:r>
        <w:t xml:space="preserve"> oraz samego indeksu, co zapowiada pojawienie się silnego ruchu. Na wykresach wspomnianych 3 indeksów próbują się utworzyć formacje nietypowego podwójnego dna, z których wybicia stanowiłoby silny sygnał kupna </w:t>
      </w:r>
    </w:p>
    <w:p w:rsidR="00D97B8A" w:rsidRDefault="00D97B8A" w:rsidP="00D97B8A">
      <w:pPr>
        <w:pStyle w:val="Bezodstpw"/>
        <w:ind w:left="720"/>
        <w:jc w:val="both"/>
      </w:pPr>
    </w:p>
    <w:p w:rsidR="0039641B" w:rsidRDefault="00D97B8A" w:rsidP="0039641B">
      <w:pPr>
        <w:pStyle w:val="Bezodstpw"/>
        <w:numPr>
          <w:ilvl w:val="0"/>
          <w:numId w:val="2"/>
        </w:numPr>
        <w:jc w:val="both"/>
      </w:pPr>
      <w:r w:rsidRPr="00D97B8A">
        <w:rPr>
          <w:b/>
          <w:u w:val="single"/>
        </w:rPr>
        <w:t>Ciekawostka dla technicznych ,,długodystansowców”</w:t>
      </w:r>
      <w:r w:rsidRPr="00D97B8A">
        <w:rPr>
          <w:u w:val="single"/>
        </w:rPr>
        <w:t>:</w:t>
      </w:r>
      <w:r>
        <w:t xml:space="preserve"> na wykresie indeksu </w:t>
      </w:r>
      <w:proofErr w:type="spellStart"/>
      <w:r>
        <w:t>S&amp;P</w:t>
      </w:r>
      <w:proofErr w:type="spellEnd"/>
      <w:r>
        <w:t xml:space="preserve"> 500 po ,,spaleniu” ogromnej formacji podwójnego szczytu mogą nas jeszcze czekać w perspektywie najprawdopodobniej kilkuletniej wzrosty o … 43,0 % do </w:t>
      </w:r>
      <w:r w:rsidRPr="00D97B8A">
        <w:rPr>
          <w:b/>
          <w:color w:val="FF0000"/>
        </w:rPr>
        <w:t>3 014,50 pkt</w:t>
      </w:r>
      <w:r w:rsidRPr="00D97B8A">
        <w:rPr>
          <w:b/>
          <w:color w:val="000000" w:themeColor="text1"/>
        </w:rPr>
        <w:t xml:space="preserve">. </w:t>
      </w:r>
    </w:p>
    <w:p w:rsidR="00D97B8A" w:rsidRDefault="00D97B8A" w:rsidP="0039641B">
      <w:pPr>
        <w:pStyle w:val="Bezodstpw"/>
        <w:ind w:left="720"/>
        <w:jc w:val="both"/>
      </w:pPr>
    </w:p>
    <w:p w:rsidR="0039641B" w:rsidRDefault="0039641B" w:rsidP="0039641B">
      <w:pPr>
        <w:pStyle w:val="Bezodstpw"/>
        <w:jc w:val="both"/>
      </w:pPr>
      <w:r>
        <w:t xml:space="preserve">Opracował: </w:t>
      </w:r>
      <w:r w:rsidRPr="00AA453E">
        <w:t>Sławomir Kłusek</w:t>
      </w:r>
      <w:r>
        <w:t>, 4 maja 2015 r.</w:t>
      </w:r>
    </w:p>
    <w:p w:rsidR="0039641B" w:rsidRDefault="0039641B" w:rsidP="0039641B">
      <w:pPr>
        <w:pStyle w:val="Bezodstpw"/>
        <w:ind w:left="720"/>
        <w:jc w:val="both"/>
      </w:pPr>
    </w:p>
    <w:p w:rsidR="0039641B" w:rsidRDefault="0039641B" w:rsidP="0039641B">
      <w:pPr>
        <w:pStyle w:val="Bezodstpw"/>
        <w:jc w:val="both"/>
      </w:pPr>
      <w:r>
        <w:t xml:space="preserve">Powyższy raport stanowi wyłącznie wyraz osobistych opinii autora. </w:t>
      </w:r>
    </w:p>
    <w:p w:rsidR="0039641B" w:rsidRDefault="0039641B" w:rsidP="0039641B">
      <w:pPr>
        <w:pStyle w:val="Bezodstpw"/>
        <w:jc w:val="both"/>
      </w:pPr>
    </w:p>
    <w:p w:rsidR="0039641B" w:rsidRDefault="0039641B" w:rsidP="0039641B">
      <w:pPr>
        <w:pStyle w:val="Bezodstpw"/>
        <w:jc w:val="both"/>
      </w:pPr>
      <w:r>
        <w:t xml:space="preserve">Treści zawarte na stronie internetowej </w:t>
      </w:r>
      <w:hyperlink r:id="rId36"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39641B" w:rsidRDefault="0039641B" w:rsidP="0039641B">
      <w:pPr>
        <w:pStyle w:val="Bezodstpw"/>
        <w:jc w:val="both"/>
      </w:pPr>
    </w:p>
    <w:p w:rsidR="0039641B" w:rsidRDefault="0039641B" w:rsidP="0039641B">
      <w:pPr>
        <w:pStyle w:val="Bezodstpw"/>
        <w:jc w:val="both"/>
        <w:rPr>
          <w:color w:val="000000" w:themeColor="text1"/>
        </w:rPr>
      </w:pPr>
      <w:r>
        <w:t xml:space="preserve">Autor nie ponosi odpowiedzialności za jakiekolwiek decyzje inwestycyjne podjęte na podstawie treści zawartych na stronie internetowej </w:t>
      </w:r>
      <w:hyperlink r:id="rId37" w:history="1">
        <w:r w:rsidRPr="00093965">
          <w:rPr>
            <w:rStyle w:val="Hipercze"/>
          </w:rPr>
          <w:t>www.analizy-rynkowe.pl</w:t>
        </w:r>
      </w:hyperlink>
    </w:p>
    <w:p w:rsidR="0039641B" w:rsidRDefault="0039641B" w:rsidP="0039641B">
      <w:pPr>
        <w:pStyle w:val="Bezodstpw"/>
        <w:jc w:val="both"/>
      </w:pPr>
    </w:p>
    <w:sectPr w:rsidR="0039641B" w:rsidSect="00FF5F52">
      <w:footerReference w:type="default" r:id="rId3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52" w:rsidRDefault="00822652" w:rsidP="00B6486D">
      <w:pPr>
        <w:spacing w:after="0" w:line="240" w:lineRule="auto"/>
      </w:pPr>
      <w:r>
        <w:separator/>
      </w:r>
    </w:p>
  </w:endnote>
  <w:endnote w:type="continuationSeparator" w:id="0">
    <w:p w:rsidR="00822652" w:rsidRDefault="00822652" w:rsidP="00B64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FF5F52" w:rsidRDefault="006334F9">
        <w:pPr>
          <w:pStyle w:val="Stopka"/>
          <w:jc w:val="center"/>
        </w:pPr>
        <w:r>
          <w:fldChar w:fldCharType="begin"/>
        </w:r>
        <w:r w:rsidR="00D97B8A">
          <w:instrText>PAGE   \* MERGEFORMAT</w:instrText>
        </w:r>
        <w:r>
          <w:fldChar w:fldCharType="separate"/>
        </w:r>
        <w:r w:rsidR="006D27DC">
          <w:rPr>
            <w:noProof/>
          </w:rPr>
          <w:t>15</w:t>
        </w:r>
        <w:r>
          <w:fldChar w:fldCharType="end"/>
        </w:r>
      </w:p>
    </w:sdtContent>
  </w:sdt>
  <w:p w:rsidR="00FF5F52" w:rsidRDefault="008226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52" w:rsidRDefault="00822652" w:rsidP="00B6486D">
      <w:pPr>
        <w:spacing w:after="0" w:line="240" w:lineRule="auto"/>
      </w:pPr>
      <w:r>
        <w:separator/>
      </w:r>
    </w:p>
  </w:footnote>
  <w:footnote w:type="continuationSeparator" w:id="0">
    <w:p w:rsidR="00822652" w:rsidRDefault="00822652" w:rsidP="00B64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5292"/>
    <w:multiLevelType w:val="hybridMultilevel"/>
    <w:tmpl w:val="9334D426"/>
    <w:lvl w:ilvl="0" w:tplc="6028362C">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9641B"/>
    <w:rsid w:val="001B60A0"/>
    <w:rsid w:val="00210881"/>
    <w:rsid w:val="002C177B"/>
    <w:rsid w:val="0039641B"/>
    <w:rsid w:val="006334F9"/>
    <w:rsid w:val="006D27DC"/>
    <w:rsid w:val="00822652"/>
    <w:rsid w:val="00B6486D"/>
    <w:rsid w:val="00BB6C62"/>
    <w:rsid w:val="00D97B8A"/>
    <w:rsid w:val="00E90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41B"/>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641B"/>
    <w:pPr>
      <w:spacing w:after="0" w:line="240" w:lineRule="auto"/>
    </w:pPr>
    <w:rPr>
      <w:rFonts w:eastAsiaTheme="minorEastAsia"/>
      <w:lang w:eastAsia="pl-PL"/>
    </w:rPr>
  </w:style>
  <w:style w:type="paragraph" w:styleId="Stopka">
    <w:name w:val="footer"/>
    <w:basedOn w:val="Normalny"/>
    <w:link w:val="StopkaZnak"/>
    <w:uiPriority w:val="99"/>
    <w:unhideWhenUsed/>
    <w:rsid w:val="003964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41B"/>
    <w:rPr>
      <w:rFonts w:eastAsiaTheme="minorEastAsia"/>
      <w:lang w:eastAsia="pl-PL"/>
    </w:rPr>
  </w:style>
  <w:style w:type="character" w:styleId="Hipercze">
    <w:name w:val="Hyperlink"/>
    <w:basedOn w:val="Domylnaczcionkaakapitu"/>
    <w:uiPriority w:val="99"/>
    <w:unhideWhenUsed/>
    <w:rsid w:val="0039641B"/>
    <w:rPr>
      <w:color w:val="0000FF" w:themeColor="hyperlink"/>
      <w:u w:val="single"/>
    </w:rPr>
  </w:style>
  <w:style w:type="table" w:styleId="Tabela-Siatka">
    <w:name w:val="Table Grid"/>
    <w:basedOn w:val="Standardowy"/>
    <w:uiPriority w:val="59"/>
    <w:rsid w:val="00396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964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641B"/>
    <w:rPr>
      <w:rFonts w:ascii="Tahoma" w:eastAsiaTheme="minorEastAsia" w:hAnsi="Tahoma" w:cs="Tahoma"/>
      <w:sz w:val="16"/>
      <w:szCs w:val="16"/>
      <w:lang w:eastAsia="pl-PL"/>
    </w:rPr>
  </w:style>
  <w:style w:type="paragraph" w:styleId="Akapitzlist">
    <w:name w:val="List Paragraph"/>
    <w:basedOn w:val="Normalny"/>
    <w:uiPriority w:val="34"/>
    <w:qFormat/>
    <w:rsid w:val="00396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hyperlink" Target="http://www.analizy-rynkowe.p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nalizy-rynkowe.pl" TargetMode="External"/><Relationship Id="rId34" Type="http://schemas.openxmlformats.org/officeDocument/2006/relationships/hyperlink" Target="http://www.pb.pl/4051110,60911,mobius-czas-na-akcje-z-rynkow-wschodzacych" TargetMode="Externa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8.gif"/><Relationship Id="rId25" Type="http://schemas.openxmlformats.org/officeDocument/2006/relationships/hyperlink" Target="http://www.analizy-rynkowe.pl" TargetMode="External"/><Relationship Id="rId33" Type="http://schemas.openxmlformats.org/officeDocument/2006/relationships/image" Target="media/image13.gi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hyperlink" Target="http://www.analizy-rynkowe.pl" TargetMode="External"/><Relationship Id="rId32" Type="http://schemas.openxmlformats.org/officeDocument/2006/relationships/image" Target="media/image12.gif"/><Relationship Id="rId37" Type="http://schemas.openxmlformats.org/officeDocument/2006/relationships/hyperlink" Target="http://www.analizy-rynkowe.p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www.analizy-rynkowe.pl" TargetMode="External"/><Relationship Id="rId10" Type="http://schemas.openxmlformats.org/officeDocument/2006/relationships/hyperlink" Target="http://stooq.com/" TargetMode="External"/><Relationship Id="rId19" Type="http://schemas.openxmlformats.org/officeDocument/2006/relationships/image" Target="media/image10.gif"/><Relationship Id="rId31"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hyperlink" Target="http://analizy-rynkowe.pl/" TargetMode="External"/><Relationship Id="rId14" Type="http://schemas.openxmlformats.org/officeDocument/2006/relationships/hyperlink" Target="http://analizy-rynkowe.pl/" TargetMode="External"/><Relationship Id="rId22" Type="http://schemas.openxmlformats.org/officeDocument/2006/relationships/hyperlink" Target="http://www.analizy-rynkowe.pl" TargetMode="External"/><Relationship Id="rId27" Type="http://schemas.openxmlformats.org/officeDocument/2006/relationships/hyperlink" Target="http://www.analizy-rynkowe.pl" TargetMode="External"/><Relationship Id="rId30" Type="http://schemas.openxmlformats.org/officeDocument/2006/relationships/chart" Target="charts/chart1.xml"/><Relationship Id="rId35" Type="http://schemas.openxmlformats.org/officeDocument/2006/relationships/image" Target="media/image14.gif"/></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20and%20Settings\wydi\Moje%20dokumenty\EFEKT-MALYCH-SPOLE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37"/>
  <c:chart>
    <c:title>
      <c:tx>
        <c:rich>
          <a:bodyPr/>
          <a:lstStyle/>
          <a:p>
            <a:pPr>
              <a:defRPr/>
            </a:pPr>
            <a:r>
              <a:rPr lang="pl-PL"/>
              <a:t>Porównanie</a:t>
            </a:r>
            <a:endParaRPr lang="en-US"/>
          </a:p>
        </c:rich>
      </c:tx>
    </c:title>
    <c:plotArea>
      <c:layout/>
      <c:barChart>
        <c:barDir val="col"/>
        <c:grouping val="clustered"/>
        <c:ser>
          <c:idx val="0"/>
          <c:order val="0"/>
          <c:tx>
            <c:strRef>
              <c:f>Arkusz1!$A$1</c:f>
              <c:strCache>
                <c:ptCount val="1"/>
                <c:pt idx="0">
                  <c:v>Wykres do przemyślenia</c:v>
                </c:pt>
              </c:strCache>
            </c:strRef>
          </c:tx>
          <c:val>
            <c:numRef>
              <c:f>Arkusz1!$B$1</c:f>
              <c:numCache>
                <c:formatCode>0.0</c:formatCode>
                <c:ptCount val="1"/>
                <c:pt idx="0">
                  <c:v>17.7</c:v>
                </c:pt>
              </c:numCache>
            </c:numRef>
          </c:val>
        </c:ser>
        <c:ser>
          <c:idx val="1"/>
          <c:order val="1"/>
          <c:tx>
            <c:strRef>
              <c:f>Arkusz1!$A$2</c:f>
              <c:strCache>
                <c:ptCount val="1"/>
                <c:pt idx="0">
                  <c:v>WIG20</c:v>
                </c:pt>
              </c:strCache>
            </c:strRef>
          </c:tx>
          <c:val>
            <c:numRef>
              <c:f>Arkusz1!$B$2</c:f>
              <c:numCache>
                <c:formatCode>0.0</c:formatCode>
                <c:ptCount val="1"/>
                <c:pt idx="0">
                  <c:v>-3.3</c:v>
                </c:pt>
              </c:numCache>
            </c:numRef>
          </c:val>
        </c:ser>
        <c:dLbls>
          <c:showVal val="1"/>
        </c:dLbls>
        <c:overlap val="-25"/>
        <c:axId val="59580416"/>
        <c:axId val="59581952"/>
      </c:barChart>
      <c:catAx>
        <c:axId val="59580416"/>
        <c:scaling>
          <c:orientation val="minMax"/>
        </c:scaling>
        <c:delete val="1"/>
        <c:axPos val="b"/>
        <c:numFmt formatCode="General" sourceLinked="1"/>
        <c:majorTickMark val="none"/>
        <c:tickLblPos val="none"/>
        <c:crossAx val="59581952"/>
        <c:crosses val="autoZero"/>
        <c:auto val="1"/>
        <c:lblAlgn val="ctr"/>
        <c:lblOffset val="100"/>
      </c:catAx>
      <c:valAx>
        <c:axId val="59581952"/>
        <c:scaling>
          <c:orientation val="minMax"/>
        </c:scaling>
        <c:delete val="1"/>
        <c:axPos val="l"/>
        <c:numFmt formatCode="0.0" sourceLinked="1"/>
        <c:majorTickMark val="none"/>
        <c:tickLblPos val="none"/>
        <c:crossAx val="59580416"/>
        <c:crosses val="autoZero"/>
        <c:crossBetween val="between"/>
      </c:valAx>
    </c:plotArea>
    <c:legend>
      <c:legendPos val="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3702</Words>
  <Characters>22218</Characters>
  <Application>Microsoft Office Word</Application>
  <DocSecurity>0</DocSecurity>
  <Lines>185</Lines>
  <Paragraphs>51</Paragraphs>
  <ScaleCrop>false</ScaleCrop>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6</cp:revision>
  <dcterms:created xsi:type="dcterms:W3CDTF">2015-05-02T15:25:00Z</dcterms:created>
  <dcterms:modified xsi:type="dcterms:W3CDTF">2015-05-02T19:02:00Z</dcterms:modified>
</cp:coreProperties>
</file>