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07" w:rsidRPr="00C16D3A" w:rsidRDefault="00576F07" w:rsidP="00576F07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Raport</w:t>
      </w:r>
    </w:p>
    <w:p w:rsidR="00576F07" w:rsidRDefault="00576F07" w:rsidP="00576F07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576F07" w:rsidRPr="00BB2EC3" w:rsidRDefault="00576F07" w:rsidP="00576F07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576F07" w:rsidRPr="00BB2EC3" w:rsidRDefault="00576F07" w:rsidP="00576F07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576F07" w:rsidRPr="00400806" w:rsidRDefault="00576F07" w:rsidP="00576F07">
      <w:pPr>
        <w:pStyle w:val="Bezodstpw"/>
        <w:jc w:val="center"/>
        <w:rPr>
          <w:sz w:val="48"/>
          <w:szCs w:val="48"/>
        </w:rPr>
      </w:pPr>
    </w:p>
    <w:p w:rsidR="00576F07" w:rsidRDefault="00576F07" w:rsidP="00576F07">
      <w:pPr>
        <w:pStyle w:val="Bezodstpw"/>
        <w:jc w:val="center"/>
        <w:rPr>
          <w:sz w:val="48"/>
          <w:szCs w:val="48"/>
        </w:rPr>
      </w:pPr>
    </w:p>
    <w:p w:rsidR="00576F07" w:rsidRPr="009A4255" w:rsidRDefault="00576F07" w:rsidP="00576F07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576F07" w:rsidRPr="009A4255" w:rsidRDefault="00576F07" w:rsidP="00576F07">
      <w:pPr>
        <w:pStyle w:val="Bezodstpw"/>
        <w:jc w:val="center"/>
        <w:rPr>
          <w:shadow/>
          <w:sz w:val="100"/>
          <w:szCs w:val="100"/>
        </w:rPr>
      </w:pPr>
    </w:p>
    <w:p w:rsidR="00576F07" w:rsidRPr="009A4255" w:rsidRDefault="00576F07" w:rsidP="00576F07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1 czerwca </w:t>
      </w:r>
      <w:r w:rsidRPr="00D72F94">
        <w:rPr>
          <w:shadow/>
          <w:sz w:val="24"/>
          <w:szCs w:val="24"/>
        </w:rPr>
        <w:t>201</w:t>
      </w:r>
      <w:r>
        <w:rPr>
          <w:shadow/>
          <w:sz w:val="24"/>
          <w:szCs w:val="24"/>
        </w:rPr>
        <w:t>5</w:t>
      </w:r>
      <w:r w:rsidRPr="00D72F94">
        <w:rPr>
          <w:shadow/>
          <w:sz w:val="24"/>
          <w:szCs w:val="24"/>
        </w:rPr>
        <w:t xml:space="preserve"> roku</w:t>
      </w:r>
    </w:p>
    <w:p w:rsidR="00576F07" w:rsidRPr="00D72F94" w:rsidRDefault="00576F07" w:rsidP="00576F07">
      <w:pPr>
        <w:pStyle w:val="Bezodstpw"/>
        <w:jc w:val="both"/>
        <w:rPr>
          <w:shadow/>
          <w:sz w:val="24"/>
          <w:szCs w:val="24"/>
        </w:rPr>
      </w:pPr>
    </w:p>
    <w:p w:rsidR="00576F07" w:rsidRDefault="00576F07" w:rsidP="00576F0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29 maja 2015 roku = 3,7438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Kurs spadł </w:t>
      </w:r>
      <w:r w:rsidRPr="006D27DC">
        <w:rPr>
          <w:b/>
          <w:color w:val="FF0000"/>
        </w:rPr>
        <w:t>poniżej bardzo ważnego oporu</w:t>
      </w:r>
      <w:r>
        <w:t xml:space="preserve"> na poziomie 3,9130 zł. z lutego 2009 roku. </w:t>
      </w:r>
      <w:r w:rsidRPr="004505AC">
        <w:rPr>
          <w:u w:val="single"/>
        </w:rPr>
        <w:t xml:space="preserve">W tej sytuacji </w:t>
      </w:r>
      <w:r>
        <w:t>m</w:t>
      </w:r>
      <w:r w:rsidRPr="006E1995">
        <w:t>ożna</w:t>
      </w:r>
      <w:r w:rsidRPr="006E1995">
        <w:rPr>
          <w:u w:val="single"/>
        </w:rPr>
        <w:t xml:space="preserve"> </w:t>
      </w:r>
      <w:r w:rsidRPr="00220F89">
        <w:rPr>
          <w:b/>
          <w:u w:val="single"/>
        </w:rPr>
        <w:t>oczekiwać rozpoczęcia</w:t>
      </w:r>
      <w:r>
        <w:rPr>
          <w:b/>
          <w:u w:val="single"/>
        </w:rPr>
        <w:t xml:space="preserve"> się fali</w:t>
      </w:r>
      <w:r w:rsidRPr="00F1241D">
        <w:rPr>
          <w:b/>
          <w:u w:val="single"/>
        </w:rPr>
        <w:t xml:space="preserve"> spadków</w:t>
      </w:r>
      <w:r>
        <w:t xml:space="preserve">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29 maja 2015 roku = 4,1106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  <w:rPr>
          <w:color w:val="000000" w:themeColor="text1"/>
        </w:rPr>
      </w:pPr>
      <w:r>
        <w:t xml:space="preserve">Aktywność strony podażowej doprowadziła do przebicia od góry spadkowej linii trendu poprowadzonej przez szczyty z lutego 2009 roku oraz grudnia 2011 roku. Bardzo ważnym poziomem oporu był poziom </w:t>
      </w:r>
      <w:r w:rsidRPr="00411E48">
        <w:rPr>
          <w:b/>
          <w:color w:val="000000" w:themeColor="text1"/>
        </w:rPr>
        <w:t>4,3668</w:t>
      </w:r>
      <w:r>
        <w:t xml:space="preserve"> (szczyt z czerwca 2013 roku). Po dojściu do tego oporu </w:t>
      </w:r>
      <w:r w:rsidRPr="00220F89">
        <w:rPr>
          <w:b/>
          <w:u w:val="single"/>
        </w:rPr>
        <w:t>rozpoczęła się</w:t>
      </w:r>
      <w:r>
        <w:t xml:space="preserve"> </w:t>
      </w:r>
      <w:r>
        <w:rPr>
          <w:b/>
          <w:u w:val="single"/>
        </w:rPr>
        <w:t>fala</w:t>
      </w:r>
      <w:r w:rsidRPr="00F1241D">
        <w:rPr>
          <w:b/>
          <w:u w:val="single"/>
        </w:rPr>
        <w:t xml:space="preserve"> spadków</w:t>
      </w:r>
      <w:r>
        <w:t xml:space="preserve">. Najbliższym ważnym </w:t>
      </w:r>
      <w:r>
        <w:rPr>
          <w:color w:val="000000" w:themeColor="text1"/>
        </w:rPr>
        <w:t xml:space="preserve">wsparciem jest poziom </w:t>
      </w:r>
      <w:r w:rsidRPr="009D3063"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</w:t>
      </w:r>
    </w:p>
    <w:p w:rsidR="004C1B91" w:rsidRDefault="004C1B91" w:rsidP="00576F07">
      <w:pPr>
        <w:pStyle w:val="Bezodstpw"/>
        <w:jc w:val="both"/>
        <w:rPr>
          <w:color w:val="000000" w:themeColor="text1"/>
        </w:rPr>
      </w:pPr>
    </w:p>
    <w:p w:rsidR="00576F07" w:rsidRDefault="00576F07" w:rsidP="00576F0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Ryzyko spadku cen kontraktów na miedź może budzi obawę posiadaczy akcji dużych spółek</w:t>
      </w:r>
    </w:p>
    <w:p w:rsidR="00576F07" w:rsidRDefault="00576F07" w:rsidP="00576F07">
      <w:pPr>
        <w:pStyle w:val="Bezodstpw"/>
        <w:jc w:val="center"/>
      </w:pPr>
    </w:p>
    <w:p w:rsidR="00576F07" w:rsidRDefault="00576F07" w:rsidP="00576F07">
      <w:pPr>
        <w:pStyle w:val="Bezodstpw"/>
        <w:jc w:val="both"/>
      </w:pPr>
      <w:r>
        <w:t>Polska należy do gr</w:t>
      </w:r>
      <w:r w:rsidR="006F0F0C">
        <w:t>u</w:t>
      </w:r>
      <w:r>
        <w:t xml:space="preserve">py tak zwanych krajów wschodzących charakteryzujących się na przykład stosunkowo niskim poziomem Produktu Krajowego Brutto na 1 mieszkańca. 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Doświadczenie pokazuje, że sytuacja na </w:t>
      </w:r>
      <w:r w:rsidRPr="004C1B91">
        <w:rPr>
          <w:b/>
        </w:rPr>
        <w:t>wschodzących rynkach akcji</w:t>
      </w:r>
      <w:r>
        <w:t xml:space="preserve"> jest pozytywnie skorelowana z zachowaniem </w:t>
      </w:r>
      <w:r w:rsidRPr="004C1B91">
        <w:rPr>
          <w:b/>
        </w:rPr>
        <w:t>cen surowców</w:t>
      </w:r>
      <w:r>
        <w:t xml:space="preserve">, na przykład z zachowaniem cen miedzi. 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W toku dalszych rozważań przez ,,ceny miedzi” rozumieć się będzie ceny kontraktów terminowych na miedź. 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W poniższej tabeli przedstawiłem procentowe zmiany cen miedzi oraz procentowe zmiany indeksu WIG20 w poszczególnych latach okresu 1995-2014. </w:t>
      </w:r>
    </w:p>
    <w:p w:rsidR="00576F07" w:rsidRDefault="00576F07" w:rsidP="00576F0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Rok</w:t>
            </w:r>
          </w:p>
        </w:tc>
        <w:tc>
          <w:tcPr>
            <w:tcW w:w="3071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ceny miedzi</w:t>
            </w:r>
          </w:p>
        </w:tc>
        <w:tc>
          <w:tcPr>
            <w:tcW w:w="3071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indeksu WIG20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1995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 w:rsidRPr="004C67B0">
              <w:t>-13,0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 </w:t>
            </w:r>
            <w:r w:rsidRPr="004C67B0">
              <w:t>8,2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1996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 w:rsidRPr="004C67B0">
              <w:t>-16,8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82,1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1997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 w:rsidRPr="004C67B0">
              <w:t>-22,1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  </w:t>
            </w:r>
            <w:r w:rsidRPr="004C67B0">
              <w:t>3,1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1998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 w:rsidRPr="004C67B0">
              <w:t>-14,0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 w:rsidRPr="004C67B0">
              <w:t>-16,5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1999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28,4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44,1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2000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</w:t>
            </w:r>
            <w:r w:rsidRPr="004C67B0">
              <w:t>-2,3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 </w:t>
            </w:r>
            <w:r w:rsidRPr="004C67B0">
              <w:t>1,5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2001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 w:rsidRPr="004C67B0">
              <w:t>-21,8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 w:rsidRPr="004C67B0">
              <w:t>-33,5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2002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  </w:t>
            </w:r>
            <w:r w:rsidRPr="004C67B0">
              <w:t>6,6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-2,7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2003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48,8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33,9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2004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42,2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24,6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2005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37,3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35,4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2006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39,5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23,7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2007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  </w:t>
            </w:r>
            <w:r w:rsidRPr="004C67B0">
              <w:t>6,5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 </w:t>
            </w:r>
            <w:r w:rsidRPr="004C67B0">
              <w:t>5,2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2008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 w:rsidRPr="004C67B0">
              <w:t>-53,9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 w:rsidRPr="004C67B0">
              <w:t>-48,2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2009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 w:rsidRPr="004C67B0">
              <w:t>138,5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33,5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2010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32,8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14,9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2011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 w:rsidRPr="004C67B0">
              <w:t>-22,6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 w:rsidRPr="004C67B0">
              <w:t>-21,9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2012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  </w:t>
            </w:r>
            <w:r w:rsidRPr="004C67B0">
              <w:t>6,3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20,4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2013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-7,0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>
              <w:t xml:space="preserve">  </w:t>
            </w:r>
            <w:r w:rsidRPr="004C67B0">
              <w:t>-7,0</w:t>
            </w:r>
          </w:p>
        </w:tc>
      </w:tr>
      <w:tr w:rsidR="00576F07" w:rsidTr="001C0C0D">
        <w:tc>
          <w:tcPr>
            <w:tcW w:w="3070" w:type="dxa"/>
          </w:tcPr>
          <w:p w:rsidR="00576F07" w:rsidRDefault="00576F07" w:rsidP="001C0C0D">
            <w:pPr>
              <w:pStyle w:val="Bezodstpw"/>
              <w:jc w:val="center"/>
            </w:pPr>
            <w:r>
              <w:t>2014</w:t>
            </w:r>
          </w:p>
        </w:tc>
        <w:tc>
          <w:tcPr>
            <w:tcW w:w="3071" w:type="dxa"/>
          </w:tcPr>
          <w:p w:rsidR="00576F07" w:rsidRPr="004C67B0" w:rsidRDefault="00576F07" w:rsidP="001C0C0D">
            <w:pPr>
              <w:jc w:val="center"/>
            </w:pPr>
            <w:r w:rsidRPr="004C67B0">
              <w:t>-16,7</w:t>
            </w:r>
          </w:p>
        </w:tc>
        <w:tc>
          <w:tcPr>
            <w:tcW w:w="3071" w:type="dxa"/>
          </w:tcPr>
          <w:p w:rsidR="00576F07" w:rsidRDefault="00576F07" w:rsidP="001C0C0D">
            <w:pPr>
              <w:jc w:val="center"/>
            </w:pPr>
            <w:r>
              <w:t xml:space="preserve">  </w:t>
            </w:r>
            <w:r w:rsidRPr="004C67B0">
              <w:t>-3,5</w:t>
            </w:r>
          </w:p>
        </w:tc>
      </w:tr>
    </w:tbl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Z powyższej tabeli wynika, że </w:t>
      </w:r>
      <w:r w:rsidRPr="00105E32">
        <w:rPr>
          <w:b/>
        </w:rPr>
        <w:t xml:space="preserve">jeżeli </w:t>
      </w:r>
      <w:r>
        <w:t xml:space="preserve">w jakimś roku T </w:t>
      </w:r>
      <w:r w:rsidRPr="00105E32">
        <w:rPr>
          <w:b/>
        </w:rPr>
        <w:t>ceny miedzi spadały</w:t>
      </w:r>
      <w:r>
        <w:t xml:space="preserve"> to w tym danym roku </w:t>
      </w:r>
      <w:r w:rsidRPr="00105E32">
        <w:rPr>
          <w:b/>
        </w:rPr>
        <w:t xml:space="preserve">WIG20 </w:t>
      </w:r>
      <w:r>
        <w:t xml:space="preserve">średnio rzecz biorąc </w:t>
      </w:r>
      <w:r w:rsidRPr="00105E32">
        <w:rPr>
          <w:b/>
          <w:color w:val="FF0000"/>
        </w:rPr>
        <w:t>tracił na wartości 5,6 %.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Z kolei </w:t>
      </w:r>
      <w:r w:rsidRPr="00105E32">
        <w:rPr>
          <w:b/>
        </w:rPr>
        <w:t>jeżeli</w:t>
      </w:r>
      <w:r>
        <w:t xml:space="preserve"> w jakimś roku T </w:t>
      </w:r>
      <w:r w:rsidRPr="00105E32">
        <w:rPr>
          <w:b/>
        </w:rPr>
        <w:t>ceny miedzi rosły</w:t>
      </w:r>
      <w:r>
        <w:t xml:space="preserve"> to w tym danym roku </w:t>
      </w:r>
      <w:r w:rsidRPr="00105E32">
        <w:rPr>
          <w:b/>
        </w:rPr>
        <w:t xml:space="preserve">WIG20 </w:t>
      </w:r>
      <w:r>
        <w:t xml:space="preserve">średnio rzecz biorąc </w:t>
      </w:r>
      <w:r w:rsidRPr="00105E32">
        <w:rPr>
          <w:b/>
          <w:color w:val="FF0000"/>
        </w:rPr>
        <w:t>zyskiwał na wartości 23,3 %.</w:t>
      </w:r>
      <w:r>
        <w:t xml:space="preserve"> 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Oczywiście zawsze można się zastanawiać nad tym, jakiego typu przyczyny leżą u podstaw tego zjawiska. 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Interpretacji może być wiele. Na razie wystarczy w tym miejscu nam wiedza o kierunku powiązań pomiędzy zmianami cen miedzi a zachowaniem indeksu WIG20. Warto może tylko zauważyć, że pozytywny charakter powiązań pomiędzy zachowaniem cen miedzi a stopą zwrotu z indeksu WIG20 jest regułą, zasadą generalną. Zdarzały się bowiem oczywiście pewne wyjątkowe lata, w których WIG 20 rósł pomimo spadku cen miedzi (na przykład 1996 rok), albo przeciwnie…WIG20 spadał pomimo wzrostu cen miedzi (na przykład 2002 rok). </w:t>
      </w:r>
    </w:p>
    <w:p w:rsidR="00576F07" w:rsidRPr="004C1B91" w:rsidRDefault="00576F07" w:rsidP="00576F07">
      <w:pPr>
        <w:pStyle w:val="Bezodstpw"/>
        <w:jc w:val="both"/>
        <w:rPr>
          <w:b/>
          <w:u w:val="single"/>
        </w:rPr>
      </w:pPr>
      <w:r>
        <w:lastRenderedPageBreak/>
        <w:t xml:space="preserve">Patrząc na wykres cen miedzi można zauważyć, że w poprzednim tygodniu doszło do przełamania od góry wzrostowej linii trendu wzrostowego, co można uznać </w:t>
      </w:r>
      <w:r w:rsidRPr="004C1B91">
        <w:rPr>
          <w:b/>
          <w:u w:val="single"/>
        </w:rPr>
        <w:t>za sygnał sprzedaży.</w:t>
      </w:r>
    </w:p>
    <w:p w:rsidR="00576F07" w:rsidRDefault="00576F07" w:rsidP="00576F07">
      <w:pPr>
        <w:pStyle w:val="Bezodstpw"/>
        <w:jc w:val="both"/>
      </w:pPr>
    </w:p>
    <w:p w:rsidR="00576F07" w:rsidRPr="003B34EC" w:rsidRDefault="00576F07" w:rsidP="00576F07">
      <w:pPr>
        <w:pStyle w:val="Bezodstpw"/>
        <w:jc w:val="both"/>
        <w:rPr>
          <w:b/>
          <w:u w:val="single"/>
        </w:rPr>
      </w:pPr>
      <w:r w:rsidRPr="003B34EC">
        <w:rPr>
          <w:b/>
          <w:u w:val="single"/>
        </w:rPr>
        <w:t>MIEDŹ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Z kolei na wykresie indeksu WIG20 doszło do przełamania od góry linii trendu łączącej szczyty, co także można uznać za </w:t>
      </w:r>
      <w:r w:rsidRPr="004C1B91">
        <w:rPr>
          <w:b/>
          <w:u w:val="single"/>
        </w:rPr>
        <w:t>sygnał sprzedaży.</w:t>
      </w:r>
      <w:r>
        <w:t xml:space="preserve"> 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  <w:rPr>
          <w:b/>
          <w:u w:val="single"/>
        </w:rPr>
      </w:pPr>
      <w:r w:rsidRPr="003B34EC">
        <w:rPr>
          <w:b/>
          <w:u w:val="single"/>
        </w:rPr>
        <w:t>WIG 20</w:t>
      </w:r>
    </w:p>
    <w:p w:rsidR="00576F07" w:rsidRDefault="00576F07" w:rsidP="00576F07">
      <w:pPr>
        <w:pStyle w:val="Bezodstpw"/>
        <w:jc w:val="both"/>
        <w:rPr>
          <w:b/>
          <w:u w:val="single"/>
        </w:rPr>
      </w:pPr>
    </w:p>
    <w:p w:rsidR="00576F07" w:rsidRPr="003B34EC" w:rsidRDefault="00576F07" w:rsidP="00576F07">
      <w:pPr>
        <w:pStyle w:val="Bezodstpw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4829175" cy="2905125"/>
            <wp:effectExtent l="19050" t="0" r="9525" b="0"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Dlaczego wspominam o powiązaniu pomiędzy zachowaniem cen miedzi a zachowaniem indeksu WIG20 ? Otóż warto przypomnieć, że na długoterminowym wykresie cen miedzi wciąż nie wypełniła się formacja nietypowego podwójnego szczytu. Jej wypełnienie oznacza, że ceny miedzi w średnim terminie mogą jeszcze spaść. </w:t>
      </w:r>
    </w:p>
    <w:p w:rsidR="00576F07" w:rsidRPr="00BE70CB" w:rsidRDefault="00576F07" w:rsidP="00576F07">
      <w:pPr>
        <w:pStyle w:val="Bezodstpw"/>
        <w:jc w:val="both"/>
        <w:rPr>
          <w:b/>
          <w:color w:val="FF0000"/>
        </w:rPr>
      </w:pPr>
      <w:r>
        <w:lastRenderedPageBreak/>
        <w:t xml:space="preserve">Gdyby formacja nietypowego podwójnego szczytu na wykresie cen miedzi miała się wypełnić powinno dojść do spadku cen miedzi o jeszcze </w:t>
      </w:r>
      <w:r w:rsidRPr="00BE70CB">
        <w:rPr>
          <w:b/>
          <w:color w:val="FF0000"/>
        </w:rPr>
        <w:t>o 13,3 %.</w:t>
      </w:r>
    </w:p>
    <w:p w:rsidR="00576F07" w:rsidRDefault="00576F07" w:rsidP="00576F07">
      <w:pPr>
        <w:pStyle w:val="Bezodstpw"/>
        <w:jc w:val="both"/>
      </w:pPr>
    </w:p>
    <w:p w:rsidR="00576F07" w:rsidRPr="002C0A1B" w:rsidRDefault="00576F07" w:rsidP="00576F07">
      <w:pPr>
        <w:pStyle w:val="Bezodstpw"/>
        <w:jc w:val="both"/>
        <w:rPr>
          <w:b/>
          <w:u w:val="single"/>
        </w:rPr>
      </w:pPr>
      <w:r w:rsidRPr="002C0A1B">
        <w:rPr>
          <w:b/>
          <w:u w:val="single"/>
        </w:rPr>
        <w:t xml:space="preserve">MIEDŹ 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>Czy w świetle powyższych rozważań można oczekiwać kontynuacji spadku indeksu WIG20</w:t>
      </w:r>
      <w:r w:rsidR="00881A91">
        <w:t xml:space="preserve"> ?</w:t>
      </w:r>
      <w:r>
        <w:t>. Na razie na to wygląda. Oczywiście, gdyby do tego doszło to akcje nie wszystkich spółek stracą na wartości. Warto będzie obserwować na przykład zachowanie kursów akcji spółek, które dotychczas zostały umieszczone w rubryce ,,Wykres do przemyślenia”. Na razie zachowanie kursów akcji tych spółek było przeważnie lepsze od zachowania indeksu WIG20, ale o tym …..potem.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Na razie warto zwrócić uwagę na to, że w krótkim okresie ważnym wsparciem na wykresie indeksu WIG20 jest wzrostowa linia trendu poprowadzona przez dołki z 20 stycznia i 13 marca 2015 roku, która przebiega aktualnie na poziomie około </w:t>
      </w:r>
      <w:r w:rsidRPr="00560129">
        <w:rPr>
          <w:b/>
          <w:color w:val="FF0000"/>
        </w:rPr>
        <w:t>2 390 punktów</w:t>
      </w:r>
      <w:r w:rsidRPr="00766C86">
        <w:rPr>
          <w:b/>
        </w:rPr>
        <w:t>.</w:t>
      </w:r>
      <w:r>
        <w:t xml:space="preserve"> </w:t>
      </w:r>
    </w:p>
    <w:p w:rsidR="00576F07" w:rsidRDefault="00576F07" w:rsidP="00576F07">
      <w:pPr>
        <w:pStyle w:val="Bezodstpw"/>
        <w:jc w:val="both"/>
      </w:pPr>
    </w:p>
    <w:p w:rsidR="00576F07" w:rsidRPr="00766C86" w:rsidRDefault="00576F07" w:rsidP="00576F07">
      <w:pPr>
        <w:pStyle w:val="Bezodstpw"/>
        <w:jc w:val="both"/>
        <w:rPr>
          <w:b/>
          <w:u w:val="single"/>
        </w:rPr>
      </w:pPr>
      <w:r w:rsidRPr="00766C86">
        <w:rPr>
          <w:b/>
          <w:u w:val="single"/>
        </w:rPr>
        <w:t>WIG20</w:t>
      </w:r>
    </w:p>
    <w:p w:rsidR="00576F07" w:rsidRDefault="00576F07" w:rsidP="00576F07">
      <w:pPr>
        <w:pStyle w:val="Bezodstpw"/>
        <w:jc w:val="both"/>
      </w:pPr>
      <w:r>
        <w:t xml:space="preserve"> </w:t>
      </w:r>
    </w:p>
    <w:p w:rsidR="00576F07" w:rsidRDefault="00576F07" w:rsidP="00576F07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F07" w:rsidRDefault="00576F07" w:rsidP="00576F07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Wykres do przemyślenia – refleksje 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576F07" w:rsidRDefault="00576F07" w:rsidP="00576F07">
      <w:pPr>
        <w:pStyle w:val="Bezodstpw"/>
        <w:numPr>
          <w:ilvl w:val="0"/>
          <w:numId w:val="1"/>
        </w:numPr>
        <w:jc w:val="both"/>
      </w:pPr>
      <w:r>
        <w:t>Lena</w:t>
      </w:r>
    </w:p>
    <w:p w:rsidR="00576F07" w:rsidRDefault="00576F07" w:rsidP="00576F07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576F07" w:rsidRDefault="00576F07" w:rsidP="00576F07">
      <w:pPr>
        <w:pStyle w:val="Bezodstpw"/>
        <w:numPr>
          <w:ilvl w:val="0"/>
          <w:numId w:val="1"/>
        </w:numPr>
        <w:jc w:val="both"/>
      </w:pPr>
      <w:r>
        <w:t>Rafako</w:t>
      </w:r>
    </w:p>
    <w:p w:rsidR="00576F07" w:rsidRDefault="00576F07" w:rsidP="00576F07">
      <w:pPr>
        <w:pStyle w:val="Bezodstpw"/>
        <w:jc w:val="both"/>
      </w:pPr>
    </w:p>
    <w:p w:rsidR="00576F07" w:rsidRPr="00DF5937" w:rsidRDefault="00576F07" w:rsidP="00576F07">
      <w:pPr>
        <w:pStyle w:val="Bezodstpw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  <w:r w:rsidRPr="00DF5937">
        <w:rPr>
          <w:b/>
          <w:color w:val="FF66FF"/>
        </w:rPr>
        <w:t xml:space="preserve">Na str. </w:t>
      </w:r>
      <w:r w:rsidR="004C1B91">
        <w:rPr>
          <w:b/>
          <w:color w:val="FF66FF"/>
        </w:rPr>
        <w:t>6</w:t>
      </w:r>
      <w:r w:rsidRPr="00DF5937">
        <w:rPr>
          <w:b/>
          <w:color w:val="FF66FF"/>
        </w:rPr>
        <w:t>-</w:t>
      </w:r>
      <w:r w:rsidR="004C1B91">
        <w:rPr>
          <w:b/>
          <w:color w:val="FF66FF"/>
        </w:rPr>
        <w:t>10</w:t>
      </w:r>
      <w:r w:rsidRPr="00DF5937">
        <w:rPr>
          <w:b/>
          <w:color w:val="FF66FF"/>
        </w:rPr>
        <w:t xml:space="preserve"> przedstawiam listę 2</w:t>
      </w:r>
      <w:r>
        <w:rPr>
          <w:b/>
          <w:color w:val="FF66FF"/>
        </w:rPr>
        <w:t>6</w:t>
      </w:r>
      <w:r w:rsidRPr="00DF5937">
        <w:rPr>
          <w:b/>
          <w:color w:val="FF66FF"/>
        </w:rPr>
        <w:t xml:space="preserve"> spółek wpisanych do rubryki ,,Wykres do przemyślenia”.</w:t>
      </w:r>
      <w:r>
        <w:t xml:space="preserve"> </w:t>
      </w:r>
      <w:r w:rsidRPr="00DF5937">
        <w:rPr>
          <w:b/>
          <w:color w:val="FF66FF"/>
        </w:rPr>
        <w:t>Osoby znającą tą listę mogą listę tą pomi</w:t>
      </w:r>
      <w:r>
        <w:rPr>
          <w:b/>
          <w:color w:val="FF66FF"/>
        </w:rPr>
        <w:t>nąć i od razu przejść na stronę 9.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29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2,24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 +9,8 %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4,58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 +14,8 %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6,41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 +76,6 %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6,63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 +56,0 %</w:t>
            </w:r>
          </w:p>
        </w:tc>
      </w:tr>
      <w:tr w:rsidR="00576F07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+39,3 %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   -4,1 %</w:t>
            </w:r>
          </w:p>
        </w:tc>
      </w:tr>
    </w:tbl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29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6,16 zł. 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-5,2 %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-5,2 %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  -2,4 %</w:t>
            </w:r>
          </w:p>
        </w:tc>
      </w:tr>
    </w:tbl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29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26,50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34,20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33,7 %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33,7 %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-2,1 %</w:t>
            </w:r>
          </w:p>
        </w:tc>
      </w:tr>
    </w:tbl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29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1,02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-22,7 %</w:t>
            </w:r>
          </w:p>
        </w:tc>
      </w:tr>
      <w:tr w:rsidR="00576F07" w:rsidRPr="008F668F" w:rsidTr="001C0C0D">
        <w:trPr>
          <w:trHeight w:val="310"/>
        </w:trPr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-22,7 %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-2,4 %</w:t>
            </w:r>
          </w:p>
        </w:tc>
      </w:tr>
    </w:tbl>
    <w:p w:rsidR="00576F07" w:rsidRDefault="00576F07" w:rsidP="00576F07">
      <w:pPr>
        <w:pStyle w:val="Bezodstpw"/>
        <w:jc w:val="both"/>
      </w:pPr>
      <w:r>
        <w:lastRenderedPageBreak/>
        <w:t xml:space="preserve">Tabela: Procentowa zmiana ceny akcji spółki, której akcje zostały umieszczone 25 września na stronie internetowej </w:t>
      </w:r>
      <w:hyperlink r:id="rId1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29 maja 2015 roku oraz procentowa zmiana indeksu WIG 20 w tym okresie. </w:t>
      </w:r>
    </w:p>
    <w:p w:rsidR="00576F07" w:rsidRDefault="00576F07" w:rsidP="00576F0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2,70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+45,9 %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+45,9 %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-2,1 %</w:t>
            </w:r>
          </w:p>
        </w:tc>
      </w:tr>
    </w:tbl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30 września do 29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60,00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+31,5 %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24,24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+46,1 %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76F07" w:rsidRDefault="00576F07" w:rsidP="001C0C0D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76F07" w:rsidRDefault="00576F07" w:rsidP="001C0C0D">
            <w:pPr>
              <w:pStyle w:val="Bezodstpw"/>
              <w:jc w:val="center"/>
            </w:pPr>
            <w:r>
              <w:t>11,99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- 31,9 %</w:t>
            </w:r>
          </w:p>
        </w:tc>
      </w:tr>
      <w:tr w:rsidR="00576F07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+15,2 %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- 1,9 %</w:t>
            </w:r>
          </w:p>
        </w:tc>
      </w:tr>
    </w:tbl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29 maja 2015 roku oraz procentowa zmiana indeksu WIG 20 w tym okresie. </w:t>
      </w:r>
    </w:p>
    <w:p w:rsidR="00576F07" w:rsidRDefault="00576F07" w:rsidP="00576F0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435,70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+78,5 %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+78,5 %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-0,3 %</w:t>
            </w:r>
          </w:p>
        </w:tc>
      </w:tr>
    </w:tbl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29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4,76 zł. 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-8,6 %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-8,6 %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  +1,5 %</w:t>
            </w:r>
          </w:p>
        </w:tc>
      </w:tr>
    </w:tbl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29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76F07" w:rsidRDefault="00576F07" w:rsidP="001C0C0D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76F07" w:rsidRDefault="00576F07" w:rsidP="001C0C0D">
            <w:pPr>
              <w:pStyle w:val="Bezodstpw"/>
              <w:jc w:val="center"/>
            </w:pPr>
            <w:r>
              <w:t>13,00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+ 49,4 %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576F07" w:rsidRPr="00A556F3" w:rsidRDefault="00576F07" w:rsidP="001C0C0D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576F07" w:rsidRPr="00A556F3" w:rsidRDefault="00576F07" w:rsidP="001C0C0D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7,35 zł. </w:t>
            </w:r>
          </w:p>
        </w:tc>
        <w:tc>
          <w:tcPr>
            <w:tcW w:w="1134" w:type="dxa"/>
          </w:tcPr>
          <w:p w:rsidR="00576F07" w:rsidRPr="00A556F3" w:rsidRDefault="00576F07" w:rsidP="001C0C0D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+6,1  %</w:t>
            </w:r>
          </w:p>
        </w:tc>
      </w:tr>
      <w:tr w:rsidR="00576F07" w:rsidTr="001C0C0D">
        <w:tc>
          <w:tcPr>
            <w:tcW w:w="3402" w:type="dxa"/>
          </w:tcPr>
          <w:p w:rsidR="00576F07" w:rsidRPr="00A556F3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576F07" w:rsidRPr="00581996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+ 27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+0,6 % </w:t>
            </w:r>
          </w:p>
        </w:tc>
      </w:tr>
    </w:tbl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lastRenderedPageBreak/>
        <w:t xml:space="preserve">Tabela: Procentowa zmiana ceny akcji spółki, której akcje zostały wymienione w siódmym numerze ,,Raportu Tygodniowego” z 27 października 2014 roku w rubryce ,,Wykres do przemyślenia” w okresie od 24 października 2014 roku do 29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3,71 zł. 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-14,1 %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-14,1 %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+0,5 %</w:t>
            </w:r>
          </w:p>
        </w:tc>
      </w:tr>
    </w:tbl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wymienione w numerze ,,Raportu Tygodniowego” z 3 listopada 2014 roku w rubryce ,,Wykres do przemyślenia” w okresie od 31 października 2014 roku do 29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16,74 zł. 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+4,6 %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+4,6 %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-1,1 %</w:t>
            </w:r>
          </w:p>
        </w:tc>
      </w:tr>
    </w:tbl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2014 roku do 29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2,21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+108,5 %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+108,5 %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+0,9 %</w:t>
            </w:r>
          </w:p>
        </w:tc>
      </w:tr>
    </w:tbl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umieszczone 2 grudnia na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grudnia 2014 roku do 29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32,68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-13,2 %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-13,2 %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+0,9 %</w:t>
            </w:r>
          </w:p>
        </w:tc>
      </w:tr>
    </w:tbl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grudnia 2014 roku do 29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8,14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10,39 zł. 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 +27,6 %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+27,6 %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2 360,00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 + 3,3 %</w:t>
            </w:r>
          </w:p>
        </w:tc>
      </w:tr>
    </w:tbl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umieszczone 2 stycznia 2015 roku na  stronie internetowej </w:t>
      </w:r>
      <w:hyperlink r:id="rId17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grudnia do 29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Akcja spółki Comarch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115,50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135,00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+16,9 %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+16,9 %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+ 5,3 %</w:t>
            </w:r>
          </w:p>
        </w:tc>
      </w:tr>
    </w:tbl>
    <w:p w:rsidR="00576F07" w:rsidRDefault="00576F07" w:rsidP="00576F07">
      <w:pPr>
        <w:pStyle w:val="Bezodstpw"/>
        <w:jc w:val="both"/>
      </w:pPr>
      <w:r>
        <w:lastRenderedPageBreak/>
        <w:t xml:space="preserve">Tabela: Procentowa zmiana ceny akcji spółki, której akcje zostały umieszczone 12 stycznia 2015 roku na  stronie internetowej </w:t>
      </w:r>
      <w:hyperlink r:id="rId18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stycznia do 29 maja 2015 roku oraz procentowa zmiana indeksu WIG 20 w tym okresie. </w:t>
      </w:r>
    </w:p>
    <w:p w:rsidR="00576F07" w:rsidRDefault="00576F07" w:rsidP="00576F0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Akcja spółki Muza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3,34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3,76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+12,6 %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+12,6 %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+4,3 %</w:t>
            </w:r>
          </w:p>
        </w:tc>
      </w:tr>
    </w:tbl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umieszczone 30 stycznia 2015 roku na  stronie internetowej </w:t>
      </w:r>
      <w:hyperlink r:id="rId19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29 stycznia do 29 maja 2015 roku oraz procentowa zmiana indeksu WIG 20 w tym okresie. </w:t>
      </w:r>
    </w:p>
    <w:p w:rsidR="00576F07" w:rsidRDefault="00576F07" w:rsidP="00576F0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Akcja spółki Lubawa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1,11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1,23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+10,8 %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+10,8 %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+ 4,1  %</w:t>
            </w:r>
          </w:p>
        </w:tc>
      </w:tr>
    </w:tbl>
    <w:p w:rsidR="00576F07" w:rsidRDefault="00576F07" w:rsidP="00576F07">
      <w:pPr>
        <w:pStyle w:val="Bezodstpw"/>
        <w:jc w:val="both"/>
        <w:rPr>
          <w:b/>
          <w:u w:val="single"/>
        </w:rPr>
      </w:pPr>
    </w:p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umieszczone 10 lutego 2015 roku na  stronie internetowej </w:t>
      </w:r>
      <w:hyperlink r:id="rId20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lutego do 29 maja 2015 roku oraz procentowa zmiana indeksu WIG 20 w tym okresie. </w:t>
      </w:r>
    </w:p>
    <w:p w:rsidR="00576F07" w:rsidRDefault="00576F07" w:rsidP="00576F0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09.02.2015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4,50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5,38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+19,6 %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+19,6 %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+4,2  %</w:t>
            </w:r>
          </w:p>
        </w:tc>
      </w:tr>
    </w:tbl>
    <w:p w:rsidR="00576F07" w:rsidRDefault="00576F07" w:rsidP="00576F07">
      <w:pPr>
        <w:pStyle w:val="Bezodstpw"/>
        <w:jc w:val="both"/>
        <w:rPr>
          <w:b/>
        </w:rPr>
      </w:pPr>
    </w:p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umieszczone 3 marca 2015 roku na  stronie internetowej </w:t>
      </w:r>
      <w:hyperlink r:id="rId21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 marca do 29 maja 2015 roku 2015 roku oraz procentowa zmiana indeksu WIG 20 w tym okresie. </w:t>
      </w:r>
    </w:p>
    <w:p w:rsidR="00576F07" w:rsidRDefault="00576F07" w:rsidP="00576F0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02.03.2015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Akcja spółki Mostostal Warszawa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7,57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10,50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+38,7 %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+38,7 %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+3,4 %</w:t>
            </w:r>
          </w:p>
        </w:tc>
      </w:tr>
    </w:tbl>
    <w:p w:rsidR="00576F07" w:rsidRDefault="00576F07" w:rsidP="00576F07">
      <w:pPr>
        <w:pStyle w:val="Bezodstpw"/>
        <w:jc w:val="both"/>
        <w:rPr>
          <w:b/>
        </w:rPr>
      </w:pPr>
    </w:p>
    <w:p w:rsidR="00576F07" w:rsidRDefault="00576F07" w:rsidP="00576F07">
      <w:pPr>
        <w:pStyle w:val="Bezodstpw"/>
        <w:jc w:val="both"/>
      </w:pPr>
      <w:r>
        <w:t xml:space="preserve">Tabela: Procentowa zmiana ceny akcji spółki, której akcje zostały umieszczone 9 kwietnia 2015 roku na  stronie internetowej </w:t>
      </w:r>
      <w:hyperlink r:id="rId22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8 do 29 maja 2015 roku oraz procentowa zmiana indeksu WIG 20 w tym okresie. </w:t>
      </w:r>
    </w:p>
    <w:p w:rsidR="00576F07" w:rsidRDefault="00576F07" w:rsidP="00576F0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08.04.2015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Akcja spółki Ceramika Nowa Gala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1,25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1,26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+ 0,8 %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+ 0,8 %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2 424,82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+ 0,5,%</w:t>
            </w:r>
          </w:p>
        </w:tc>
      </w:tr>
    </w:tbl>
    <w:p w:rsidR="00576F07" w:rsidRDefault="00576F07" w:rsidP="00576F07">
      <w:pPr>
        <w:pStyle w:val="Bezodstpw"/>
        <w:jc w:val="both"/>
        <w:rPr>
          <w:sz w:val="34"/>
          <w:szCs w:val="34"/>
        </w:rPr>
      </w:pPr>
    </w:p>
    <w:p w:rsidR="00576F07" w:rsidRDefault="00576F07" w:rsidP="00576F07">
      <w:pPr>
        <w:pStyle w:val="Bezodstpw"/>
        <w:jc w:val="both"/>
      </w:pPr>
      <w:r>
        <w:lastRenderedPageBreak/>
        <w:t xml:space="preserve">Tabela: Procentowa zmiana ceny akcji spółki, której akcje zostały umieszczone 5 maja 2015 roku na  stronie internetowej </w:t>
      </w:r>
      <w:hyperlink r:id="rId2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4 do 29 maja 2015 roku oraz procentowa zmiana indeksu WIG 20 w tym okresie. </w:t>
      </w:r>
    </w:p>
    <w:p w:rsidR="00576F07" w:rsidRDefault="00576F07" w:rsidP="00576F0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04.05.2015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Poziom – 29.05.2015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Zmiana (w %)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Akcja spółki Polnord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>11,10 zł.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>
              <w:t>10,08 zł.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-9,2 %</w:t>
            </w:r>
          </w:p>
        </w:tc>
      </w:tr>
      <w:tr w:rsidR="00576F07" w:rsidRPr="008F668F" w:rsidTr="001C0C0D">
        <w:tc>
          <w:tcPr>
            <w:tcW w:w="3402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76F07" w:rsidRPr="008F668F" w:rsidRDefault="00576F07" w:rsidP="001C0C0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-9,2 %</w:t>
            </w:r>
          </w:p>
        </w:tc>
      </w:tr>
      <w:tr w:rsidR="00576F07" w:rsidTr="001C0C0D">
        <w:tc>
          <w:tcPr>
            <w:tcW w:w="3402" w:type="dxa"/>
          </w:tcPr>
          <w:p w:rsidR="00576F07" w:rsidRDefault="00576F07" w:rsidP="001C0C0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576F07" w:rsidRDefault="00576F07" w:rsidP="001C0C0D">
            <w:pPr>
              <w:pStyle w:val="Bezodstpw"/>
              <w:jc w:val="center"/>
            </w:pPr>
            <w:r>
              <w:t xml:space="preserve">2 424,82 pkt. </w:t>
            </w:r>
          </w:p>
        </w:tc>
        <w:tc>
          <w:tcPr>
            <w:tcW w:w="2303" w:type="dxa"/>
          </w:tcPr>
          <w:p w:rsidR="00576F07" w:rsidRDefault="00576F07" w:rsidP="001C0C0D">
            <w:pPr>
              <w:pStyle w:val="Bezodstpw"/>
              <w:jc w:val="center"/>
            </w:pPr>
            <w:r w:rsidRPr="00662678">
              <w:t>2</w:t>
            </w:r>
            <w:r>
              <w:t> 437,81 pkt.</w:t>
            </w:r>
          </w:p>
        </w:tc>
        <w:tc>
          <w:tcPr>
            <w:tcW w:w="1134" w:type="dxa"/>
          </w:tcPr>
          <w:p w:rsidR="00576F07" w:rsidRDefault="00576F07" w:rsidP="001C0C0D">
            <w:pPr>
              <w:pStyle w:val="Bezodstpw"/>
              <w:jc w:val="center"/>
            </w:pPr>
            <w:r>
              <w:t>+ 0,5 %</w:t>
            </w:r>
          </w:p>
        </w:tc>
      </w:tr>
    </w:tbl>
    <w:p w:rsidR="00576F07" w:rsidRDefault="00576F07" w:rsidP="00576F07">
      <w:pPr>
        <w:pStyle w:val="Bezodstpw"/>
        <w:jc w:val="both"/>
        <w:rPr>
          <w:sz w:val="34"/>
          <w:szCs w:val="34"/>
        </w:rPr>
      </w:pPr>
    </w:p>
    <w:p w:rsidR="00576F07" w:rsidRPr="00360DB8" w:rsidRDefault="00576F07" w:rsidP="00576F07">
      <w:pPr>
        <w:pStyle w:val="Bezodstpw"/>
        <w:jc w:val="both"/>
        <w:rPr>
          <w:b/>
          <w:sz w:val="32"/>
          <w:szCs w:val="32"/>
          <w:u w:val="single"/>
        </w:rPr>
      </w:pPr>
      <w:r w:rsidRPr="00360DB8">
        <w:rPr>
          <w:sz w:val="32"/>
          <w:szCs w:val="32"/>
        </w:rPr>
        <w:t xml:space="preserve">Warto zauważyć, że </w:t>
      </w:r>
      <w:r w:rsidRPr="00360DB8">
        <w:rPr>
          <w:b/>
          <w:color w:val="FF0000"/>
          <w:sz w:val="32"/>
          <w:szCs w:val="32"/>
        </w:rPr>
        <w:t>spośród</w:t>
      </w:r>
      <w:r w:rsidRPr="00360DB8">
        <w:rPr>
          <w:b/>
          <w:sz w:val="32"/>
          <w:szCs w:val="32"/>
        </w:rPr>
        <w:t xml:space="preserve"> </w:t>
      </w:r>
      <w:r w:rsidRPr="00360DB8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7</w:t>
      </w:r>
      <w:r w:rsidRPr="00360DB8">
        <w:rPr>
          <w:b/>
          <w:color w:val="FF0000"/>
          <w:sz w:val="32"/>
          <w:szCs w:val="32"/>
        </w:rPr>
        <w:t xml:space="preserve"> spółek</w:t>
      </w:r>
      <w:r w:rsidRPr="00360DB8">
        <w:rPr>
          <w:b/>
          <w:sz w:val="32"/>
          <w:szCs w:val="32"/>
        </w:rPr>
        <w:t>, których akcje zakwalifikowane zostały do rubryki ,,Wykres do przemyślenia”</w:t>
      </w:r>
      <w:r w:rsidRPr="00360DB8">
        <w:rPr>
          <w:sz w:val="32"/>
          <w:szCs w:val="32"/>
        </w:rPr>
        <w:t xml:space="preserve"> (gdyż wybiły się już z formacji podwójnego dna) </w:t>
      </w:r>
      <w:r w:rsidRPr="00360DB8">
        <w:rPr>
          <w:b/>
          <w:sz w:val="32"/>
          <w:szCs w:val="32"/>
        </w:rPr>
        <w:t xml:space="preserve">kursy akcji </w:t>
      </w:r>
      <w:r>
        <w:rPr>
          <w:b/>
          <w:color w:val="FF0000"/>
          <w:sz w:val="32"/>
          <w:szCs w:val="32"/>
        </w:rPr>
        <w:t>20</w:t>
      </w:r>
      <w:r w:rsidRPr="00360DB8">
        <w:rPr>
          <w:b/>
          <w:color w:val="FF0000"/>
          <w:sz w:val="32"/>
          <w:szCs w:val="32"/>
        </w:rPr>
        <w:t xml:space="preserve"> spółek</w:t>
      </w:r>
      <w:r w:rsidRPr="00360DB8">
        <w:rPr>
          <w:sz w:val="32"/>
          <w:szCs w:val="32"/>
        </w:rPr>
        <w:t xml:space="preserve"> od momentu owego zakwalifikowania do tej rubryki do dnia </w:t>
      </w:r>
      <w:r>
        <w:rPr>
          <w:sz w:val="32"/>
          <w:szCs w:val="32"/>
        </w:rPr>
        <w:t>8 maja</w:t>
      </w:r>
      <w:r w:rsidRPr="00360DB8">
        <w:rPr>
          <w:sz w:val="32"/>
          <w:szCs w:val="32"/>
        </w:rPr>
        <w:t xml:space="preserve"> 2015 roku zachowywały się </w:t>
      </w:r>
      <w:r w:rsidRPr="00360DB8">
        <w:rPr>
          <w:b/>
          <w:color w:val="FF0000"/>
          <w:sz w:val="32"/>
          <w:szCs w:val="32"/>
          <w:u w:val="single"/>
        </w:rPr>
        <w:t>lepiej</w:t>
      </w:r>
      <w:r w:rsidRPr="00360DB8">
        <w:rPr>
          <w:b/>
          <w:color w:val="FF0000"/>
          <w:sz w:val="32"/>
          <w:szCs w:val="32"/>
        </w:rPr>
        <w:t xml:space="preserve"> od indeksu WIG20</w:t>
      </w:r>
      <w:r w:rsidRPr="00360DB8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7</w:t>
      </w:r>
      <w:r w:rsidRPr="00360DB8">
        <w:rPr>
          <w:b/>
          <w:sz w:val="32"/>
          <w:szCs w:val="32"/>
        </w:rPr>
        <w:t xml:space="preserve"> </w:t>
      </w:r>
      <w:r w:rsidRPr="00360DB8">
        <w:rPr>
          <w:b/>
          <w:sz w:val="32"/>
          <w:szCs w:val="32"/>
          <w:u w:val="single"/>
        </w:rPr>
        <w:t xml:space="preserve">gorzej </w:t>
      </w:r>
      <w:r w:rsidRPr="00360DB8">
        <w:rPr>
          <w:b/>
          <w:sz w:val="32"/>
          <w:szCs w:val="32"/>
        </w:rPr>
        <w:t>od indeksu WIG20.</w:t>
      </w:r>
      <w:r w:rsidRPr="00360DB8">
        <w:rPr>
          <w:b/>
          <w:sz w:val="32"/>
          <w:szCs w:val="32"/>
          <w:u w:val="single"/>
        </w:rPr>
        <w:t xml:space="preserve"> </w:t>
      </w:r>
    </w:p>
    <w:p w:rsidR="00576F07" w:rsidRPr="00360DB8" w:rsidRDefault="00576F07" w:rsidP="00576F07">
      <w:pPr>
        <w:pStyle w:val="Bezodstpw"/>
        <w:jc w:val="both"/>
        <w:rPr>
          <w:b/>
          <w:sz w:val="32"/>
          <w:szCs w:val="32"/>
          <w:u w:val="single"/>
        </w:rPr>
      </w:pPr>
    </w:p>
    <w:p w:rsidR="00576F07" w:rsidRPr="00360DB8" w:rsidRDefault="00576F07" w:rsidP="00576F07">
      <w:pPr>
        <w:pStyle w:val="Bezodstpw"/>
        <w:jc w:val="center"/>
        <w:rPr>
          <w:b/>
          <w:emboss/>
          <w:color w:val="FF0000"/>
          <w:sz w:val="32"/>
          <w:szCs w:val="32"/>
        </w:rPr>
      </w:pPr>
      <w:r w:rsidRPr="00360DB8">
        <w:rPr>
          <w:b/>
          <w:emboss/>
          <w:color w:val="FF0000"/>
          <w:sz w:val="32"/>
          <w:szCs w:val="32"/>
        </w:rPr>
        <w:t>Porównanie</w:t>
      </w:r>
    </w:p>
    <w:p w:rsidR="00576F07" w:rsidRPr="00360DB8" w:rsidRDefault="00576F07" w:rsidP="00576F07">
      <w:pPr>
        <w:pStyle w:val="Bezodstpw"/>
        <w:jc w:val="both"/>
        <w:rPr>
          <w:sz w:val="32"/>
          <w:szCs w:val="32"/>
        </w:rPr>
      </w:pPr>
      <w:r w:rsidRPr="00360DB8">
        <w:rPr>
          <w:sz w:val="32"/>
          <w:szCs w:val="32"/>
        </w:rPr>
        <w:t xml:space="preserve">Wykres: </w:t>
      </w:r>
      <w:r w:rsidRPr="00360DB8">
        <w:rPr>
          <w:color w:val="000000" w:themeColor="text1"/>
          <w:sz w:val="32"/>
          <w:szCs w:val="32"/>
        </w:rPr>
        <w:t>Średnia procentowa zmiana kursu akcji spółki po wprowadzeniu jej do rubryki ,,Wykres do przemyślenia”</w:t>
      </w:r>
      <w:r w:rsidRPr="00360DB8">
        <w:rPr>
          <w:b/>
          <w:color w:val="FF0000"/>
          <w:sz w:val="32"/>
          <w:szCs w:val="32"/>
        </w:rPr>
        <w:t xml:space="preserve"> w okresie 6 miesięcy</w:t>
      </w:r>
      <w:r w:rsidRPr="00360DB8">
        <w:rPr>
          <w:sz w:val="32"/>
          <w:szCs w:val="32"/>
        </w:rPr>
        <w:t xml:space="preserve"> po jej wprowadzeniu do tej rubryki wynosiła </w:t>
      </w:r>
      <w:r w:rsidRPr="00360DB8">
        <w:rPr>
          <w:b/>
          <w:color w:val="FF0000"/>
          <w:sz w:val="32"/>
          <w:szCs w:val="32"/>
        </w:rPr>
        <w:t xml:space="preserve">plus </w:t>
      </w:r>
      <w:r w:rsidR="00100B2B">
        <w:rPr>
          <w:b/>
          <w:color w:val="FF0000"/>
          <w:sz w:val="32"/>
          <w:szCs w:val="32"/>
        </w:rPr>
        <w:t>22,6</w:t>
      </w:r>
      <w:r w:rsidRPr="00360DB8">
        <w:rPr>
          <w:b/>
          <w:color w:val="FF0000"/>
          <w:sz w:val="32"/>
          <w:szCs w:val="32"/>
        </w:rPr>
        <w:t xml:space="preserve"> %</w:t>
      </w:r>
      <w:r w:rsidRPr="00360DB8">
        <w:rPr>
          <w:sz w:val="32"/>
          <w:szCs w:val="32"/>
        </w:rPr>
        <w:t xml:space="preserve"> a średnia procentowa zmiana indeksu WIG20 wynosiła w tym okresie minus </w:t>
      </w:r>
      <w:r w:rsidR="00100B2B">
        <w:rPr>
          <w:sz w:val="32"/>
          <w:szCs w:val="32"/>
        </w:rPr>
        <w:t>2</w:t>
      </w:r>
      <w:r w:rsidRPr="00360DB8">
        <w:rPr>
          <w:sz w:val="32"/>
          <w:szCs w:val="32"/>
        </w:rPr>
        <w:t>,</w:t>
      </w:r>
      <w:r w:rsidR="00100B2B">
        <w:rPr>
          <w:sz w:val="32"/>
          <w:szCs w:val="32"/>
        </w:rPr>
        <w:t>8</w:t>
      </w:r>
      <w:r w:rsidRPr="00360DB8">
        <w:rPr>
          <w:sz w:val="32"/>
          <w:szCs w:val="32"/>
        </w:rPr>
        <w:t xml:space="preserve"> % (</w:t>
      </w:r>
      <w:r w:rsidRPr="00360DB8">
        <w:rPr>
          <w:sz w:val="32"/>
          <w:szCs w:val="32"/>
          <w:u w:val="single"/>
        </w:rPr>
        <w:t xml:space="preserve">obliczenia według stanu na </w:t>
      </w:r>
      <w:r>
        <w:rPr>
          <w:sz w:val="32"/>
          <w:szCs w:val="32"/>
          <w:u w:val="single"/>
        </w:rPr>
        <w:t>2</w:t>
      </w:r>
      <w:r w:rsidR="00C12733">
        <w:rPr>
          <w:sz w:val="32"/>
          <w:szCs w:val="32"/>
          <w:u w:val="single"/>
        </w:rPr>
        <w:t>9</w:t>
      </w:r>
      <w:r>
        <w:rPr>
          <w:sz w:val="32"/>
          <w:szCs w:val="32"/>
          <w:u w:val="single"/>
        </w:rPr>
        <w:t xml:space="preserve"> maja</w:t>
      </w:r>
      <w:r w:rsidRPr="00360DB8">
        <w:rPr>
          <w:sz w:val="32"/>
          <w:szCs w:val="32"/>
          <w:u w:val="single"/>
        </w:rPr>
        <w:t xml:space="preserve"> 2015 roku</w:t>
      </w:r>
      <w:r w:rsidRPr="00360DB8">
        <w:rPr>
          <w:sz w:val="32"/>
          <w:szCs w:val="32"/>
        </w:rPr>
        <w:t>). Dane o procentowej zmianie kursu dla okresu 6-miesięcznego można było obliczyć dla akcji 1</w:t>
      </w:r>
      <w:r w:rsidR="000B315D">
        <w:rPr>
          <w:sz w:val="32"/>
          <w:szCs w:val="32"/>
        </w:rPr>
        <w:t>8</w:t>
      </w:r>
      <w:r w:rsidRPr="00360DB8">
        <w:rPr>
          <w:sz w:val="32"/>
          <w:szCs w:val="32"/>
        </w:rPr>
        <w:t xml:space="preserve"> spółek. </w:t>
      </w:r>
    </w:p>
    <w:p w:rsidR="00576F07" w:rsidRPr="00360DB8" w:rsidRDefault="00576F07" w:rsidP="00576F07">
      <w:pPr>
        <w:pStyle w:val="Bezodstpw"/>
        <w:jc w:val="both"/>
        <w:rPr>
          <w:sz w:val="28"/>
          <w:szCs w:val="28"/>
        </w:rPr>
      </w:pPr>
    </w:p>
    <w:p w:rsidR="00576F07" w:rsidRDefault="00576F07" w:rsidP="00576F07">
      <w:pPr>
        <w:pStyle w:val="Bezodstpw"/>
        <w:jc w:val="both"/>
      </w:pPr>
      <w:r w:rsidRPr="00AF56EB">
        <w:rPr>
          <w:noProof/>
          <w:bdr w:val="single" w:sz="24" w:space="0" w:color="00B050"/>
        </w:rPr>
        <w:drawing>
          <wp:inline distT="0" distB="0" distL="0" distR="0">
            <wp:extent cx="4162425" cy="2095500"/>
            <wp:effectExtent l="19050" t="0" r="9525" b="0"/>
            <wp:docPr id="1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  <w:rPr>
          <w:sz w:val="24"/>
          <w:szCs w:val="24"/>
        </w:rPr>
      </w:pPr>
      <w:r w:rsidRPr="004B4AAC">
        <w:rPr>
          <w:sz w:val="24"/>
          <w:szCs w:val="24"/>
        </w:rPr>
        <w:t xml:space="preserve">Z powyższego porównania wynika, że </w:t>
      </w:r>
      <w:r w:rsidRPr="004B4AAC">
        <w:rPr>
          <w:b/>
          <w:sz w:val="24"/>
          <w:szCs w:val="24"/>
        </w:rPr>
        <w:t>wybicie kursu akcji spółki z formacji podwójnego dna</w:t>
      </w:r>
      <w:r w:rsidRPr="004B4AAC">
        <w:rPr>
          <w:sz w:val="24"/>
          <w:szCs w:val="24"/>
        </w:rPr>
        <w:t xml:space="preserve"> będące </w:t>
      </w:r>
      <w:r w:rsidRPr="004B4AAC">
        <w:rPr>
          <w:b/>
          <w:color w:val="000000" w:themeColor="text1"/>
          <w:sz w:val="24"/>
          <w:szCs w:val="24"/>
        </w:rPr>
        <w:t>niezbędnym kryterium kwalifikującym</w:t>
      </w:r>
      <w:r w:rsidRPr="004B4AAC">
        <w:rPr>
          <w:sz w:val="24"/>
          <w:szCs w:val="24"/>
        </w:rPr>
        <w:t xml:space="preserve"> do wprowadzenie spółki do rubryki ,,Wykres do przemyślenia” sprzyja relatywnie mocnemu zachowaniu kursu akcji tej spółki w okresie pierwszych </w:t>
      </w:r>
      <w:r>
        <w:rPr>
          <w:sz w:val="24"/>
          <w:szCs w:val="24"/>
        </w:rPr>
        <w:t>6</w:t>
      </w:r>
      <w:r w:rsidRPr="004B4AAC">
        <w:rPr>
          <w:sz w:val="24"/>
          <w:szCs w:val="24"/>
        </w:rPr>
        <w:t xml:space="preserve"> miesięcy po wprowadzeniu spółki do tej rubryki.</w:t>
      </w:r>
    </w:p>
    <w:p w:rsidR="00576F07" w:rsidRPr="00295250" w:rsidRDefault="00576F07" w:rsidP="00576F07">
      <w:pPr>
        <w:pStyle w:val="Bezodstpw"/>
        <w:jc w:val="both"/>
        <w:rPr>
          <w:b/>
        </w:rPr>
      </w:pPr>
      <w:r w:rsidRPr="00295250">
        <w:rPr>
          <w:b/>
        </w:rPr>
        <w:lastRenderedPageBreak/>
        <w:t>Wnioski końcowe</w:t>
      </w:r>
    </w:p>
    <w:p w:rsidR="00576F07" w:rsidRDefault="00576F07" w:rsidP="00576F07">
      <w:pPr>
        <w:pStyle w:val="Bezodstpw"/>
        <w:jc w:val="both"/>
      </w:pPr>
    </w:p>
    <w:p w:rsidR="00576F07" w:rsidRPr="00F904FA" w:rsidRDefault="00576F07" w:rsidP="00576F07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 w:rsidRPr="00F904FA">
        <w:rPr>
          <w:b/>
          <w:color w:val="000000" w:themeColor="text1"/>
        </w:rPr>
        <w:t>Kurs dolara amerykańskiego (w złotych)</w:t>
      </w:r>
      <w:r w:rsidRPr="00F904FA">
        <w:rPr>
          <w:color w:val="000000" w:themeColor="text1"/>
        </w:rPr>
        <w:t xml:space="preserve"> spadł poniżej bardzo ważnego oporu na poziomie 3,9130 zł. z lutego 2009 roku. W tej sytuacji można oczekiwać rozpoczęcia się fali spadków w kierunku linii trendu wzrostowego poprowadzonej przez dołki z lipca 2008 roku oraz czerwca 2014 roku, która aktualnie przebiega na poziomie </w:t>
      </w:r>
      <w:r w:rsidRPr="00F904FA">
        <w:rPr>
          <w:b/>
          <w:color w:val="FF0000"/>
        </w:rPr>
        <w:t>3,10</w:t>
      </w:r>
      <w:r w:rsidRPr="00F904FA">
        <w:rPr>
          <w:color w:val="000000" w:themeColor="text1"/>
        </w:rPr>
        <w:t xml:space="preserve">. Osłabienie kursu dolara amerykańskiego (w złotych) może być związane z napływem kapitału zagranicznego na polski rynek akcji, czemu towarzyszyć może także osłabienie kursów innych walut zagranicznych (w tym jena japońskiego złotych). Mark </w:t>
      </w:r>
      <w:proofErr w:type="spellStart"/>
      <w:r w:rsidRPr="00F904FA">
        <w:rPr>
          <w:color w:val="000000" w:themeColor="text1"/>
        </w:rPr>
        <w:t>Mobius</w:t>
      </w:r>
      <w:proofErr w:type="spellEnd"/>
      <w:r w:rsidRPr="00F904FA">
        <w:rPr>
          <w:color w:val="000000" w:themeColor="text1"/>
        </w:rPr>
        <w:t xml:space="preserve">, szef </w:t>
      </w:r>
      <w:proofErr w:type="spellStart"/>
      <w:r w:rsidRPr="00F904FA">
        <w:rPr>
          <w:color w:val="000000" w:themeColor="text1"/>
        </w:rPr>
        <w:t>Templeton</w:t>
      </w:r>
      <w:proofErr w:type="spellEnd"/>
      <w:r w:rsidRPr="00F904FA">
        <w:rPr>
          <w:color w:val="000000" w:themeColor="text1"/>
        </w:rPr>
        <w:t xml:space="preserve"> </w:t>
      </w:r>
      <w:proofErr w:type="spellStart"/>
      <w:r w:rsidRPr="00F904FA">
        <w:rPr>
          <w:color w:val="000000" w:themeColor="text1"/>
        </w:rPr>
        <w:t>Emerging</w:t>
      </w:r>
      <w:proofErr w:type="spellEnd"/>
      <w:r w:rsidRPr="00F904FA">
        <w:rPr>
          <w:color w:val="000000" w:themeColor="text1"/>
        </w:rPr>
        <w:t xml:space="preserve"> </w:t>
      </w:r>
      <w:proofErr w:type="spellStart"/>
      <w:r w:rsidRPr="00F904FA">
        <w:rPr>
          <w:color w:val="000000" w:themeColor="text1"/>
        </w:rPr>
        <w:t>Markets</w:t>
      </w:r>
      <w:proofErr w:type="spellEnd"/>
      <w:r w:rsidRPr="00F904FA">
        <w:rPr>
          <w:color w:val="000000" w:themeColor="text1"/>
        </w:rPr>
        <w:t xml:space="preserve"> Group powiedział niedawno: ,,</w:t>
      </w:r>
      <w:r w:rsidRPr="00F904FA">
        <w:rPr>
          <w:b/>
          <w:color w:val="000000" w:themeColor="text1"/>
        </w:rPr>
        <w:t>nadszedł czas, aby inwestorzy zaczęli przenosić się z drogiego amerykańskiego rynku akcji na rynki akcji gospodarek wschodzących</w:t>
      </w:r>
      <w:r w:rsidRPr="00F904FA">
        <w:rPr>
          <w:color w:val="000000" w:themeColor="text1"/>
        </w:rPr>
        <w:t>”</w:t>
      </w:r>
    </w:p>
    <w:p w:rsidR="00576F07" w:rsidRPr="00F904FA" w:rsidRDefault="00576F07" w:rsidP="00576F07">
      <w:pPr>
        <w:pStyle w:val="Bezodstpw"/>
        <w:jc w:val="both"/>
        <w:rPr>
          <w:color w:val="000000" w:themeColor="text1"/>
        </w:rPr>
      </w:pPr>
    </w:p>
    <w:p w:rsidR="00576F07" w:rsidRDefault="00576F07" w:rsidP="00576F07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 w:rsidRPr="000F15ED">
        <w:rPr>
          <w:color w:val="000000" w:themeColor="text1"/>
        </w:rPr>
        <w:t xml:space="preserve">W przypadku </w:t>
      </w:r>
      <w:r w:rsidRPr="000F15ED">
        <w:rPr>
          <w:b/>
          <w:color w:val="000000" w:themeColor="text1"/>
        </w:rPr>
        <w:t>kursu euro (w złotych)</w:t>
      </w:r>
      <w:r w:rsidRPr="000F15ED">
        <w:rPr>
          <w:color w:val="000000" w:themeColor="text1"/>
        </w:rPr>
        <w:t xml:space="preserve"> bardzo ważnym poziomem oporu jest poziom 4,3668 (szczyt z czerwca 2013 roku). Po dojściu do tego oporu rozpoczęła się fala spadków w kierunku ważnego wsparcia, którym był dołek z 6 czerwca 2014 roku przebiegający na poziomie  4,092. Najbliższym ważnym wsparciem jest poziom </w:t>
      </w:r>
      <w:r w:rsidRPr="000F15ED">
        <w:rPr>
          <w:b/>
          <w:color w:val="FF0000"/>
        </w:rPr>
        <w:t>3,8932 zł</w:t>
      </w:r>
      <w:r w:rsidRPr="000F15ED">
        <w:rPr>
          <w:color w:val="000000" w:themeColor="text1"/>
        </w:rPr>
        <w:t xml:space="preserve"> (dołek z maja 2011 roku).</w:t>
      </w:r>
    </w:p>
    <w:p w:rsidR="00576F07" w:rsidRPr="000F15ED" w:rsidRDefault="00576F07" w:rsidP="00576F07">
      <w:pPr>
        <w:pStyle w:val="Bezodstpw"/>
        <w:ind w:left="720"/>
        <w:jc w:val="both"/>
        <w:rPr>
          <w:color w:val="000000" w:themeColor="text1"/>
        </w:rPr>
      </w:pPr>
    </w:p>
    <w:p w:rsidR="00576F07" w:rsidRDefault="00576F07" w:rsidP="00576F07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 w:rsidRPr="00F904FA">
        <w:rPr>
          <w:color w:val="000000" w:themeColor="text1"/>
        </w:rPr>
        <w:t xml:space="preserve">Z fundamentalnego punktu widzenia przewidywane w 2015 roku wzrosty indeksów giełdowych opisujących sytuację na polskim rynku akcji mogą być przejawem </w:t>
      </w:r>
      <w:r w:rsidRPr="00F904FA">
        <w:rPr>
          <w:b/>
          <w:color w:val="000000" w:themeColor="text1"/>
        </w:rPr>
        <w:t>dyskontowania przez uczestników polskiego rynku akcji ożywienia gospodarczego w Polsce, które</w:t>
      </w:r>
      <w:r w:rsidRPr="00F904FA">
        <w:rPr>
          <w:color w:val="000000" w:themeColor="text1"/>
        </w:rPr>
        <w:t xml:space="preserve"> (zgodnie z np. prognozami analityków NBP, Instytutu Badań nad Gospodarką Rynkową, czy też np. banku inwestycyjnego Morgan Stanley) </w:t>
      </w:r>
      <w:r w:rsidRPr="00F904FA">
        <w:rPr>
          <w:b/>
          <w:color w:val="000000" w:themeColor="text1"/>
        </w:rPr>
        <w:t>powinno nastąpić w 2016 roku</w:t>
      </w:r>
      <w:r w:rsidRPr="00F904FA">
        <w:rPr>
          <w:color w:val="000000" w:themeColor="text1"/>
        </w:rPr>
        <w:t xml:space="preserve"> (kiedy to zdaniem, wyżej wymienionych analityków można oczekiwać, wedle wyżej wymienionych prognoz przyspieszenia realnego wzrostu PKB. </w:t>
      </w:r>
    </w:p>
    <w:p w:rsidR="00576F07" w:rsidRDefault="00576F07" w:rsidP="00576F07">
      <w:pPr>
        <w:pStyle w:val="Bezodstpw"/>
        <w:jc w:val="both"/>
        <w:rPr>
          <w:color w:val="000000" w:themeColor="text1"/>
        </w:rPr>
      </w:pPr>
    </w:p>
    <w:p w:rsidR="00576F07" w:rsidRPr="003B6DBF" w:rsidRDefault="00576F07" w:rsidP="00576F07">
      <w:pPr>
        <w:pStyle w:val="Bezodstpw"/>
        <w:numPr>
          <w:ilvl w:val="0"/>
          <w:numId w:val="1"/>
        </w:numPr>
        <w:jc w:val="both"/>
        <w:rPr>
          <w:b/>
          <w:color w:val="000000" w:themeColor="text1"/>
        </w:rPr>
      </w:pPr>
      <w:r w:rsidRPr="005D10A9">
        <w:rPr>
          <w:color w:val="000000" w:themeColor="text1"/>
        </w:rPr>
        <w:t>Indeks</w:t>
      </w:r>
      <w:r>
        <w:rPr>
          <w:color w:val="000000" w:themeColor="text1"/>
        </w:rPr>
        <w:t xml:space="preserve"> WIG 20 w poprzednim tygodniu stracił na wartości, co można wiązać m.in. ze spadkiem cen kontraktów terminowych na miedź. </w:t>
      </w:r>
      <w:r w:rsidRPr="0033685F">
        <w:rPr>
          <w:color w:val="000000" w:themeColor="text1"/>
        </w:rPr>
        <w:t xml:space="preserve">że w krótkim okresie ważnym wsparciem na wykresie indeksu WIG20 jest wzrostowa linia trendu poprowadzona przez dołki z 20 stycznia i 13 marca 2015 roku, która przebiega aktualnie na poziomie około </w:t>
      </w:r>
      <w:r w:rsidRPr="003B6DBF">
        <w:rPr>
          <w:b/>
          <w:color w:val="000000" w:themeColor="text1"/>
        </w:rPr>
        <w:t>2 390 punktów.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1 czerwca 2015 r.</w:t>
      </w:r>
    </w:p>
    <w:p w:rsidR="00576F07" w:rsidRDefault="00576F07" w:rsidP="00576F07">
      <w:pPr>
        <w:pStyle w:val="Bezodstpw"/>
        <w:ind w:left="720"/>
        <w:jc w:val="both"/>
      </w:pPr>
    </w:p>
    <w:p w:rsidR="00576F07" w:rsidRDefault="00576F07" w:rsidP="00576F07">
      <w:pPr>
        <w:pStyle w:val="Bezodstpw"/>
        <w:jc w:val="both"/>
      </w:pPr>
      <w:r>
        <w:t xml:space="preserve">Powyższy raport stanowi wyłącznie wyraz osobistych opinii autora. 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Treści zawarte na stronie internetowej </w:t>
      </w:r>
      <w:hyperlink r:id="rId25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6" w:history="1">
        <w:r w:rsidRPr="00093965">
          <w:rPr>
            <w:rStyle w:val="Hipercze"/>
          </w:rPr>
          <w:t>www.analizy-rynkowe.pl</w:t>
        </w:r>
      </w:hyperlink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</w:p>
    <w:p w:rsidR="00576F07" w:rsidRDefault="00576F07" w:rsidP="00576F07">
      <w:pPr>
        <w:pStyle w:val="Bezodstpw"/>
        <w:jc w:val="both"/>
      </w:pPr>
    </w:p>
    <w:sectPr w:rsidR="00576F07" w:rsidSect="0073675B">
      <w:footerReference w:type="default" r:id="rId2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00" w:rsidRDefault="00DB2200" w:rsidP="00ED6008">
      <w:pPr>
        <w:spacing w:after="0" w:line="240" w:lineRule="auto"/>
      </w:pPr>
      <w:r>
        <w:separator/>
      </w:r>
    </w:p>
  </w:endnote>
  <w:endnote w:type="continuationSeparator" w:id="0">
    <w:p w:rsidR="00DB2200" w:rsidRDefault="00DB2200" w:rsidP="00ED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73675B" w:rsidRDefault="00C22591">
        <w:pPr>
          <w:pStyle w:val="Stopka"/>
          <w:jc w:val="center"/>
        </w:pPr>
        <w:r>
          <w:fldChar w:fldCharType="begin"/>
        </w:r>
        <w:r w:rsidR="00576F07">
          <w:instrText>PAGE   \* MERGEFORMAT</w:instrText>
        </w:r>
        <w:r>
          <w:fldChar w:fldCharType="separate"/>
        </w:r>
        <w:r w:rsidR="00881A91">
          <w:rPr>
            <w:noProof/>
          </w:rPr>
          <w:t>5</w:t>
        </w:r>
        <w:r>
          <w:fldChar w:fldCharType="end"/>
        </w:r>
      </w:p>
    </w:sdtContent>
  </w:sdt>
  <w:p w:rsidR="0073675B" w:rsidRDefault="00DB22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00" w:rsidRDefault="00DB2200" w:rsidP="00ED6008">
      <w:pPr>
        <w:spacing w:after="0" w:line="240" w:lineRule="auto"/>
      </w:pPr>
      <w:r>
        <w:separator/>
      </w:r>
    </w:p>
  </w:footnote>
  <w:footnote w:type="continuationSeparator" w:id="0">
    <w:p w:rsidR="00DB2200" w:rsidRDefault="00DB2200" w:rsidP="00ED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7"/>
    <w:rsid w:val="000B315D"/>
    <w:rsid w:val="00100B2B"/>
    <w:rsid w:val="00167350"/>
    <w:rsid w:val="001831F6"/>
    <w:rsid w:val="0024153D"/>
    <w:rsid w:val="003A2025"/>
    <w:rsid w:val="004C1B91"/>
    <w:rsid w:val="00573022"/>
    <w:rsid w:val="00576F07"/>
    <w:rsid w:val="006F0F0C"/>
    <w:rsid w:val="00724DEE"/>
    <w:rsid w:val="00881A91"/>
    <w:rsid w:val="00C12733"/>
    <w:rsid w:val="00C22591"/>
    <w:rsid w:val="00C66128"/>
    <w:rsid w:val="00DB2200"/>
    <w:rsid w:val="00ED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F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6F07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F0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76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07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76F0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wydi\Moje%20dokumenty\EFEKT-MALYCH-SPOL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7"/>
  <c:chart>
    <c:title>
      <c:tx>
        <c:rich>
          <a:bodyPr/>
          <a:lstStyle/>
          <a:p>
            <a:pPr>
              <a:defRPr/>
            </a:pPr>
            <a:r>
              <a:rPr lang="pl-PL"/>
              <a:t>Porównanie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Arkusz1!$A$1</c:f>
              <c:strCache>
                <c:ptCount val="1"/>
                <c:pt idx="0">
                  <c:v>Wykres do przemyślenia</c:v>
                </c:pt>
              </c:strCache>
            </c:strRef>
          </c:tx>
          <c:val>
            <c:numRef>
              <c:f>Arkusz1!$B$1</c:f>
              <c:numCache>
                <c:formatCode>0.0</c:formatCode>
                <c:ptCount val="1"/>
                <c:pt idx="0">
                  <c:v>22.6</c:v>
                </c:pt>
              </c:numCache>
            </c:numRef>
          </c:val>
        </c:ser>
        <c:ser>
          <c:idx val="1"/>
          <c:order val="1"/>
          <c:tx>
            <c:strRef>
              <c:f>Arkusz1!$A$2</c:f>
              <c:strCache>
                <c:ptCount val="1"/>
                <c:pt idx="0">
                  <c:v>WIG20</c:v>
                </c:pt>
              </c:strCache>
            </c:strRef>
          </c:tx>
          <c:val>
            <c:numRef>
              <c:f>Arkusz1!$B$2</c:f>
              <c:numCache>
                <c:formatCode>0.0</c:formatCode>
                <c:ptCount val="1"/>
                <c:pt idx="0">
                  <c:v>-2.8</c:v>
                </c:pt>
              </c:numCache>
            </c:numRef>
          </c:val>
        </c:ser>
        <c:dLbls>
          <c:showVal val="1"/>
        </c:dLbls>
        <c:overlap val="-25"/>
        <c:axId val="83304448"/>
        <c:axId val="83305984"/>
      </c:barChart>
      <c:catAx>
        <c:axId val="8330444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83305984"/>
        <c:crosses val="autoZero"/>
        <c:auto val="1"/>
        <c:lblAlgn val="ctr"/>
        <c:lblOffset val="100"/>
      </c:catAx>
      <c:valAx>
        <c:axId val="8330598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8330444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2784</Words>
  <Characters>16704</Characters>
  <Application>Microsoft Office Word</Application>
  <DocSecurity>0</DocSecurity>
  <Lines>139</Lines>
  <Paragraphs>38</Paragraphs>
  <ScaleCrop>false</ScaleCrop>
  <Company/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8</cp:revision>
  <dcterms:created xsi:type="dcterms:W3CDTF">2015-05-31T14:30:00Z</dcterms:created>
  <dcterms:modified xsi:type="dcterms:W3CDTF">2015-05-31T14:51:00Z</dcterms:modified>
</cp:coreProperties>
</file>