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70" w:rsidRPr="00C16D3A" w:rsidRDefault="00FA7870" w:rsidP="00FA7870">
      <w:pPr>
        <w:pStyle w:val="Bezodstpw"/>
        <w:jc w:val="center"/>
        <w:rPr>
          <w:shadow/>
          <w:color w:val="FF0000"/>
          <w:sz w:val="180"/>
          <w:szCs w:val="180"/>
        </w:rPr>
      </w:pPr>
      <w:r w:rsidRPr="00C16D3A">
        <w:rPr>
          <w:shadow/>
          <w:color w:val="FF0000"/>
          <w:sz w:val="180"/>
          <w:szCs w:val="180"/>
        </w:rPr>
        <w:t>Raport</w:t>
      </w:r>
    </w:p>
    <w:p w:rsidR="00FA7870" w:rsidRDefault="00FA7870" w:rsidP="00FA7870">
      <w:pPr>
        <w:pStyle w:val="Bezodstpw"/>
        <w:jc w:val="center"/>
        <w:rPr>
          <w:shadow/>
          <w:color w:val="FF0000"/>
          <w:sz w:val="180"/>
          <w:szCs w:val="180"/>
        </w:rPr>
      </w:pPr>
      <w:r w:rsidRPr="00C16D3A">
        <w:rPr>
          <w:shadow/>
          <w:color w:val="FF0000"/>
          <w:sz w:val="180"/>
          <w:szCs w:val="180"/>
        </w:rPr>
        <w:t>Tygodniowy</w:t>
      </w:r>
    </w:p>
    <w:p w:rsidR="00FA7870" w:rsidRPr="00BB2EC3" w:rsidRDefault="00FA7870" w:rsidP="00FA7870">
      <w:pPr>
        <w:pStyle w:val="Bezodstpw"/>
        <w:jc w:val="center"/>
        <w:rPr>
          <w:shadow/>
          <w:color w:val="FF0000"/>
          <w:sz w:val="100"/>
          <w:szCs w:val="100"/>
        </w:rPr>
      </w:pPr>
      <w:r w:rsidRPr="00BB2EC3">
        <w:rPr>
          <w:shadow/>
          <w:color w:val="FF0000"/>
          <w:sz w:val="100"/>
          <w:szCs w:val="100"/>
        </w:rPr>
        <w:t>o sytuacji na</w:t>
      </w:r>
    </w:p>
    <w:p w:rsidR="00FA7870" w:rsidRPr="00BB2EC3" w:rsidRDefault="00FA7870" w:rsidP="00FA7870">
      <w:pPr>
        <w:pStyle w:val="Bezodstpw"/>
        <w:jc w:val="center"/>
        <w:rPr>
          <w:shadow/>
          <w:color w:val="FF0000"/>
          <w:sz w:val="100"/>
          <w:szCs w:val="100"/>
        </w:rPr>
      </w:pPr>
      <w:r w:rsidRPr="00BB2EC3">
        <w:rPr>
          <w:shadow/>
          <w:color w:val="FF0000"/>
          <w:sz w:val="100"/>
          <w:szCs w:val="100"/>
        </w:rPr>
        <w:t>rynkach finansowych</w:t>
      </w:r>
    </w:p>
    <w:p w:rsidR="00FA7870" w:rsidRPr="00400806" w:rsidRDefault="00FA7870" w:rsidP="00FA7870">
      <w:pPr>
        <w:pStyle w:val="Bezodstpw"/>
        <w:jc w:val="center"/>
        <w:rPr>
          <w:sz w:val="48"/>
          <w:szCs w:val="48"/>
        </w:rPr>
      </w:pPr>
    </w:p>
    <w:p w:rsidR="00FA7870" w:rsidRDefault="00FA7870" w:rsidP="00FA7870">
      <w:pPr>
        <w:pStyle w:val="Bezodstpw"/>
        <w:jc w:val="center"/>
        <w:rPr>
          <w:sz w:val="48"/>
          <w:szCs w:val="48"/>
        </w:rPr>
      </w:pPr>
    </w:p>
    <w:p w:rsidR="00FA7870" w:rsidRPr="009A4255" w:rsidRDefault="00FA7870" w:rsidP="00FA7870">
      <w:pPr>
        <w:pStyle w:val="Bezodstpw"/>
        <w:jc w:val="center"/>
        <w:rPr>
          <w:shadow/>
          <w:sz w:val="100"/>
          <w:szCs w:val="100"/>
          <w:u w:val="single"/>
        </w:rPr>
      </w:pPr>
      <w:r w:rsidRPr="009A4255">
        <w:rPr>
          <w:shadow/>
          <w:sz w:val="100"/>
          <w:szCs w:val="100"/>
          <w:u w:val="single"/>
        </w:rPr>
        <w:t>Rynek walutowy</w:t>
      </w:r>
    </w:p>
    <w:p w:rsidR="00FA7870" w:rsidRPr="009A4255" w:rsidRDefault="00FA7870" w:rsidP="00FA7870">
      <w:pPr>
        <w:pStyle w:val="Bezodstpw"/>
        <w:jc w:val="center"/>
        <w:rPr>
          <w:shadow/>
          <w:sz w:val="100"/>
          <w:szCs w:val="100"/>
        </w:rPr>
      </w:pPr>
    </w:p>
    <w:p w:rsidR="00FA7870" w:rsidRPr="009A4255" w:rsidRDefault="00FA7870" w:rsidP="00FA7870">
      <w:pPr>
        <w:pStyle w:val="Bezodstpw"/>
        <w:jc w:val="center"/>
        <w:rPr>
          <w:shadow/>
          <w:sz w:val="100"/>
          <w:szCs w:val="100"/>
          <w:u w:val="single"/>
        </w:rPr>
      </w:pPr>
      <w:r w:rsidRPr="009A4255">
        <w:rPr>
          <w:shadow/>
          <w:sz w:val="100"/>
          <w:szCs w:val="100"/>
          <w:u w:val="single"/>
        </w:rPr>
        <w:t>Rynek akcji</w:t>
      </w:r>
    </w:p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jc w:val="both"/>
        <w:rPr>
          <w:shadow/>
          <w:sz w:val="24"/>
          <w:szCs w:val="24"/>
        </w:rPr>
      </w:pPr>
      <w:r w:rsidRPr="00D72F94">
        <w:rPr>
          <w:shadow/>
          <w:sz w:val="24"/>
          <w:szCs w:val="24"/>
        </w:rPr>
        <w:lastRenderedPageBreak/>
        <w:t xml:space="preserve">Poniedziałek, </w:t>
      </w:r>
      <w:r>
        <w:rPr>
          <w:shadow/>
          <w:sz w:val="24"/>
          <w:szCs w:val="24"/>
        </w:rPr>
        <w:t xml:space="preserve">27 kwietnia </w:t>
      </w:r>
      <w:r w:rsidRPr="00D72F94">
        <w:rPr>
          <w:shadow/>
          <w:sz w:val="24"/>
          <w:szCs w:val="24"/>
        </w:rPr>
        <w:t>201</w:t>
      </w:r>
      <w:r>
        <w:rPr>
          <w:shadow/>
          <w:sz w:val="24"/>
          <w:szCs w:val="24"/>
        </w:rPr>
        <w:t>5</w:t>
      </w:r>
      <w:r w:rsidRPr="00D72F94">
        <w:rPr>
          <w:shadow/>
          <w:sz w:val="24"/>
          <w:szCs w:val="24"/>
        </w:rPr>
        <w:t xml:space="preserve"> roku</w:t>
      </w:r>
    </w:p>
    <w:p w:rsidR="00FB744D" w:rsidRPr="00D72F94" w:rsidRDefault="00FB744D" w:rsidP="00FA7870">
      <w:pPr>
        <w:pStyle w:val="Bezodstpw"/>
        <w:jc w:val="both"/>
        <w:rPr>
          <w:shadow/>
          <w:sz w:val="24"/>
          <w:szCs w:val="24"/>
        </w:rPr>
      </w:pPr>
    </w:p>
    <w:p w:rsidR="00FA7870" w:rsidRDefault="00FA7870" w:rsidP="00FA7870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Kurs USD/PLN – perspektywa długoterminowa, kurs z 24 kwietnia 2015 roku = 3,7160</w:t>
      </w:r>
    </w:p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1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870" w:rsidRDefault="00FA7870" w:rsidP="00FA7870">
      <w:pPr>
        <w:pStyle w:val="Bezodstpw"/>
        <w:jc w:val="both"/>
      </w:pPr>
      <w:r>
        <w:t xml:space="preserve">Kurs spadł poniżej bardzo ważnego oporu na poziomie 3,9130 zł. z lutego 2009 roku. </w:t>
      </w:r>
      <w:r w:rsidRPr="004505AC">
        <w:rPr>
          <w:u w:val="single"/>
        </w:rPr>
        <w:t xml:space="preserve">W tej sytuacji </w:t>
      </w:r>
      <w:r>
        <w:t>m</w:t>
      </w:r>
      <w:r w:rsidRPr="006E1995">
        <w:t>ożna</w:t>
      </w:r>
      <w:r w:rsidRPr="006E1995">
        <w:rPr>
          <w:u w:val="single"/>
        </w:rPr>
        <w:t xml:space="preserve"> </w:t>
      </w:r>
      <w:r w:rsidRPr="00220F89">
        <w:rPr>
          <w:b/>
          <w:u w:val="single"/>
        </w:rPr>
        <w:t>oczekiwać rozpoczęcia</w:t>
      </w:r>
      <w:r>
        <w:rPr>
          <w:b/>
          <w:u w:val="single"/>
        </w:rPr>
        <w:t xml:space="preserve"> się fali</w:t>
      </w:r>
      <w:r w:rsidRPr="00F1241D">
        <w:rPr>
          <w:b/>
          <w:u w:val="single"/>
        </w:rPr>
        <w:t xml:space="preserve"> spadków</w:t>
      </w:r>
      <w:r>
        <w:t xml:space="preserve"> w kierunku linii trendu wzrostowego poprowadzonej przez dołki z lipca 2008 roku oraz czerwca 2014 roku, która aktualnie przebiega na poziomie </w:t>
      </w:r>
      <w:r w:rsidRPr="00550E2A">
        <w:rPr>
          <w:b/>
          <w:color w:val="FF0000"/>
        </w:rPr>
        <w:t>3,10.</w:t>
      </w:r>
      <w:r>
        <w:t xml:space="preserve"> </w:t>
      </w:r>
    </w:p>
    <w:p w:rsidR="00FA7870" w:rsidRDefault="00FA7870" w:rsidP="00FA7870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Kurs EUR/PLN – perspektywa długoterminowa, kurs z 24 kwietnia 2015 roku = 4,0377</w:t>
      </w:r>
    </w:p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1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jc w:val="both"/>
        <w:rPr>
          <w:color w:val="000000" w:themeColor="text1"/>
        </w:rPr>
      </w:pPr>
      <w:r>
        <w:t xml:space="preserve">Aktywność strony podażowej doprowadziła do przebicia od góry spadkowej linii trendu poprowadzonej przez szczyty z lutego 2009 roku oraz grudnia 2011 roku. Bardzo ważnym poziomem oporu był poziom </w:t>
      </w:r>
      <w:r w:rsidRPr="00411E48">
        <w:rPr>
          <w:b/>
          <w:color w:val="000000" w:themeColor="text1"/>
        </w:rPr>
        <w:t>4,3668</w:t>
      </w:r>
      <w:r>
        <w:t xml:space="preserve"> (szczyt z czerwca 2013 roku). Po dojściu do tego oporu </w:t>
      </w:r>
      <w:r w:rsidRPr="00220F89">
        <w:rPr>
          <w:b/>
          <w:u w:val="single"/>
        </w:rPr>
        <w:t>rozpoczęła się</w:t>
      </w:r>
      <w:r>
        <w:t xml:space="preserve"> </w:t>
      </w:r>
      <w:r>
        <w:rPr>
          <w:b/>
          <w:u w:val="single"/>
        </w:rPr>
        <w:t>fala</w:t>
      </w:r>
      <w:r w:rsidRPr="00F1241D">
        <w:rPr>
          <w:b/>
          <w:u w:val="single"/>
        </w:rPr>
        <w:t xml:space="preserve"> spadków</w:t>
      </w:r>
      <w:r>
        <w:t xml:space="preserve"> w kierunku ważnego wsparcia, którym był </w:t>
      </w:r>
      <w:r w:rsidRPr="007A3616">
        <w:t>dołek z 6 czerwca 2014 roku</w:t>
      </w:r>
      <w:r>
        <w:t xml:space="preserve"> przebiegający na poziomie </w:t>
      </w:r>
      <w:r w:rsidRPr="007A3616">
        <w:t xml:space="preserve"> </w:t>
      </w:r>
      <w:r w:rsidRPr="00FE7318">
        <w:rPr>
          <w:b/>
          <w:color w:val="000000" w:themeColor="text1"/>
        </w:rPr>
        <w:t>4</w:t>
      </w:r>
      <w:r w:rsidRPr="0021188E">
        <w:rPr>
          <w:b/>
          <w:color w:val="000000" w:themeColor="text1"/>
        </w:rPr>
        <w:t>,092.</w:t>
      </w:r>
      <w:r>
        <w:rPr>
          <w:b/>
          <w:color w:val="FF0000"/>
        </w:rPr>
        <w:t xml:space="preserve"> </w:t>
      </w:r>
      <w:r w:rsidRPr="009D3063">
        <w:rPr>
          <w:color w:val="000000" w:themeColor="text1"/>
        </w:rPr>
        <w:t>Pokonane zostało od dołu wsparcie na poziomie</w:t>
      </w:r>
      <w:r>
        <w:rPr>
          <w:b/>
          <w:color w:val="FF0000"/>
        </w:rPr>
        <w:t xml:space="preserve"> </w:t>
      </w:r>
      <w:r w:rsidRPr="00FE7318">
        <w:rPr>
          <w:b/>
          <w:color w:val="FF0000"/>
        </w:rPr>
        <w:t>4,0</w:t>
      </w:r>
      <w:r>
        <w:rPr>
          <w:b/>
          <w:color w:val="FF0000"/>
        </w:rPr>
        <w:t xml:space="preserve">264 </w:t>
      </w:r>
      <w:r w:rsidRPr="00507FD9">
        <w:rPr>
          <w:color w:val="000000" w:themeColor="text1"/>
        </w:rPr>
        <w:t>(dołek z 10 sierpnia 2012 roku).</w:t>
      </w:r>
      <w:r>
        <w:rPr>
          <w:color w:val="000000" w:themeColor="text1"/>
        </w:rPr>
        <w:t xml:space="preserve"> Kolejnym wsparciem jest poziom </w:t>
      </w:r>
      <w:r w:rsidRPr="009D3063">
        <w:rPr>
          <w:b/>
          <w:color w:val="FF0000"/>
        </w:rPr>
        <w:t>3,8932 zł</w:t>
      </w:r>
      <w:r>
        <w:rPr>
          <w:color w:val="000000" w:themeColor="text1"/>
        </w:rPr>
        <w:t xml:space="preserve"> (dołek z maja 2011 roku). </w:t>
      </w:r>
    </w:p>
    <w:p w:rsidR="00FA7870" w:rsidRDefault="00FA7870" w:rsidP="00FA7870">
      <w:pPr>
        <w:pStyle w:val="Bezodstpw"/>
        <w:jc w:val="both"/>
        <w:rPr>
          <w:color w:val="000000" w:themeColor="text1"/>
        </w:rPr>
      </w:pPr>
    </w:p>
    <w:p w:rsidR="00FA7870" w:rsidRDefault="00FA7870" w:rsidP="00FA7870">
      <w:pPr>
        <w:pStyle w:val="Bezodstpw"/>
        <w:jc w:val="both"/>
        <w:rPr>
          <w:color w:val="000000" w:themeColor="text1"/>
        </w:rPr>
      </w:pPr>
    </w:p>
    <w:p w:rsidR="00FA7870" w:rsidRDefault="00FA7870" w:rsidP="00FA7870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</w:rPr>
      </w:pPr>
      <w:r>
        <w:rPr>
          <w:color w:val="000000" w:themeColor="text1"/>
        </w:rPr>
        <w:t>Pęk średnich – siła względna WIG20 / euro (w złotych)</w:t>
      </w:r>
    </w:p>
    <w:p w:rsidR="00FA7870" w:rsidRDefault="00FA7870" w:rsidP="00FA7870">
      <w:pPr>
        <w:pStyle w:val="Bezodstpw"/>
        <w:jc w:val="both"/>
        <w:rPr>
          <w:color w:val="000000" w:themeColor="text1"/>
        </w:rPr>
      </w:pPr>
    </w:p>
    <w:p w:rsidR="00FA7870" w:rsidRDefault="00FA7870" w:rsidP="00FA7870">
      <w:pPr>
        <w:pStyle w:val="Bezodstpw"/>
        <w:jc w:val="both"/>
        <w:rPr>
          <w:color w:val="000000" w:themeColor="text1"/>
        </w:rPr>
      </w:pPr>
      <w:r>
        <w:rPr>
          <w:color w:val="000000" w:themeColor="text1"/>
        </w:rPr>
        <w:t xml:space="preserve">Przewidywane osłabienia kursów walut zagranicznych (czyli umocnienie złotego) może być związane między innymi  z napływem kapitału zagranicznego na polski rynek akcji. </w:t>
      </w:r>
    </w:p>
    <w:p w:rsidR="00FA7870" w:rsidRDefault="00FA7870" w:rsidP="00FA7870">
      <w:pPr>
        <w:pStyle w:val="Bezodstpw"/>
        <w:jc w:val="both"/>
        <w:rPr>
          <w:color w:val="000000" w:themeColor="text1"/>
        </w:rPr>
      </w:pPr>
    </w:p>
    <w:p w:rsidR="00FA7870" w:rsidRDefault="00FA7870" w:rsidP="00FA7870">
      <w:pPr>
        <w:pStyle w:val="Bezodstpw"/>
        <w:jc w:val="both"/>
        <w:rPr>
          <w:color w:val="000000" w:themeColor="text1"/>
        </w:rPr>
      </w:pPr>
      <w:r>
        <w:rPr>
          <w:color w:val="000000" w:themeColor="text1"/>
        </w:rPr>
        <w:t xml:space="preserve">Aby przekonać się o charakterze powiązań pomiędzy zachowaniem indeksu giełdowego WIG20 a zachowaniem kursu euro (w złotych) warto prześledzić wykres siły względnej WIG20/euro (w złotych). </w:t>
      </w:r>
    </w:p>
    <w:p w:rsidR="00FA7870" w:rsidRDefault="00FA7870" w:rsidP="00FA7870">
      <w:pPr>
        <w:pStyle w:val="Bezodstpw"/>
        <w:jc w:val="both"/>
        <w:rPr>
          <w:color w:val="000000" w:themeColor="text1"/>
        </w:rPr>
      </w:pPr>
    </w:p>
    <w:p w:rsidR="00FA7870" w:rsidRPr="00696C65" w:rsidRDefault="00FA7870" w:rsidP="00FA7870">
      <w:pPr>
        <w:pStyle w:val="Bezodstpw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Szczególne znaczenie ma w tym kontekście wykres owej siły sporządzony w oparciu </w:t>
      </w:r>
      <w:r w:rsidRPr="00696C65">
        <w:rPr>
          <w:b/>
          <w:color w:val="000000" w:themeColor="text1"/>
        </w:rPr>
        <w:t xml:space="preserve">o dane tygodniowe. </w:t>
      </w:r>
    </w:p>
    <w:p w:rsidR="00FA7870" w:rsidRDefault="00FA7870" w:rsidP="00FA7870">
      <w:pPr>
        <w:pStyle w:val="Bezodstpw"/>
        <w:jc w:val="both"/>
        <w:rPr>
          <w:color w:val="000000" w:themeColor="text1"/>
        </w:rPr>
      </w:pPr>
    </w:p>
    <w:p w:rsidR="00FA7870" w:rsidRDefault="00FA7870" w:rsidP="00FA7870">
      <w:pPr>
        <w:pStyle w:val="Bezodstpw"/>
        <w:jc w:val="both"/>
        <w:rPr>
          <w:color w:val="000000" w:themeColor="text1"/>
        </w:rPr>
      </w:pPr>
      <w:r w:rsidRPr="00696C65">
        <w:rPr>
          <w:noProof/>
          <w:color w:val="000000" w:themeColor="text1"/>
        </w:rPr>
        <w:drawing>
          <wp:inline distT="0" distB="0" distL="0" distR="0">
            <wp:extent cx="3629025" cy="2181225"/>
            <wp:effectExtent l="19050" t="0" r="9525" b="0"/>
            <wp:docPr id="1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870" w:rsidRDefault="00FA7870" w:rsidP="00FA7870">
      <w:pPr>
        <w:pStyle w:val="Bezodstpw"/>
        <w:jc w:val="both"/>
        <w:rPr>
          <w:color w:val="000000" w:themeColor="text1"/>
        </w:rPr>
      </w:pPr>
    </w:p>
    <w:p w:rsidR="00FA7870" w:rsidRDefault="00FA7870" w:rsidP="00FA7870">
      <w:pPr>
        <w:pStyle w:val="Bezodstpw"/>
        <w:jc w:val="both"/>
        <w:rPr>
          <w:color w:val="000000" w:themeColor="text1"/>
        </w:rPr>
      </w:pPr>
      <w:r>
        <w:rPr>
          <w:color w:val="000000" w:themeColor="text1"/>
        </w:rPr>
        <w:t>Na tym wykresie zaznaczyłem 3 średnie ruchome: średnią z 45 tygodni (średnia różowa), średnią ze 100 tygodni (średnia żółta) oraz średnią z 200 tygodni (średnia niebieska). W lutym 2015 roku n</w:t>
      </w:r>
      <w:r w:rsidRPr="00696C65">
        <w:rPr>
          <w:color w:val="000000" w:themeColor="text1"/>
        </w:rPr>
        <w:t xml:space="preserve">astąpiło bardzo silne zbliżenie do siebie </w:t>
      </w:r>
      <w:r>
        <w:rPr>
          <w:color w:val="000000" w:themeColor="text1"/>
        </w:rPr>
        <w:t xml:space="preserve">tych 3 </w:t>
      </w:r>
      <w:r w:rsidRPr="00696C65">
        <w:rPr>
          <w:color w:val="000000" w:themeColor="text1"/>
        </w:rPr>
        <w:t>średnich ruchomych (zjawisko to zaprezentowane jest w zielonej elipsie na wykresie</w:t>
      </w:r>
      <w:r>
        <w:rPr>
          <w:color w:val="000000" w:themeColor="text1"/>
        </w:rPr>
        <w:t xml:space="preserve"> dolnym</w:t>
      </w:r>
      <w:r w:rsidRPr="00696C65">
        <w:rPr>
          <w:color w:val="000000" w:themeColor="text1"/>
        </w:rPr>
        <w:t xml:space="preserve">). </w:t>
      </w:r>
    </w:p>
    <w:p w:rsidR="00FA7870" w:rsidRDefault="00FA7870" w:rsidP="00FA7870">
      <w:pPr>
        <w:pStyle w:val="Bezodstpw"/>
        <w:jc w:val="both"/>
        <w:rPr>
          <w:color w:val="000000" w:themeColor="text1"/>
        </w:rPr>
      </w:pPr>
    </w:p>
    <w:p w:rsidR="00FA7870" w:rsidRPr="00696C65" w:rsidRDefault="00FA7870" w:rsidP="00FA7870">
      <w:pPr>
        <w:pStyle w:val="Bezodstpw"/>
        <w:jc w:val="both"/>
        <w:rPr>
          <w:b/>
          <w:color w:val="000000" w:themeColor="text1"/>
        </w:rPr>
      </w:pPr>
      <w:r w:rsidRPr="00696C65">
        <w:rPr>
          <w:color w:val="000000" w:themeColor="text1"/>
        </w:rPr>
        <w:t xml:space="preserve">Zjawisko to nazywane jest </w:t>
      </w:r>
      <w:r w:rsidRPr="00696C65">
        <w:rPr>
          <w:b/>
          <w:color w:val="000000" w:themeColor="text1"/>
        </w:rPr>
        <w:t xml:space="preserve">pękiem średnich. </w:t>
      </w:r>
    </w:p>
    <w:p w:rsidR="00FA7870" w:rsidRDefault="00FA7870" w:rsidP="00FA7870">
      <w:pPr>
        <w:pStyle w:val="Bezodstpw"/>
        <w:jc w:val="both"/>
        <w:rPr>
          <w:color w:val="000000" w:themeColor="text1"/>
        </w:rPr>
      </w:pPr>
    </w:p>
    <w:p w:rsidR="00FA7870" w:rsidRDefault="00FA7870" w:rsidP="00FA7870">
      <w:pPr>
        <w:pStyle w:val="Bezodstpw"/>
        <w:jc w:val="both"/>
        <w:rPr>
          <w:color w:val="000000" w:themeColor="text1"/>
        </w:rPr>
      </w:pPr>
      <w:r w:rsidRPr="00BD7DC3">
        <w:rPr>
          <w:b/>
          <w:color w:val="000000" w:themeColor="text1"/>
          <w:u w:val="single"/>
        </w:rPr>
        <w:t>Pojawienie się pęku średnich zapowiada bardzo często silny ruch na wykresie</w:t>
      </w:r>
      <w:r>
        <w:rPr>
          <w:color w:val="000000" w:themeColor="text1"/>
        </w:rPr>
        <w:t xml:space="preserve">. Bardzo możliwe, że będzie to ruch w górę (któremu towarzyszyć będą wzrost indeksu WIG 20 oraz osłabienie kursu euro (w złotych). </w:t>
      </w:r>
    </w:p>
    <w:p w:rsidR="00FA7870" w:rsidRDefault="00FA7870" w:rsidP="00FA7870">
      <w:pPr>
        <w:pStyle w:val="Bezodstpw"/>
        <w:jc w:val="both"/>
        <w:rPr>
          <w:color w:val="000000" w:themeColor="text1"/>
        </w:rPr>
      </w:pPr>
    </w:p>
    <w:p w:rsidR="00FA7870" w:rsidRDefault="00FA7870" w:rsidP="00FA7870">
      <w:pPr>
        <w:pStyle w:val="Bezodstpw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629025" cy="2181225"/>
            <wp:effectExtent l="19050" t="0" r="9525" b="0"/>
            <wp:docPr id="1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Jeszcze raz o ,,spaleniu” formacji podwójnego szczytu</w:t>
      </w:r>
    </w:p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jc w:val="both"/>
      </w:pPr>
      <w:r>
        <w:t xml:space="preserve">Wielokrotnie w swoich publikacjach na tej stronie internetowej wspominałem o tak zwanym ,,spaleniu” formacji podwójnego szczytu. Dziś powrócę do tego zagadnienia. </w:t>
      </w:r>
    </w:p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jc w:val="both"/>
      </w:pPr>
      <w:r>
        <w:t>Jednymi z najbardziej popularnych formacji zmiany trendu są: formacja podwójnego dna oraz formacja podwójnego szczytu. Minimalnym zadaniem formacji podwójnego dna jest jej wypełnienie się. Także wypełnienie się jest minimalnym zadaniem formacji podwójnego szczytu.</w:t>
      </w:r>
    </w:p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jc w:val="both"/>
      </w:pPr>
      <w:r>
        <w:t>Maksymalnym zadaniem formacji podwójnego dna jest zmiana trendu spadkowego na wzrostowy. Maksymalnym zadaniem formacji podwójnego szczytu jest z kolei zmiana trendu ze wzrostowego na spadkowy.</w:t>
      </w:r>
    </w:p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jc w:val="both"/>
      </w:pPr>
      <w:r>
        <w:t>Zdarza się czasem, że kurs po wybiciu z formacji podwójnego dna początkowo rośnie, ale wkrótce zaczyna spadać. Kiedy spadnie poniżej poziomu niższego dołka tej formacji mamy do czynienia z tak zwanym  ,,spaleniem” formacji podwójnego dna. Powstaje wówczas bardzo silny sygnał sprzedaży.</w:t>
      </w:r>
    </w:p>
    <w:p w:rsidR="00FA7870" w:rsidRDefault="00FA7870" w:rsidP="00FA7870">
      <w:pPr>
        <w:pStyle w:val="Bezodstpw"/>
        <w:jc w:val="both"/>
      </w:pPr>
    </w:p>
    <w:p w:rsidR="00FA7870" w:rsidRPr="00A35A38" w:rsidRDefault="00FA7870" w:rsidP="00FA7870">
      <w:pPr>
        <w:pStyle w:val="Bezodstpw"/>
        <w:jc w:val="both"/>
        <w:rPr>
          <w:color w:val="FF0000"/>
        </w:rPr>
      </w:pPr>
      <w:r w:rsidRPr="0092011B">
        <w:rPr>
          <w:b/>
          <w:color w:val="FF0000"/>
          <w:u w:val="single"/>
        </w:rPr>
        <w:t>Zdarza się także niekiedy, że kurs po wybiciu z formacji podwójnego szczytu początkowo spada, ale wkrótce zaczyna rosnąć</w:t>
      </w:r>
      <w:r w:rsidRPr="009C19B3">
        <w:rPr>
          <w:u w:val="single"/>
        </w:rPr>
        <w:t>.</w:t>
      </w:r>
      <w:r>
        <w:t xml:space="preserve"> Kiedy wzrośnie powyżej poziomu wyższego szczytu tej formacji mamy do czynienia z tak zwanym  ,,spaleniem” formacji podwójnego szczytu. Powstaje wówczas bardzo silny </w:t>
      </w:r>
      <w:r w:rsidRPr="00A35A38">
        <w:rPr>
          <w:b/>
          <w:color w:val="FF0000"/>
          <w:u w:val="single"/>
        </w:rPr>
        <w:t>sygnał kupna.</w:t>
      </w:r>
    </w:p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jc w:val="both"/>
      </w:pPr>
      <w:r>
        <w:t xml:space="preserve">O formacjach ,,spalonych” pisze w swych książkach </w:t>
      </w:r>
      <w:r w:rsidRPr="009C19B3">
        <w:rPr>
          <w:b/>
        </w:rPr>
        <w:t>Thomas Bulkowski</w:t>
      </w:r>
      <w:r>
        <w:t>. Dotychczas Wydawnictwo Linia wydało dwie książki tego autora. Są to: ,,Analiza formacji na wykresach giełdowych. Wprowadzenie” (2011 rok) oraz ,,Podstawy spekulacji. Ewolucja gracza giełdowego” (2014 rok).</w:t>
      </w:r>
    </w:p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jc w:val="both"/>
      </w:pPr>
      <w:r>
        <w:t xml:space="preserve">Do ,,spalenia” formacji podwójnego szczytu doszło m.in. w przypadku indeksów: </w:t>
      </w:r>
      <w:proofErr w:type="spellStart"/>
      <w:r>
        <w:t>S&amp;P</w:t>
      </w:r>
      <w:proofErr w:type="spellEnd"/>
      <w:r>
        <w:t xml:space="preserve"> 500, </w:t>
      </w:r>
      <w:proofErr w:type="spellStart"/>
      <w:r>
        <w:t>Dow</w:t>
      </w:r>
      <w:proofErr w:type="spellEnd"/>
      <w:r>
        <w:t xml:space="preserve"> Jones Industrial </w:t>
      </w:r>
      <w:proofErr w:type="spellStart"/>
      <w:r>
        <w:t>Average</w:t>
      </w:r>
      <w:proofErr w:type="spellEnd"/>
      <w:r>
        <w:t xml:space="preserve">, Russel 2000 a także na przykłada indeksów rynków akcji w strefie euro, Holandii, Belgii oraz Szwajcarii. W niniejszym punkcie ,,Raportu Tygodniowego” skoncentruję się na wykresie indeksu </w:t>
      </w:r>
      <w:proofErr w:type="spellStart"/>
      <w:r>
        <w:t>S&amp;P</w:t>
      </w:r>
      <w:proofErr w:type="spellEnd"/>
      <w:r>
        <w:t xml:space="preserve"> 500 uważanego za najważniejszy indeks świata. </w:t>
      </w:r>
    </w:p>
    <w:p w:rsidR="00FA7870" w:rsidRDefault="00FA7870" w:rsidP="00FA7870">
      <w:pPr>
        <w:pStyle w:val="Bezodstpw"/>
        <w:jc w:val="both"/>
      </w:pPr>
    </w:p>
    <w:p w:rsidR="00FA7870" w:rsidRPr="00802F8F" w:rsidRDefault="00FA7870" w:rsidP="00FA7870">
      <w:pPr>
        <w:pStyle w:val="Bezodstpw"/>
        <w:jc w:val="both"/>
        <w:rPr>
          <w:b/>
          <w:u w:val="single"/>
        </w:rPr>
      </w:pPr>
      <w:proofErr w:type="spellStart"/>
      <w:r w:rsidRPr="00802F8F">
        <w:rPr>
          <w:b/>
          <w:u w:val="single"/>
        </w:rPr>
        <w:t>S&amp;P</w:t>
      </w:r>
      <w:proofErr w:type="spellEnd"/>
      <w:r w:rsidRPr="00802F8F">
        <w:rPr>
          <w:b/>
          <w:u w:val="single"/>
        </w:rPr>
        <w:t xml:space="preserve"> 500</w:t>
      </w:r>
    </w:p>
    <w:p w:rsidR="00FA7870" w:rsidRDefault="00FA7870" w:rsidP="00FA7870">
      <w:pPr>
        <w:pStyle w:val="Bezodstpw"/>
        <w:jc w:val="both"/>
      </w:pPr>
      <w:r>
        <w:rPr>
          <w:noProof/>
        </w:rPr>
        <w:drawing>
          <wp:inline distT="0" distB="0" distL="0" distR="0">
            <wp:extent cx="4829175" cy="2905125"/>
            <wp:effectExtent l="19050" t="0" r="9525" b="0"/>
            <wp:docPr id="1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870" w:rsidRPr="002150D1" w:rsidRDefault="00FA7870" w:rsidP="00FA7870">
      <w:pPr>
        <w:pStyle w:val="Bezodstpw"/>
        <w:jc w:val="both"/>
        <w:rPr>
          <w:b/>
          <w:color w:val="FF0000"/>
          <w:u w:val="single"/>
        </w:rPr>
      </w:pPr>
      <w:r>
        <w:lastRenderedPageBreak/>
        <w:t xml:space="preserve">,,Spalenie” formacji podwójnego szczytu stanowi sygnał kupna. Dlaczego jest ona tak ważny ? Otóż wspomniany tu już </w:t>
      </w:r>
      <w:r w:rsidRPr="00A35A38">
        <w:rPr>
          <w:b/>
          <w:color w:val="FF0000"/>
        </w:rPr>
        <w:t>Thomas Bulkowski</w:t>
      </w:r>
      <w:r>
        <w:t xml:space="preserve"> zauważyłem, że </w:t>
      </w:r>
      <w:r w:rsidRPr="002150D1">
        <w:rPr>
          <w:b/>
          <w:color w:val="FF0000"/>
          <w:u w:val="single"/>
        </w:rPr>
        <w:t>formacja podwójnego szczytu nie jest jedyną form</w:t>
      </w:r>
      <w:r>
        <w:rPr>
          <w:b/>
          <w:color w:val="FF0000"/>
          <w:u w:val="single"/>
        </w:rPr>
        <w:t xml:space="preserve">acją sprzedaży, która może się ,,spalić”, czyli jak gdyby przekształcić w sygnał kupna. </w:t>
      </w:r>
    </w:p>
    <w:p w:rsidR="00FA7870" w:rsidRDefault="00FA7870" w:rsidP="00FA7870">
      <w:pPr>
        <w:pStyle w:val="Bezodstpw"/>
        <w:jc w:val="both"/>
      </w:pPr>
    </w:p>
    <w:p w:rsidR="00FA7870" w:rsidRPr="0092011B" w:rsidRDefault="00FA7870" w:rsidP="00FA7870">
      <w:pPr>
        <w:pStyle w:val="Bezodstpw"/>
        <w:jc w:val="both"/>
        <w:rPr>
          <w:b/>
          <w:color w:val="FF0000"/>
          <w:u w:val="single"/>
        </w:rPr>
      </w:pPr>
      <w:r>
        <w:t xml:space="preserve">W swojej książce ,,Analiza formacji na wykresach giełdowych. Wprowadzenie” (2011 rok) obliczył on  </w:t>
      </w:r>
      <w:r w:rsidRPr="0092011B">
        <w:rPr>
          <w:b/>
          <w:color w:val="FF0000"/>
          <w:u w:val="single"/>
        </w:rPr>
        <w:t xml:space="preserve">średni procentowy zasięg ruchu wzrostowego następujący po wybiciu z różnych </w:t>
      </w:r>
      <w:r>
        <w:rPr>
          <w:b/>
          <w:color w:val="FF0000"/>
          <w:u w:val="single"/>
        </w:rPr>
        <w:t xml:space="preserve">tego typu </w:t>
      </w:r>
      <w:r w:rsidRPr="0092011B">
        <w:rPr>
          <w:b/>
          <w:color w:val="FF0000"/>
          <w:u w:val="single"/>
        </w:rPr>
        <w:t>,,spalonych” formacji</w:t>
      </w:r>
      <w:r>
        <w:t xml:space="preserve">. Okazało się, że skala wzrostów </w:t>
      </w:r>
      <w:r w:rsidRPr="0092011B">
        <w:rPr>
          <w:b/>
          <w:color w:val="FF0000"/>
          <w:u w:val="single"/>
        </w:rPr>
        <w:t>po ,,spaleniu” formacji podw</w:t>
      </w:r>
      <w:r>
        <w:rPr>
          <w:b/>
          <w:color w:val="FF0000"/>
          <w:u w:val="single"/>
        </w:rPr>
        <w:t>ójnego szczytu jest największa (!).</w:t>
      </w:r>
    </w:p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jc w:val="both"/>
      </w:pPr>
      <w:r>
        <w:t xml:space="preserve">Dzięki tym wyliczeniom Thomasa Bulkowskiego możemy się przekonać, jak ważnym, silnym, wiarygodnym, mocnym sygnałem kupna jest ,,spalenia” właśnie formacji podwójnego szczytu. </w:t>
      </w:r>
    </w:p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jc w:val="both"/>
      </w:pPr>
      <w:r>
        <w:t xml:space="preserve">Biorąc to pod uwagę sądzę, że ,,spalenie” formacji podwójnego szczytu w przypadku czołowych indeksów świata (w tym indeksu </w:t>
      </w:r>
      <w:proofErr w:type="spellStart"/>
      <w:r>
        <w:t>S&amp;P</w:t>
      </w:r>
      <w:proofErr w:type="spellEnd"/>
      <w:r>
        <w:t xml:space="preserve"> 500) będzie stanowić czynnik sprzyjający dalszym zwyżkom kursów akcji na rynkach akcji w różnych krajach w tym roku. </w:t>
      </w:r>
    </w:p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Antyinflacyjne oddziaływanie spadków cen surowców</w:t>
      </w:r>
    </w:p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jc w:val="both"/>
      </w:pPr>
      <w:r>
        <w:t xml:space="preserve">W 2015 roku mamy do czynienia z ciekawą sytuacją. Od końca grudnia 2014 roku do 24 kwietnia 2015 roku lepiej zachowują się indeksy rynków wschodzących, niż indeksy rynków dojrzałych a ceny surowców spadły. </w:t>
      </w:r>
      <w:r w:rsidRPr="009B67FC">
        <w:rPr>
          <w:b/>
          <w:u w:val="single"/>
        </w:rPr>
        <w:t>Spadek odnotowały np. zarówno ceny miedzy, jak również srebra oraz kukurydzy</w:t>
      </w:r>
      <w:r>
        <w:t xml:space="preserve">. Jest to oczywiście pewna uproszczenie. Dokładnie rzecz biorąc można powiedzieć, że spadły ceny kontraktów na miedź, srebro oraz kukurydzę. </w:t>
      </w:r>
    </w:p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jc w:val="both"/>
      </w:pPr>
      <w:r>
        <w:t xml:space="preserve">Ten spadek cen owych kontraktów może oddziaływać </w:t>
      </w:r>
      <w:r w:rsidRPr="00BC3D62">
        <w:rPr>
          <w:b/>
          <w:color w:val="FF0000"/>
          <w:u w:val="single"/>
        </w:rPr>
        <w:t>antyinflacyjnie</w:t>
      </w:r>
      <w:r>
        <w:t xml:space="preserve"> i przez to może być ważnym argumentem dla przywódców banków centralnych z USA, strefy euro, czy też Japonii do tego, aby wciąż prowadzić ekspansywną, łagodną politykę pieniężną. </w:t>
      </w:r>
    </w:p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jc w:val="both"/>
      </w:pPr>
      <w:r>
        <w:t xml:space="preserve">Utrzymywania </w:t>
      </w:r>
      <w:r w:rsidRPr="00830A77">
        <w:rPr>
          <w:b/>
          <w:u w:val="single"/>
        </w:rPr>
        <w:t>stóp procentowych na stosunkowo niskim poziomie</w:t>
      </w:r>
      <w:r>
        <w:t xml:space="preserve"> może zaś skłaniać uczestników życia gospodarczego do </w:t>
      </w:r>
      <w:r w:rsidRPr="009B67FC">
        <w:rPr>
          <w:b/>
          <w:color w:val="FF0000"/>
          <w:u w:val="single"/>
        </w:rPr>
        <w:t>podejmowania większego niż do tej pory ryzyka</w:t>
      </w:r>
      <w:r>
        <w:t xml:space="preserve">, co może skutkować zwiększaniem popytu na </w:t>
      </w:r>
      <w:r w:rsidRPr="009B67FC">
        <w:rPr>
          <w:b/>
          <w:color w:val="FF0000"/>
          <w:u w:val="single"/>
        </w:rPr>
        <w:t>akcje na rynkach wschodzących</w:t>
      </w:r>
      <w:r>
        <w:t xml:space="preserve"> kosztem akcji na rynkach dojrzałych. Te pierwsze traktowana są bowiem jako </w:t>
      </w:r>
      <w:r w:rsidRPr="009B67FC">
        <w:rPr>
          <w:b/>
          <w:color w:val="FF0000"/>
          <w:u w:val="single"/>
        </w:rPr>
        <w:t>bardziej ryzykowne</w:t>
      </w:r>
      <w:r>
        <w:t xml:space="preserve">, gdyż charakteryzują się większą wahliwością. </w:t>
      </w:r>
    </w:p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jc w:val="both"/>
      </w:pPr>
      <w:r>
        <w:t xml:space="preserve">W poniższej tabeli zaprezentowałem procentową zmianę indeksów giełdowych w różnych krajach w okresie od 31 grudnia 2014 roku do 24 kwietnia 2015 roku. </w:t>
      </w:r>
    </w:p>
    <w:p w:rsidR="00FA7870" w:rsidRDefault="00FA7870" w:rsidP="00FA7870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A7870" w:rsidTr="004F44A3">
        <w:tc>
          <w:tcPr>
            <w:tcW w:w="4606" w:type="dxa"/>
          </w:tcPr>
          <w:p w:rsidR="00FA7870" w:rsidRPr="009B67FC" w:rsidRDefault="00FA7870" w:rsidP="004F44A3">
            <w:pPr>
              <w:pStyle w:val="Bezodstpw"/>
              <w:jc w:val="center"/>
              <w:rPr>
                <w:sz w:val="36"/>
                <w:szCs w:val="36"/>
              </w:rPr>
            </w:pPr>
            <w:r w:rsidRPr="009B67FC">
              <w:rPr>
                <w:sz w:val="36"/>
                <w:szCs w:val="36"/>
              </w:rPr>
              <w:t>Kraj</w:t>
            </w:r>
          </w:p>
        </w:tc>
        <w:tc>
          <w:tcPr>
            <w:tcW w:w="4606" w:type="dxa"/>
          </w:tcPr>
          <w:p w:rsidR="00FA7870" w:rsidRPr="009B67FC" w:rsidRDefault="00FA7870" w:rsidP="004F44A3">
            <w:pPr>
              <w:pStyle w:val="Bezodstpw"/>
              <w:jc w:val="center"/>
              <w:rPr>
                <w:sz w:val="36"/>
                <w:szCs w:val="36"/>
              </w:rPr>
            </w:pPr>
            <w:r w:rsidRPr="009B67FC">
              <w:rPr>
                <w:sz w:val="36"/>
                <w:szCs w:val="36"/>
              </w:rPr>
              <w:t>Stopa zwrotu</w:t>
            </w:r>
          </w:p>
        </w:tc>
      </w:tr>
      <w:tr w:rsidR="00FA7870" w:rsidTr="004F44A3">
        <w:tc>
          <w:tcPr>
            <w:tcW w:w="4606" w:type="dxa"/>
          </w:tcPr>
          <w:p w:rsidR="00FA7870" w:rsidRPr="009B67FC" w:rsidRDefault="00FA7870" w:rsidP="004F44A3">
            <w:pPr>
              <w:pStyle w:val="Bezodstpw"/>
              <w:jc w:val="center"/>
              <w:rPr>
                <w:sz w:val="36"/>
                <w:szCs w:val="36"/>
              </w:rPr>
            </w:pPr>
            <w:r w:rsidRPr="009B67FC">
              <w:rPr>
                <w:sz w:val="36"/>
                <w:szCs w:val="36"/>
              </w:rPr>
              <w:t xml:space="preserve">Argentyna </w:t>
            </w:r>
          </w:p>
        </w:tc>
        <w:tc>
          <w:tcPr>
            <w:tcW w:w="4606" w:type="dxa"/>
          </w:tcPr>
          <w:p w:rsidR="00FA7870" w:rsidRPr="009B67FC" w:rsidRDefault="00FA7870" w:rsidP="004F44A3">
            <w:pPr>
              <w:pStyle w:val="Bezodstpw"/>
              <w:jc w:val="center"/>
              <w:rPr>
                <w:sz w:val="36"/>
                <w:szCs w:val="36"/>
              </w:rPr>
            </w:pPr>
            <w:r w:rsidRPr="009B67FC">
              <w:rPr>
                <w:sz w:val="36"/>
                <w:szCs w:val="36"/>
              </w:rPr>
              <w:t>+ 44,6 %</w:t>
            </w:r>
          </w:p>
        </w:tc>
      </w:tr>
      <w:tr w:rsidR="00FA7870" w:rsidTr="004F44A3">
        <w:tc>
          <w:tcPr>
            <w:tcW w:w="4606" w:type="dxa"/>
          </w:tcPr>
          <w:p w:rsidR="00FA7870" w:rsidRPr="009B67FC" w:rsidRDefault="00FA7870" w:rsidP="004F44A3">
            <w:pPr>
              <w:pStyle w:val="Bezodstpw"/>
              <w:jc w:val="center"/>
              <w:rPr>
                <w:sz w:val="36"/>
                <w:szCs w:val="36"/>
              </w:rPr>
            </w:pPr>
            <w:r w:rsidRPr="009B67FC">
              <w:rPr>
                <w:sz w:val="36"/>
                <w:szCs w:val="36"/>
              </w:rPr>
              <w:t xml:space="preserve">Chiny </w:t>
            </w:r>
          </w:p>
        </w:tc>
        <w:tc>
          <w:tcPr>
            <w:tcW w:w="4606" w:type="dxa"/>
          </w:tcPr>
          <w:p w:rsidR="00FA7870" w:rsidRPr="009B67FC" w:rsidRDefault="00FA7870" w:rsidP="004F44A3">
            <w:pPr>
              <w:pStyle w:val="Bezodstpw"/>
              <w:jc w:val="center"/>
              <w:rPr>
                <w:sz w:val="36"/>
                <w:szCs w:val="36"/>
              </w:rPr>
            </w:pPr>
            <w:r w:rsidRPr="009B67FC">
              <w:rPr>
                <w:sz w:val="36"/>
                <w:szCs w:val="36"/>
              </w:rPr>
              <w:t>+ 37,6 %</w:t>
            </w:r>
          </w:p>
        </w:tc>
      </w:tr>
      <w:tr w:rsidR="00FA7870" w:rsidTr="004F44A3">
        <w:tc>
          <w:tcPr>
            <w:tcW w:w="4606" w:type="dxa"/>
          </w:tcPr>
          <w:p w:rsidR="00FA7870" w:rsidRPr="009B67FC" w:rsidRDefault="00FA7870" w:rsidP="004F44A3">
            <w:pPr>
              <w:pStyle w:val="Bezodstpw"/>
              <w:jc w:val="center"/>
              <w:rPr>
                <w:sz w:val="36"/>
                <w:szCs w:val="36"/>
              </w:rPr>
            </w:pPr>
            <w:r w:rsidRPr="009B67FC">
              <w:rPr>
                <w:sz w:val="36"/>
                <w:szCs w:val="36"/>
              </w:rPr>
              <w:t xml:space="preserve">Węgry </w:t>
            </w:r>
          </w:p>
        </w:tc>
        <w:tc>
          <w:tcPr>
            <w:tcW w:w="4606" w:type="dxa"/>
          </w:tcPr>
          <w:p w:rsidR="00FA7870" w:rsidRPr="009B67FC" w:rsidRDefault="00FA7870" w:rsidP="004F44A3">
            <w:pPr>
              <w:pStyle w:val="Bezodstpw"/>
              <w:jc w:val="center"/>
              <w:rPr>
                <w:sz w:val="36"/>
                <w:szCs w:val="36"/>
              </w:rPr>
            </w:pPr>
            <w:r w:rsidRPr="009B67FC">
              <w:rPr>
                <w:sz w:val="36"/>
                <w:szCs w:val="36"/>
              </w:rPr>
              <w:t>+ 34,8 %</w:t>
            </w:r>
          </w:p>
        </w:tc>
      </w:tr>
      <w:tr w:rsidR="00FA7870" w:rsidTr="004F44A3">
        <w:tc>
          <w:tcPr>
            <w:tcW w:w="4606" w:type="dxa"/>
          </w:tcPr>
          <w:p w:rsidR="00FA7870" w:rsidRPr="009B67FC" w:rsidRDefault="00FA7870" w:rsidP="004F44A3">
            <w:pPr>
              <w:pStyle w:val="Bezodstpw"/>
              <w:jc w:val="center"/>
              <w:rPr>
                <w:sz w:val="36"/>
                <w:szCs w:val="36"/>
              </w:rPr>
            </w:pPr>
            <w:r w:rsidRPr="009B67FC">
              <w:rPr>
                <w:sz w:val="36"/>
                <w:szCs w:val="36"/>
              </w:rPr>
              <w:t xml:space="preserve">Rosja </w:t>
            </w:r>
          </w:p>
        </w:tc>
        <w:tc>
          <w:tcPr>
            <w:tcW w:w="4606" w:type="dxa"/>
          </w:tcPr>
          <w:p w:rsidR="00FA7870" w:rsidRPr="009B67FC" w:rsidRDefault="00FA7870" w:rsidP="004F44A3">
            <w:pPr>
              <w:pStyle w:val="Bezodstpw"/>
              <w:jc w:val="center"/>
              <w:rPr>
                <w:sz w:val="36"/>
                <w:szCs w:val="36"/>
              </w:rPr>
            </w:pPr>
            <w:r w:rsidRPr="009B67FC">
              <w:rPr>
                <w:sz w:val="36"/>
                <w:szCs w:val="36"/>
              </w:rPr>
              <w:t>+ 31,2 %</w:t>
            </w:r>
          </w:p>
        </w:tc>
      </w:tr>
      <w:tr w:rsidR="00FA7870" w:rsidTr="004F44A3">
        <w:tc>
          <w:tcPr>
            <w:tcW w:w="4606" w:type="dxa"/>
          </w:tcPr>
          <w:p w:rsidR="00FA7870" w:rsidRPr="009B67FC" w:rsidRDefault="00FA7870" w:rsidP="004F44A3">
            <w:pPr>
              <w:pStyle w:val="Bezodstpw"/>
              <w:jc w:val="center"/>
              <w:rPr>
                <w:sz w:val="36"/>
                <w:szCs w:val="36"/>
              </w:rPr>
            </w:pPr>
            <w:r w:rsidRPr="009B67FC">
              <w:rPr>
                <w:sz w:val="36"/>
                <w:szCs w:val="36"/>
              </w:rPr>
              <w:t xml:space="preserve">Korea Południowa </w:t>
            </w:r>
          </w:p>
        </w:tc>
        <w:tc>
          <w:tcPr>
            <w:tcW w:w="4606" w:type="dxa"/>
          </w:tcPr>
          <w:p w:rsidR="00FA7870" w:rsidRPr="009B67FC" w:rsidRDefault="00FA7870" w:rsidP="004F44A3">
            <w:pPr>
              <w:pStyle w:val="Bezodstpw"/>
              <w:jc w:val="center"/>
              <w:rPr>
                <w:sz w:val="36"/>
                <w:szCs w:val="36"/>
              </w:rPr>
            </w:pPr>
            <w:r w:rsidRPr="009B67FC">
              <w:rPr>
                <w:sz w:val="36"/>
                <w:szCs w:val="36"/>
              </w:rPr>
              <w:t>+ 12,7 %</w:t>
            </w:r>
          </w:p>
        </w:tc>
      </w:tr>
      <w:tr w:rsidR="00FA7870" w:rsidTr="004F44A3">
        <w:tc>
          <w:tcPr>
            <w:tcW w:w="4606" w:type="dxa"/>
          </w:tcPr>
          <w:p w:rsidR="00FA7870" w:rsidRPr="009B67FC" w:rsidRDefault="00FA7870" w:rsidP="004F44A3">
            <w:pPr>
              <w:pStyle w:val="Bezodstpw"/>
              <w:jc w:val="center"/>
              <w:rPr>
                <w:sz w:val="36"/>
                <w:szCs w:val="36"/>
              </w:rPr>
            </w:pPr>
            <w:r w:rsidRPr="009B67FC">
              <w:rPr>
                <w:sz w:val="36"/>
                <w:szCs w:val="36"/>
              </w:rPr>
              <w:t xml:space="preserve">Brazylia </w:t>
            </w:r>
          </w:p>
        </w:tc>
        <w:tc>
          <w:tcPr>
            <w:tcW w:w="4606" w:type="dxa"/>
          </w:tcPr>
          <w:p w:rsidR="00FA7870" w:rsidRPr="009B67FC" w:rsidRDefault="00FA7870" w:rsidP="004F44A3">
            <w:pPr>
              <w:pStyle w:val="Bezodstpw"/>
              <w:jc w:val="center"/>
              <w:rPr>
                <w:sz w:val="36"/>
                <w:szCs w:val="36"/>
              </w:rPr>
            </w:pPr>
            <w:r w:rsidRPr="009B67FC">
              <w:rPr>
                <w:sz w:val="36"/>
                <w:szCs w:val="36"/>
              </w:rPr>
              <w:t>+13,2 %</w:t>
            </w:r>
          </w:p>
        </w:tc>
      </w:tr>
      <w:tr w:rsidR="00FA7870" w:rsidTr="004F44A3">
        <w:tc>
          <w:tcPr>
            <w:tcW w:w="4606" w:type="dxa"/>
          </w:tcPr>
          <w:p w:rsidR="00FA7870" w:rsidRPr="009B67FC" w:rsidRDefault="00FA7870" w:rsidP="004F44A3">
            <w:pPr>
              <w:pStyle w:val="Bezodstpw"/>
              <w:jc w:val="center"/>
              <w:rPr>
                <w:sz w:val="36"/>
                <w:szCs w:val="36"/>
              </w:rPr>
            </w:pPr>
            <w:r w:rsidRPr="009B67FC">
              <w:rPr>
                <w:sz w:val="36"/>
                <w:szCs w:val="36"/>
              </w:rPr>
              <w:t xml:space="preserve">Czechy </w:t>
            </w:r>
          </w:p>
        </w:tc>
        <w:tc>
          <w:tcPr>
            <w:tcW w:w="4606" w:type="dxa"/>
          </w:tcPr>
          <w:p w:rsidR="00FA7870" w:rsidRPr="009B67FC" w:rsidRDefault="00FA7870" w:rsidP="004F44A3">
            <w:pPr>
              <w:pStyle w:val="Bezodstpw"/>
              <w:jc w:val="center"/>
              <w:rPr>
                <w:sz w:val="36"/>
                <w:szCs w:val="36"/>
              </w:rPr>
            </w:pPr>
            <w:r w:rsidRPr="009B67FC">
              <w:rPr>
                <w:sz w:val="36"/>
                <w:szCs w:val="36"/>
              </w:rPr>
              <w:t>+10,8 %</w:t>
            </w:r>
          </w:p>
        </w:tc>
      </w:tr>
    </w:tbl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jc w:val="both"/>
      </w:pPr>
      <w:r>
        <w:lastRenderedPageBreak/>
        <w:t xml:space="preserve">Aby przekonać się o możliwości dalszego występowania tendencji </w:t>
      </w:r>
      <w:r w:rsidRPr="00BC3D62">
        <w:rPr>
          <w:b/>
          <w:color w:val="FF0000"/>
          <w:u w:val="single"/>
        </w:rPr>
        <w:t xml:space="preserve">antyinflacyjnych </w:t>
      </w:r>
      <w:r>
        <w:t xml:space="preserve">warto przyjrzeć się bliżej wykresom wspomnianych kontraktów na miedź, srebro oraz kukurydzę. </w:t>
      </w:r>
    </w:p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jc w:val="both"/>
        <w:rPr>
          <w:u w:val="single"/>
        </w:rPr>
      </w:pPr>
      <w:r w:rsidRPr="002A3B04">
        <w:rPr>
          <w:u w:val="single"/>
        </w:rPr>
        <w:t xml:space="preserve">Miedź </w:t>
      </w:r>
      <w:r>
        <w:rPr>
          <w:u w:val="single"/>
        </w:rPr>
        <w:t>– w przypadku realizacji formacji nietypowego podwójnego szczytu można oczekiwać spadku o 13,5 %</w:t>
      </w:r>
    </w:p>
    <w:p w:rsidR="00FA7870" w:rsidRDefault="00FA7870" w:rsidP="00FA7870">
      <w:pPr>
        <w:pStyle w:val="Bezodstpw"/>
        <w:jc w:val="both"/>
        <w:rPr>
          <w:u w:val="single"/>
        </w:rPr>
      </w:pPr>
    </w:p>
    <w:p w:rsidR="00FA7870" w:rsidRDefault="00FA7870" w:rsidP="00FA7870">
      <w:pPr>
        <w:pStyle w:val="Bezodstpw"/>
        <w:jc w:val="both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324225" cy="2000250"/>
            <wp:effectExtent l="19050" t="0" r="9525" b="0"/>
            <wp:docPr id="2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870" w:rsidRDefault="00FA7870" w:rsidP="00FA7870">
      <w:pPr>
        <w:pStyle w:val="Bezodstpw"/>
        <w:jc w:val="both"/>
        <w:rPr>
          <w:u w:val="single"/>
        </w:rPr>
      </w:pPr>
    </w:p>
    <w:p w:rsidR="00FA7870" w:rsidRDefault="00FA7870" w:rsidP="00FA7870">
      <w:pPr>
        <w:pStyle w:val="Bezodstpw"/>
        <w:jc w:val="both"/>
        <w:rPr>
          <w:u w:val="single"/>
        </w:rPr>
      </w:pPr>
      <w:r w:rsidRPr="002A3B04">
        <w:rPr>
          <w:u w:val="single"/>
        </w:rPr>
        <w:t>Srebro</w:t>
      </w:r>
      <w:r>
        <w:rPr>
          <w:u w:val="single"/>
        </w:rPr>
        <w:t xml:space="preserve"> -  w przypadku realizacji formacji nietypowego podwójnego szczytu można oczekiwać spadku o 11,7 %</w:t>
      </w:r>
    </w:p>
    <w:p w:rsidR="00FA7870" w:rsidRDefault="00FA7870" w:rsidP="00FA7870">
      <w:pPr>
        <w:pStyle w:val="Bezodstpw"/>
        <w:jc w:val="both"/>
        <w:rPr>
          <w:u w:val="single"/>
        </w:rPr>
      </w:pPr>
    </w:p>
    <w:p w:rsidR="00FA7870" w:rsidRDefault="00FA7870" w:rsidP="00FA7870">
      <w:pPr>
        <w:pStyle w:val="Bezodstpw"/>
        <w:jc w:val="both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324225" cy="2000250"/>
            <wp:effectExtent l="19050" t="0" r="9525" b="0"/>
            <wp:docPr id="2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870" w:rsidRPr="002A3B04" w:rsidRDefault="00FA7870" w:rsidP="00FA7870">
      <w:pPr>
        <w:pStyle w:val="Bezodstpw"/>
        <w:jc w:val="both"/>
        <w:rPr>
          <w:u w:val="single"/>
        </w:rPr>
      </w:pPr>
    </w:p>
    <w:p w:rsidR="00FA7870" w:rsidRDefault="00FA7870" w:rsidP="00FA7870">
      <w:pPr>
        <w:pStyle w:val="Bezodstpw"/>
        <w:jc w:val="both"/>
        <w:rPr>
          <w:u w:val="single"/>
        </w:rPr>
      </w:pPr>
      <w:r w:rsidRPr="002A3B04">
        <w:rPr>
          <w:u w:val="single"/>
        </w:rPr>
        <w:t>Kukurydza</w:t>
      </w:r>
      <w:r>
        <w:rPr>
          <w:u w:val="single"/>
        </w:rPr>
        <w:t xml:space="preserve"> - w przypadku realizacji formacji nietypowego podwójnego szczytu można oczekiwać spadku o 4,8 % (a nie wykluczone, że większego. W przypadku spadku do dołka z 30 września 2014 roku skala spadków wyniosła by 12,2 % </w:t>
      </w:r>
    </w:p>
    <w:p w:rsidR="00FA7870" w:rsidRDefault="00FA7870" w:rsidP="00FA7870">
      <w:pPr>
        <w:pStyle w:val="Bezodstpw"/>
        <w:jc w:val="both"/>
        <w:rPr>
          <w:u w:val="single"/>
        </w:rPr>
      </w:pPr>
    </w:p>
    <w:p w:rsidR="00FA7870" w:rsidRDefault="00FA7870" w:rsidP="00FA7870">
      <w:pPr>
        <w:pStyle w:val="Bezodstpw"/>
        <w:jc w:val="both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324225" cy="2000250"/>
            <wp:effectExtent l="19050" t="0" r="9525" b="0"/>
            <wp:docPr id="2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870" w:rsidRDefault="00FA7870" w:rsidP="00FA7870">
      <w:pPr>
        <w:pStyle w:val="Bezodstpw"/>
        <w:jc w:val="both"/>
        <w:rPr>
          <w:u w:val="single"/>
        </w:rPr>
      </w:pPr>
    </w:p>
    <w:p w:rsidR="00FA7870" w:rsidRDefault="00FA7870" w:rsidP="00FA7870">
      <w:pPr>
        <w:pStyle w:val="Bezodstp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 xml:space="preserve">Wykres do przemyślenia – refleksje </w:t>
      </w:r>
    </w:p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jc w:val="both"/>
      </w:pPr>
      <w:r>
        <w:t xml:space="preserve">W pierwszym numerze ,,Raportu Tygodniowego” z 8 września 2014 roku pojawiły się wykresy akcji czterech spółek. Były to wykresy akcji następujących spółek: </w:t>
      </w:r>
    </w:p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numPr>
          <w:ilvl w:val="0"/>
          <w:numId w:val="1"/>
        </w:numPr>
        <w:jc w:val="both"/>
      </w:pPr>
      <w:proofErr w:type="spellStart"/>
      <w:r>
        <w:t>Immobile</w:t>
      </w:r>
      <w:proofErr w:type="spellEnd"/>
    </w:p>
    <w:p w:rsidR="00FA7870" w:rsidRDefault="00FA7870" w:rsidP="00FA7870">
      <w:pPr>
        <w:pStyle w:val="Bezodstpw"/>
        <w:numPr>
          <w:ilvl w:val="0"/>
          <w:numId w:val="1"/>
        </w:numPr>
        <w:jc w:val="both"/>
      </w:pPr>
      <w:r>
        <w:t>Lena</w:t>
      </w:r>
    </w:p>
    <w:p w:rsidR="00FA7870" w:rsidRDefault="00FA7870" w:rsidP="00FA7870">
      <w:pPr>
        <w:pStyle w:val="Bezodstpw"/>
        <w:numPr>
          <w:ilvl w:val="0"/>
          <w:numId w:val="1"/>
        </w:numPr>
        <w:jc w:val="both"/>
      </w:pPr>
      <w:proofErr w:type="spellStart"/>
      <w:r>
        <w:t>Netmedia</w:t>
      </w:r>
      <w:proofErr w:type="spellEnd"/>
      <w:r>
        <w:t xml:space="preserve"> </w:t>
      </w:r>
    </w:p>
    <w:p w:rsidR="00FA7870" w:rsidRDefault="00FA7870" w:rsidP="00FA7870">
      <w:pPr>
        <w:pStyle w:val="Bezodstpw"/>
        <w:numPr>
          <w:ilvl w:val="0"/>
          <w:numId w:val="1"/>
        </w:numPr>
        <w:jc w:val="both"/>
      </w:pPr>
      <w:r>
        <w:t>Rafako</w:t>
      </w:r>
    </w:p>
    <w:p w:rsidR="00FA7870" w:rsidRDefault="00FA7870" w:rsidP="00FA7870">
      <w:pPr>
        <w:pStyle w:val="Bezodstpw"/>
        <w:jc w:val="both"/>
      </w:pPr>
    </w:p>
    <w:p w:rsidR="00FA7870" w:rsidRPr="00DF5937" w:rsidRDefault="00FA7870" w:rsidP="00FA7870">
      <w:pPr>
        <w:pStyle w:val="Bezodstpw"/>
        <w:jc w:val="both"/>
        <w:rPr>
          <w:b/>
          <w:color w:val="FF0000"/>
        </w:rPr>
      </w:pPr>
      <w:r>
        <w:t xml:space="preserve">Kryterium pojawienia się wykresu akcji danej spółki w tej rubryce jest </w:t>
      </w:r>
      <w:r w:rsidRPr="0053119C">
        <w:rPr>
          <w:b/>
        </w:rPr>
        <w:t>wybicie z formacji podwójnego dna</w:t>
      </w:r>
      <w:r>
        <w:t xml:space="preserve">. </w:t>
      </w:r>
      <w:r w:rsidRPr="00DF5937">
        <w:rPr>
          <w:b/>
          <w:color w:val="FF66FF"/>
        </w:rPr>
        <w:t xml:space="preserve">Na str. </w:t>
      </w:r>
      <w:r w:rsidR="00FB744D">
        <w:rPr>
          <w:b/>
          <w:color w:val="FF66FF"/>
        </w:rPr>
        <w:t>7</w:t>
      </w:r>
      <w:r w:rsidRPr="00DF5937">
        <w:rPr>
          <w:b/>
          <w:color w:val="FF66FF"/>
        </w:rPr>
        <w:t>-</w:t>
      </w:r>
      <w:r w:rsidR="00FB744D">
        <w:rPr>
          <w:b/>
          <w:color w:val="FF66FF"/>
        </w:rPr>
        <w:t>10</w:t>
      </w:r>
      <w:r w:rsidRPr="00DF5937">
        <w:rPr>
          <w:b/>
          <w:color w:val="FF66FF"/>
        </w:rPr>
        <w:t xml:space="preserve"> przedstawiam listę 2</w:t>
      </w:r>
      <w:r w:rsidR="003A35A8">
        <w:rPr>
          <w:b/>
          <w:color w:val="FF66FF"/>
        </w:rPr>
        <w:t>6</w:t>
      </w:r>
      <w:r w:rsidRPr="00DF5937">
        <w:rPr>
          <w:b/>
          <w:color w:val="FF66FF"/>
        </w:rPr>
        <w:t xml:space="preserve"> spółek wpisanych do rubryki ,,Wykres do przemyślenia”.</w:t>
      </w:r>
      <w:r>
        <w:t xml:space="preserve"> </w:t>
      </w:r>
      <w:r w:rsidRPr="00DF5937">
        <w:rPr>
          <w:b/>
          <w:color w:val="FF66FF"/>
        </w:rPr>
        <w:t xml:space="preserve">Osoby znającą tą listę mogą listę tą pominąć i od razu przejść na stronę </w:t>
      </w:r>
      <w:r>
        <w:rPr>
          <w:b/>
          <w:color w:val="FF66FF"/>
        </w:rPr>
        <w:t xml:space="preserve">10 </w:t>
      </w:r>
      <w:r w:rsidRPr="00DF5937">
        <w:rPr>
          <w:b/>
          <w:color w:val="0000FF"/>
        </w:rPr>
        <w:t>(!!!)</w:t>
      </w:r>
    </w:p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jc w:val="both"/>
      </w:pPr>
      <w:r>
        <w:t xml:space="preserve">Tabela: Procentowa zmiana cen akcji czterech spółek, których akcje zostały wymienione w pierwszym numerze ,,Raportu Tygodniowego” z 8 września 2014 roku w rubryce ,,Wykres do przemyślenia” w okresie od 5 września do 24 kwietnia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05.09.2014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24.04.2015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Zmiana (w %)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Immobile</w:t>
            </w:r>
            <w:proofErr w:type="spellEnd"/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>2,04 zł.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>2,29 zł.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   +12,3 %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Akcja spółki Lena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3,99 zł. 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>4,95 zł.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   +24,1 %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Akcja spółki  </w:t>
            </w:r>
            <w:proofErr w:type="spellStart"/>
            <w:r>
              <w:t>Netmedia</w:t>
            </w:r>
            <w:proofErr w:type="spellEnd"/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3,63 zł. 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>6,15zł.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   +69,4 %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Akcja spółki Rafako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4,25 zł. 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A7870" w:rsidRDefault="00FA7870" w:rsidP="004F44A3">
            <w:pPr>
              <w:pStyle w:val="Bezodstpw"/>
              <w:jc w:val="center"/>
            </w:pPr>
            <w:r>
              <w:t>7,05 zł.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   +65,9 %</w:t>
            </w:r>
          </w:p>
        </w:tc>
      </w:tr>
      <w:tr w:rsidR="00FA7870" w:rsidTr="004F44A3">
        <w:tc>
          <w:tcPr>
            <w:tcW w:w="3402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+42,9 %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2 541,42 pkt. 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 w:rsidRPr="00662678">
              <w:t>2</w:t>
            </w:r>
            <w:r>
              <w:t> 519,20 pkt.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  -0,9 %</w:t>
            </w:r>
          </w:p>
        </w:tc>
      </w:tr>
    </w:tbl>
    <w:p w:rsidR="00FA7870" w:rsidRDefault="00FA7870" w:rsidP="00FA7870">
      <w:pPr>
        <w:pStyle w:val="Bezodstpw"/>
        <w:jc w:val="both"/>
      </w:pPr>
      <w:r>
        <w:t xml:space="preserve">Tabela: Procentowa zmiana ceny akcji spółki, której akcje zostały wymienione w drugim numerze ,,Raportu Tygodniowego” z 15 września 2014 roku w rubryce ,,Wykres do przemyślenia” w okresie od 12 września do 24 kwietnia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12.09.2014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24.04.2015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Zmiana (w %)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Akcja spółki Boryszew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>6,50 zł.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6,00 zł. 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  -7,7 %</w:t>
            </w:r>
          </w:p>
        </w:tc>
      </w:tr>
      <w:tr w:rsidR="00FA7870" w:rsidRPr="008F668F" w:rsidTr="004F44A3">
        <w:tc>
          <w:tcPr>
            <w:tcW w:w="3402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-7,7 %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2 497,38 pkt. 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 w:rsidRPr="00662678">
              <w:t>2</w:t>
            </w:r>
            <w:r>
              <w:t> 519,20 pkt.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    0,9 %</w:t>
            </w:r>
          </w:p>
        </w:tc>
      </w:tr>
    </w:tbl>
    <w:p w:rsidR="00FA7870" w:rsidRDefault="00FA7870" w:rsidP="00FA7870">
      <w:pPr>
        <w:pStyle w:val="Bezodstpw"/>
        <w:jc w:val="both"/>
      </w:pPr>
      <w:r>
        <w:t xml:space="preserve">Tabela: Procentowa zmiana ceny akcji spółki, której akcje zostały umieszczone 16 września na stronie internetowej </w:t>
      </w:r>
      <w:hyperlink r:id="rId13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15 września do 24 kwietnia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15.09.2014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24.04.2015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Zmiana (w %)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Erbud</w:t>
            </w:r>
            <w:proofErr w:type="spellEnd"/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>26,50 zł.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>32,90 zł.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  24,2 %</w:t>
            </w:r>
          </w:p>
        </w:tc>
      </w:tr>
      <w:tr w:rsidR="00FA7870" w:rsidRPr="008F668F" w:rsidTr="004F44A3">
        <w:tc>
          <w:tcPr>
            <w:tcW w:w="3402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24,2 %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2 489,77 pkt. 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 w:rsidRPr="00662678">
              <w:t>2</w:t>
            </w:r>
            <w:r>
              <w:t> 519,20 pkt.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 1,2 %</w:t>
            </w:r>
          </w:p>
        </w:tc>
      </w:tr>
    </w:tbl>
    <w:p w:rsidR="00FA7870" w:rsidRDefault="00FA7870" w:rsidP="00FA7870">
      <w:pPr>
        <w:pStyle w:val="Bezodstpw"/>
        <w:jc w:val="both"/>
      </w:pPr>
      <w:r>
        <w:t xml:space="preserve">Tabela: Procentowa zmiana ceny akcji spółki, której akcje zostały wymienione w trzecim numerze ,,Raportu Tygodniowego” z 22 września 2014 roku w rubryce ,,Wykres do przemyślenia” w okresie od 19 września do 24 kwietnia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19.09.2014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24.04.2015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Zmiana (w %)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Akcja spółki IF Capital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>1,32 zł.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>1,01 zł.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-23,5 %</w:t>
            </w:r>
          </w:p>
        </w:tc>
      </w:tr>
      <w:tr w:rsidR="00FA7870" w:rsidRPr="008F668F" w:rsidTr="004F44A3">
        <w:tc>
          <w:tcPr>
            <w:tcW w:w="3402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-23,5 %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2 497,38 pkt. 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 w:rsidRPr="00662678">
              <w:t>2</w:t>
            </w:r>
            <w:r>
              <w:t> 519,20 pkt.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0,9 %</w:t>
            </w:r>
          </w:p>
        </w:tc>
      </w:tr>
    </w:tbl>
    <w:p w:rsidR="00FA7870" w:rsidRDefault="00FA7870" w:rsidP="00FA7870">
      <w:pPr>
        <w:pStyle w:val="Bezodstpw"/>
        <w:jc w:val="both"/>
      </w:pPr>
      <w:r>
        <w:lastRenderedPageBreak/>
        <w:t xml:space="preserve">Tabela: Procentowa zmiana ceny akcji spółki, której akcje zostały umieszczone 25 września na stronie internetowej </w:t>
      </w:r>
      <w:hyperlink r:id="rId14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24 września do 24 kwietnia 2015 roku oraz procentowa zmiana indeksu WIG 20 w tym okresie. </w:t>
      </w:r>
    </w:p>
    <w:p w:rsidR="00FA7870" w:rsidRDefault="00FA7870" w:rsidP="00FA7870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24.09.2014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24.04.2015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Zmiana (w %)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Akcja spółki Capital Partners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>1,85 zł.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>2,64 zł.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+42,7 %</w:t>
            </w:r>
          </w:p>
        </w:tc>
      </w:tr>
      <w:tr w:rsidR="00FA7870" w:rsidRPr="008F668F" w:rsidTr="004F44A3">
        <w:tc>
          <w:tcPr>
            <w:tcW w:w="3402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+42,7 %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2 489,77 pkt. 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 w:rsidRPr="00662678">
              <w:t>2</w:t>
            </w:r>
            <w:r>
              <w:t> 519,20 pkt.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  1,2 %</w:t>
            </w:r>
          </w:p>
        </w:tc>
      </w:tr>
    </w:tbl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jc w:val="both"/>
      </w:pPr>
      <w:r>
        <w:t xml:space="preserve">Tabela: Procentowa zmiana cen akcji trzech spółek, których akcje zostały wymienione w czwartym numerze ,,Raportu Tygodniowego” z 29 września 2014 roku w rubryce ,,Wykres do przemyślenia” w okresie od 30 września do 24 kwietnia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26.09.2014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24.04.2015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Zmiana (w %)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Asseco</w:t>
            </w:r>
            <w:proofErr w:type="spellEnd"/>
            <w:r>
              <w:t xml:space="preserve"> Poland 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45,64 zł. 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>60,00 zł.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 +31,5 %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Akcja spółki  CD Projekt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16,59 zł. 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>20,00 zł.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  +20,6 %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Sygnity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A7870" w:rsidRDefault="00FA7870" w:rsidP="004F44A3">
            <w:pPr>
              <w:pStyle w:val="Bezodstpw"/>
              <w:jc w:val="center"/>
            </w:pPr>
            <w:r>
              <w:t>17,60 zł.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A7870" w:rsidRDefault="00FA7870" w:rsidP="004F44A3">
            <w:pPr>
              <w:pStyle w:val="Bezodstpw"/>
              <w:jc w:val="center"/>
            </w:pPr>
            <w:r>
              <w:t>13,02 zł.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- 26,0 %</w:t>
            </w:r>
          </w:p>
        </w:tc>
      </w:tr>
      <w:tr w:rsidR="00FA7870" w:rsidTr="004F44A3">
        <w:tc>
          <w:tcPr>
            <w:tcW w:w="3402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+8,7 %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2484,02 pkt. 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 w:rsidRPr="00662678">
              <w:t>2</w:t>
            </w:r>
            <w:r>
              <w:t> 519,20 pkt.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   1,4 %</w:t>
            </w:r>
          </w:p>
        </w:tc>
      </w:tr>
    </w:tbl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jc w:val="both"/>
      </w:pPr>
      <w:r>
        <w:t xml:space="preserve">Tabela: Procentowa zmiana ceny akcji spółki, której akcje zostały wymienione w piątym numerze ,,Raportu Tygodniowego” z 6 października 2014 roku w rubryce ,,Wykres do przemyślenia” w okresie od 3 października do 24 kwietnia 2015 roku oraz procentowa zmiana indeksu WIG 20 w tym okresie. </w:t>
      </w:r>
    </w:p>
    <w:p w:rsidR="00FA7870" w:rsidRDefault="00FA7870" w:rsidP="00FA7870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03.10.2014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24.04.2015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Zmiana (w %)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Akcja spółki Stalprodukt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>244,10 zł.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>440,00 zł.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+80,3 %</w:t>
            </w:r>
          </w:p>
        </w:tc>
      </w:tr>
      <w:tr w:rsidR="00FA7870" w:rsidRPr="008F668F" w:rsidTr="004F44A3">
        <w:tc>
          <w:tcPr>
            <w:tcW w:w="3402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+80,3 %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2 444,06 pkt. 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 w:rsidRPr="00662678">
              <w:t>2</w:t>
            </w:r>
            <w:r>
              <w:t> 519,20 pkt.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  +3,1 %</w:t>
            </w:r>
          </w:p>
        </w:tc>
      </w:tr>
    </w:tbl>
    <w:p w:rsidR="00FA7870" w:rsidRDefault="00FA7870" w:rsidP="00FA7870">
      <w:pPr>
        <w:pStyle w:val="Bezodstpw"/>
        <w:jc w:val="both"/>
        <w:rPr>
          <w:b/>
          <w:color w:val="FF0000"/>
        </w:rPr>
      </w:pPr>
    </w:p>
    <w:p w:rsidR="00FA7870" w:rsidRDefault="00FA7870" w:rsidP="00FA7870">
      <w:pPr>
        <w:pStyle w:val="Bezodstpw"/>
        <w:jc w:val="both"/>
      </w:pPr>
      <w:r>
        <w:t xml:space="preserve">Tabela: Procentowa zmiana ceny akcji spółki, której akcje zostały wymienione w szóstym numerze ,,Raportu Tygodniowego” z 20 października 2014 roku w rubryce ,,Wykres do przemyślenia” w okresie od 17 września do 24 kwietnia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17.10.2014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24.04.2015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Zmiana (w %)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Tauron</w:t>
            </w:r>
            <w:proofErr w:type="spellEnd"/>
            <w:r>
              <w:t xml:space="preserve"> Polska Energia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>5,21 zł.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4,92 zł. 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  -5,6 %</w:t>
            </w:r>
          </w:p>
        </w:tc>
      </w:tr>
      <w:tr w:rsidR="00FA7870" w:rsidRPr="008F668F" w:rsidTr="004F44A3">
        <w:tc>
          <w:tcPr>
            <w:tcW w:w="3402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-5,6 %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2 401,13 pkt. 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 w:rsidRPr="00662678">
              <w:t>2</w:t>
            </w:r>
            <w:r>
              <w:t> 519,20 pkt.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    +4,9 %</w:t>
            </w:r>
          </w:p>
        </w:tc>
      </w:tr>
    </w:tbl>
    <w:p w:rsidR="00FA7870" w:rsidRDefault="00FA7870" w:rsidP="00FA7870">
      <w:pPr>
        <w:pStyle w:val="Bezodstpw"/>
        <w:jc w:val="both"/>
      </w:pPr>
      <w:r>
        <w:t xml:space="preserve">Tabela: Procentowa zmiana ceny akcji spółki, której akcje zostały umieszczone 22 października na stronie internetowej </w:t>
      </w:r>
      <w:hyperlink r:id="rId15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21 października do 24 kwietnia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21.10.2014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24.04.2015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Zmiana (w %)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Elektrotim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A7870" w:rsidRDefault="00FA7870" w:rsidP="004F44A3">
            <w:pPr>
              <w:pStyle w:val="Bezodstpw"/>
              <w:jc w:val="center"/>
            </w:pPr>
            <w:r>
              <w:t>8,70 zł.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A7870" w:rsidRDefault="00FA7870" w:rsidP="004F44A3">
            <w:pPr>
              <w:pStyle w:val="Bezodstpw"/>
              <w:jc w:val="center"/>
            </w:pPr>
            <w:r>
              <w:t>11,45 zł.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+ 31,6 %</w:t>
            </w:r>
          </w:p>
        </w:tc>
      </w:tr>
      <w:tr w:rsidR="00FA7870" w:rsidRPr="008F668F" w:rsidTr="004F44A3">
        <w:tc>
          <w:tcPr>
            <w:tcW w:w="3402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>
              <w:t>Akcja spółki Relpol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FA7870" w:rsidRPr="00A556F3" w:rsidRDefault="00FA7870" w:rsidP="004F44A3">
            <w:pPr>
              <w:pStyle w:val="Bezodstpw"/>
              <w:jc w:val="center"/>
              <w:rPr>
                <w:color w:val="000000" w:themeColor="text1"/>
              </w:rPr>
            </w:pPr>
            <w:r w:rsidRPr="00A556F3">
              <w:rPr>
                <w:color w:val="000000" w:themeColor="text1"/>
              </w:rPr>
              <w:t xml:space="preserve">6,93 zł. 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FA7870" w:rsidRPr="00A556F3" w:rsidRDefault="00FA7870" w:rsidP="004F44A3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6,94 zł. </w:t>
            </w:r>
          </w:p>
        </w:tc>
        <w:tc>
          <w:tcPr>
            <w:tcW w:w="1134" w:type="dxa"/>
          </w:tcPr>
          <w:p w:rsidR="00FA7870" w:rsidRPr="00A556F3" w:rsidRDefault="00FA7870" w:rsidP="004F44A3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0,1  %</w:t>
            </w:r>
          </w:p>
        </w:tc>
      </w:tr>
      <w:tr w:rsidR="00FA7870" w:rsidTr="004F44A3">
        <w:tc>
          <w:tcPr>
            <w:tcW w:w="3402" w:type="dxa"/>
          </w:tcPr>
          <w:p w:rsidR="00FA7870" w:rsidRPr="00A556F3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 w:rsidRPr="00A556F3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</w:p>
        </w:tc>
        <w:tc>
          <w:tcPr>
            <w:tcW w:w="1134" w:type="dxa"/>
          </w:tcPr>
          <w:p w:rsidR="00FA7870" w:rsidRPr="00581996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+ 15</w:t>
            </w:r>
            <w:r w:rsidRPr="00581996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9 %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2 423,29,77 pkt. 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 w:rsidRPr="00662678">
              <w:t>2</w:t>
            </w:r>
            <w:r>
              <w:t> 519,20 pkt.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  +4,0 % </w:t>
            </w:r>
          </w:p>
        </w:tc>
      </w:tr>
    </w:tbl>
    <w:p w:rsidR="00FA7870" w:rsidRDefault="00FA7870" w:rsidP="00FA7870">
      <w:pPr>
        <w:pStyle w:val="Bezodstpw"/>
        <w:jc w:val="both"/>
      </w:pPr>
      <w:r>
        <w:lastRenderedPageBreak/>
        <w:t xml:space="preserve">Tabela: Procentowa zmiana ceny akcji spółki, której akcje zostały wymienione w siódmym numerze ,,Raportu Tygodniowego” z 27 października 2014 roku w rubryce ,,Wykres do przemyślenia” w okresie od 24 października 2014 roku do 24 kwietnia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24.10.2014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24.04.2015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Zmiana (w %)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Tesgas</w:t>
            </w:r>
            <w:proofErr w:type="spellEnd"/>
            <w:r>
              <w:t xml:space="preserve"> 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>4,32 zł.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3,68 zł. 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  -14,8 %</w:t>
            </w:r>
          </w:p>
        </w:tc>
      </w:tr>
      <w:tr w:rsidR="00FA7870" w:rsidRPr="008F668F" w:rsidTr="004F44A3">
        <w:tc>
          <w:tcPr>
            <w:tcW w:w="3402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-14,8 %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2 401,13 pkt. 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 w:rsidRPr="00662678">
              <w:t>2</w:t>
            </w:r>
            <w:r>
              <w:t> 519,20 pkt.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  +3,8 %</w:t>
            </w:r>
          </w:p>
        </w:tc>
      </w:tr>
    </w:tbl>
    <w:p w:rsidR="00FA7870" w:rsidRDefault="00FA7870" w:rsidP="00FA7870">
      <w:pPr>
        <w:pStyle w:val="Bezodstpw"/>
        <w:jc w:val="both"/>
      </w:pPr>
      <w:r>
        <w:t xml:space="preserve">Tabela: Procentowa zmiana ceny akcji spółki, której akcje zostały wymienione w numerze ,,Raportu Tygodniowego” z 3 listopada 2014 roku w rubryce ,,Wykres do przemyślenia” w okresie od 31 października 2014 roku do 24 kwietnia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31.10.2014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24.04.2015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Zmiana (w %)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Akcja spółki Enea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>16,00 zł.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16,30 zł. 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  +1,9 %</w:t>
            </w:r>
          </w:p>
        </w:tc>
      </w:tr>
      <w:tr w:rsidR="00FA7870" w:rsidRPr="008F668F" w:rsidTr="004F44A3">
        <w:tc>
          <w:tcPr>
            <w:tcW w:w="3402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+1,9 %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2 463,68 pkt. 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 w:rsidRPr="00662678">
              <w:t>2</w:t>
            </w:r>
            <w:r>
              <w:t> 519,20 pkt.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  +2,3 %</w:t>
            </w:r>
          </w:p>
        </w:tc>
      </w:tr>
    </w:tbl>
    <w:p w:rsidR="00FA7870" w:rsidRDefault="00FA7870" w:rsidP="00FA7870">
      <w:pPr>
        <w:pStyle w:val="Bezodstpw"/>
        <w:jc w:val="both"/>
      </w:pPr>
      <w:r>
        <w:t xml:space="preserve">Tabela: Procentowa zmiana ceny akcji spółki, której akcje zostały wymienione w numerze ,,Raportu Tygodniowego” z 1 grudnia 2014 roku w rubryce ,,Wykres do przemyślenia” w okresie od 28 listopada 2014 roku do 24 kwietnia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28.11.2014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24.04.2015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Zmiana (w %)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Procad</w:t>
            </w:r>
            <w:proofErr w:type="spellEnd"/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>1,06 zł.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>1,69 zł.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+59,4 %</w:t>
            </w:r>
          </w:p>
        </w:tc>
      </w:tr>
      <w:tr w:rsidR="00FA7870" w:rsidRPr="008F668F" w:rsidTr="004F44A3">
        <w:tc>
          <w:tcPr>
            <w:tcW w:w="3402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+59,4 %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2 416,93 pkt. 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 w:rsidRPr="00662678">
              <w:t>2</w:t>
            </w:r>
            <w:r>
              <w:t> 519,20 pkt.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+4,2 %</w:t>
            </w:r>
          </w:p>
        </w:tc>
      </w:tr>
    </w:tbl>
    <w:p w:rsidR="00FA7870" w:rsidRDefault="00FA7870" w:rsidP="00FA7870">
      <w:pPr>
        <w:pStyle w:val="Bezodstpw"/>
        <w:jc w:val="both"/>
      </w:pPr>
      <w:r>
        <w:t xml:space="preserve">Tabela: Procentowa zmiana ceny akcji spółki, której akcje zostały umieszczone 2 grudnia na stronie internetowej </w:t>
      </w:r>
      <w:hyperlink r:id="rId16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 grudnia 2014 roku do 24 kwietnia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01.12.2014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24.04.2015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Zmiana (w %)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Akcja spółki PKO BP 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>37,65 zł.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>35,93 zł.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-4,6%</w:t>
            </w:r>
          </w:p>
        </w:tc>
      </w:tr>
      <w:tr w:rsidR="00FA7870" w:rsidRPr="008F668F" w:rsidTr="004F44A3">
        <w:tc>
          <w:tcPr>
            <w:tcW w:w="3402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-4,6 %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 w:rsidRPr="00662678">
              <w:t>2</w:t>
            </w:r>
            <w:r>
              <w:t> 519,20 pkt.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    4,2 %</w:t>
            </w:r>
          </w:p>
        </w:tc>
      </w:tr>
    </w:tbl>
    <w:p w:rsidR="00FA7870" w:rsidRDefault="00FA7870" w:rsidP="00FA7870">
      <w:pPr>
        <w:pStyle w:val="Bezodstpw"/>
        <w:jc w:val="both"/>
      </w:pPr>
      <w:r>
        <w:t xml:space="preserve">Tabela: Procentowa zmiana ceny akcji spółki, której akcje zostały wymienione w numerze ,,Raportu Tygodniowego” z 15 grudnia 2014 roku w rubryce ,,Wykres do przemyślenia” w okresie od 12 grudnia 2014 roku do 24 kwietnia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12.12.2014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24.04.2015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Zmiana (w %)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Mercor</w:t>
            </w:r>
            <w:proofErr w:type="spellEnd"/>
            <w:r>
              <w:t xml:space="preserve"> 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>8,14 zł.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10,03 zł. 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  +23,2 %</w:t>
            </w:r>
          </w:p>
        </w:tc>
      </w:tr>
      <w:tr w:rsidR="00FA7870" w:rsidRPr="008F668F" w:rsidTr="004F44A3">
        <w:tc>
          <w:tcPr>
            <w:tcW w:w="3402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+23,2 %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2 360,00 pkt. 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 w:rsidRPr="00662678">
              <w:t>2</w:t>
            </w:r>
            <w:r>
              <w:t> 519,20 pkt.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 + 6,7 %</w:t>
            </w:r>
          </w:p>
        </w:tc>
      </w:tr>
    </w:tbl>
    <w:p w:rsidR="00FA7870" w:rsidRDefault="00FA7870" w:rsidP="00FA7870">
      <w:pPr>
        <w:pStyle w:val="Bezodstpw"/>
        <w:jc w:val="both"/>
      </w:pPr>
      <w:r>
        <w:t xml:space="preserve">Tabela: Procentowa zmiana ceny akcji spółki, której akcje zostały umieszczone 2 stycznia 2015 roku na  stronie internetowej </w:t>
      </w:r>
      <w:hyperlink r:id="rId17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 do 24 kwietnia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01.12.2014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24.04.2015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Zmiana (w %)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Akcja spółki Comarch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>115,50 zł.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>131,50 zł.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+13,9 %</w:t>
            </w:r>
          </w:p>
        </w:tc>
      </w:tr>
      <w:tr w:rsidR="00FA7870" w:rsidRPr="008F668F" w:rsidTr="004F44A3">
        <w:tc>
          <w:tcPr>
            <w:tcW w:w="3402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+13,9 %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 w:rsidRPr="00662678">
              <w:t>2</w:t>
            </w:r>
            <w:r>
              <w:t> 519,20 pkt.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+ 8,8 %</w:t>
            </w:r>
          </w:p>
        </w:tc>
      </w:tr>
    </w:tbl>
    <w:p w:rsidR="00FA7870" w:rsidRDefault="00FA7870" w:rsidP="00FA7870">
      <w:pPr>
        <w:pStyle w:val="Bezodstpw"/>
        <w:jc w:val="both"/>
      </w:pPr>
      <w:r>
        <w:lastRenderedPageBreak/>
        <w:t xml:space="preserve">Tabela: Procentowa zmiana ceny akcji spółki, której akcje zostały umieszczone 12 stycznia 2015 roku na  stronie internetowej </w:t>
      </w:r>
      <w:hyperlink r:id="rId18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9 stycznia do 24 kwietnia 2015 roku oraz procentowa zmiana indeksu WIG 20 w tym okresie. </w:t>
      </w:r>
    </w:p>
    <w:p w:rsidR="00FA7870" w:rsidRDefault="00FA7870" w:rsidP="00FA7870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09.01.2015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24.04.2015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Zmiana (w %)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Akcja spółki Muza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>3,34 zł.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>3,60 zł.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+7,8 %</w:t>
            </w:r>
          </w:p>
        </w:tc>
      </w:tr>
      <w:tr w:rsidR="00FA7870" w:rsidRPr="008F668F" w:rsidTr="004F44A3">
        <w:tc>
          <w:tcPr>
            <w:tcW w:w="3402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+7,8 %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 w:rsidRPr="00662678">
              <w:t>2</w:t>
            </w:r>
            <w:r>
              <w:t> 519,20 pkt.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+7,8 %</w:t>
            </w:r>
          </w:p>
        </w:tc>
      </w:tr>
    </w:tbl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jc w:val="both"/>
      </w:pPr>
      <w:r>
        <w:t xml:space="preserve">Tabela: Procentowa zmiana ceny akcji spółki, której akcje zostały umieszczone 30 stycznia 2015 roku na  stronie internetowej </w:t>
      </w:r>
      <w:hyperlink r:id="rId19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29 stycznia do 24 kwietnia 2015 roku oraz procentowa zmiana indeksu WIG 20 w tym okresie. </w:t>
      </w:r>
    </w:p>
    <w:p w:rsidR="00FA7870" w:rsidRDefault="00FA7870" w:rsidP="00FA7870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29.01.2015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24.04.2015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Zmiana (w %)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Akcja spółki Lubawa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>1,11 zł.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>1,39 zł.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+25,2 %</w:t>
            </w:r>
          </w:p>
        </w:tc>
      </w:tr>
      <w:tr w:rsidR="00FA7870" w:rsidRPr="008F668F" w:rsidTr="004F44A3">
        <w:tc>
          <w:tcPr>
            <w:tcW w:w="3402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+25,2 %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 w:rsidRPr="00662678">
              <w:t>2</w:t>
            </w:r>
            <w:r>
              <w:t> 519,20 pkt.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+ 7,6  %</w:t>
            </w:r>
          </w:p>
        </w:tc>
      </w:tr>
    </w:tbl>
    <w:p w:rsidR="00FA7870" w:rsidRDefault="00FA7870" w:rsidP="00FA7870">
      <w:pPr>
        <w:pStyle w:val="Bezodstpw"/>
        <w:jc w:val="both"/>
        <w:rPr>
          <w:b/>
          <w:u w:val="single"/>
        </w:rPr>
      </w:pPr>
    </w:p>
    <w:p w:rsidR="00FA7870" w:rsidRDefault="00FA7870" w:rsidP="00FA7870">
      <w:pPr>
        <w:pStyle w:val="Bezodstpw"/>
        <w:jc w:val="both"/>
      </w:pPr>
      <w:r>
        <w:t xml:space="preserve">Tabela: Procentowa zmiana ceny akcji spółki, której akcje zostały umieszczone 10 lutego 2015 roku na  stronie internetowej </w:t>
      </w:r>
      <w:hyperlink r:id="rId20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9 lutego do 24 kwietnia 2015 roku oraz procentowa zmiana indeksu WIG 20 w tym okresie. </w:t>
      </w:r>
    </w:p>
    <w:p w:rsidR="00FA7870" w:rsidRDefault="00FA7870" w:rsidP="00FA7870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09.02.2015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24.04.2015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Zmiana (w %)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Atrem</w:t>
            </w:r>
            <w:proofErr w:type="spellEnd"/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>4,50 zł.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>4,81 zł.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+6,9 %</w:t>
            </w:r>
          </w:p>
        </w:tc>
      </w:tr>
      <w:tr w:rsidR="00FA7870" w:rsidRPr="008F668F" w:rsidTr="004F44A3">
        <w:tc>
          <w:tcPr>
            <w:tcW w:w="3402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+6,9 %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 w:rsidRPr="00662678">
              <w:t>2</w:t>
            </w:r>
            <w:r>
              <w:t> 519,20 pkt.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+7,7  %</w:t>
            </w:r>
          </w:p>
        </w:tc>
      </w:tr>
    </w:tbl>
    <w:p w:rsidR="00FA7870" w:rsidRDefault="00FA7870" w:rsidP="00FA7870">
      <w:pPr>
        <w:pStyle w:val="Bezodstpw"/>
        <w:jc w:val="both"/>
        <w:rPr>
          <w:b/>
        </w:rPr>
      </w:pPr>
    </w:p>
    <w:p w:rsidR="00FA7870" w:rsidRDefault="00FA7870" w:rsidP="00FA7870">
      <w:pPr>
        <w:pStyle w:val="Bezodstpw"/>
        <w:jc w:val="both"/>
      </w:pPr>
      <w:r>
        <w:t xml:space="preserve">Tabela: Procentowa zmiana ceny akcji spółki, której akcje zostały umieszczone 3 marca 2015 roku na  stronie internetowej </w:t>
      </w:r>
      <w:hyperlink r:id="rId21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 marca do 24 kwietnia 2015 roku 2015 roku oraz procentowa zmiana indeksu WIG 20 w tym okresie. </w:t>
      </w:r>
    </w:p>
    <w:p w:rsidR="00FA7870" w:rsidRDefault="00FA7870" w:rsidP="00FA7870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02.03.2015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24.04.2015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Zmiana (w %)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Akcja spółki Mostostal Warszawa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>7,57 zł.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>10,65 zł.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+40,7 %</w:t>
            </w:r>
          </w:p>
        </w:tc>
      </w:tr>
      <w:tr w:rsidR="00FA7870" w:rsidRPr="008F668F" w:rsidTr="004F44A3">
        <w:tc>
          <w:tcPr>
            <w:tcW w:w="3402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+40,7 %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 w:rsidRPr="00662678">
              <w:t>2</w:t>
            </w:r>
            <w:r>
              <w:t> 519,20 pkt.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+6,8 %</w:t>
            </w:r>
          </w:p>
        </w:tc>
      </w:tr>
    </w:tbl>
    <w:p w:rsidR="00FA7870" w:rsidRDefault="00FA7870" w:rsidP="00FA7870">
      <w:pPr>
        <w:pStyle w:val="Bezodstpw"/>
        <w:jc w:val="both"/>
        <w:rPr>
          <w:b/>
        </w:rPr>
      </w:pPr>
    </w:p>
    <w:p w:rsidR="00FA7870" w:rsidRDefault="00FA7870" w:rsidP="00FA7870">
      <w:pPr>
        <w:pStyle w:val="Bezodstpw"/>
        <w:jc w:val="both"/>
      </w:pPr>
      <w:r>
        <w:t xml:space="preserve">Tabela: Procentowa zmiana ceny akcji spółki, której akcje zostały umieszczone 9 kwietnia 2015 roku na  stronie internetowej </w:t>
      </w:r>
      <w:hyperlink r:id="rId22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8 do 24 kwietnia 2015 roku oraz procentowa zmiana indeksu WIG 20 w tym okresie. </w:t>
      </w:r>
    </w:p>
    <w:p w:rsidR="00FA7870" w:rsidRDefault="00FA7870" w:rsidP="00FA7870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08.04.2015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>Poziom – 24.04.2015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Zmiana (w %)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Akcja spółki Ceramika Nowa Gala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>1,25 zł.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>
              <w:t>1,27 zł.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+1,6 %</w:t>
            </w:r>
          </w:p>
        </w:tc>
      </w:tr>
      <w:tr w:rsidR="00FA7870" w:rsidRPr="008F668F" w:rsidTr="004F44A3">
        <w:tc>
          <w:tcPr>
            <w:tcW w:w="3402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FA7870" w:rsidRPr="008F668F" w:rsidRDefault="00FA7870" w:rsidP="004F44A3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+1,6 %</w:t>
            </w:r>
          </w:p>
        </w:tc>
      </w:tr>
      <w:tr w:rsidR="00FA7870" w:rsidTr="004F44A3">
        <w:tc>
          <w:tcPr>
            <w:tcW w:w="3402" w:type="dxa"/>
          </w:tcPr>
          <w:p w:rsidR="00FA7870" w:rsidRDefault="00FA7870" w:rsidP="004F44A3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FA7870" w:rsidRDefault="00FA7870" w:rsidP="004F44A3">
            <w:pPr>
              <w:pStyle w:val="Bezodstpw"/>
              <w:jc w:val="center"/>
            </w:pPr>
            <w:r>
              <w:t xml:space="preserve">2 424,82 pkt. </w:t>
            </w:r>
          </w:p>
        </w:tc>
        <w:tc>
          <w:tcPr>
            <w:tcW w:w="2303" w:type="dxa"/>
          </w:tcPr>
          <w:p w:rsidR="00FA7870" w:rsidRDefault="00FA7870" w:rsidP="004F44A3">
            <w:pPr>
              <w:pStyle w:val="Bezodstpw"/>
              <w:jc w:val="center"/>
            </w:pPr>
            <w:r w:rsidRPr="00662678">
              <w:t>2</w:t>
            </w:r>
            <w:r>
              <w:t> 519,20 pkt.</w:t>
            </w:r>
          </w:p>
        </w:tc>
        <w:tc>
          <w:tcPr>
            <w:tcW w:w="1134" w:type="dxa"/>
          </w:tcPr>
          <w:p w:rsidR="00FA7870" w:rsidRDefault="00FA7870" w:rsidP="004F44A3">
            <w:pPr>
              <w:pStyle w:val="Bezodstpw"/>
              <w:jc w:val="center"/>
            </w:pPr>
            <w:r>
              <w:t>+ 3,9 %</w:t>
            </w:r>
          </w:p>
        </w:tc>
      </w:tr>
    </w:tbl>
    <w:p w:rsidR="00FA7870" w:rsidRDefault="00FA7870" w:rsidP="00FA7870">
      <w:pPr>
        <w:pStyle w:val="Bezodstpw"/>
        <w:jc w:val="both"/>
        <w:rPr>
          <w:sz w:val="34"/>
          <w:szCs w:val="34"/>
        </w:rPr>
      </w:pPr>
    </w:p>
    <w:p w:rsidR="00FA7870" w:rsidRPr="00147018" w:rsidRDefault="00FA7870" w:rsidP="00FA7870">
      <w:pPr>
        <w:pStyle w:val="Bezodstpw"/>
        <w:jc w:val="both"/>
        <w:rPr>
          <w:b/>
          <w:sz w:val="36"/>
          <w:szCs w:val="36"/>
          <w:u w:val="single"/>
        </w:rPr>
      </w:pPr>
      <w:r w:rsidRPr="00147018">
        <w:rPr>
          <w:sz w:val="36"/>
          <w:szCs w:val="36"/>
        </w:rPr>
        <w:lastRenderedPageBreak/>
        <w:t xml:space="preserve">Warto zauważyć, że </w:t>
      </w:r>
      <w:r w:rsidRPr="00147018">
        <w:rPr>
          <w:b/>
          <w:color w:val="FF0000"/>
          <w:sz w:val="36"/>
          <w:szCs w:val="36"/>
        </w:rPr>
        <w:t>spośród</w:t>
      </w:r>
      <w:r w:rsidRPr="00147018">
        <w:rPr>
          <w:b/>
          <w:sz w:val="36"/>
          <w:szCs w:val="36"/>
        </w:rPr>
        <w:t xml:space="preserve"> </w:t>
      </w:r>
      <w:r w:rsidRPr="00147018">
        <w:rPr>
          <w:b/>
          <w:color w:val="FF0000"/>
          <w:sz w:val="36"/>
          <w:szCs w:val="36"/>
        </w:rPr>
        <w:t>26 spółek</w:t>
      </w:r>
      <w:r w:rsidRPr="00147018">
        <w:rPr>
          <w:b/>
          <w:sz w:val="36"/>
          <w:szCs w:val="36"/>
        </w:rPr>
        <w:t>, których akcje zakwalifikowane zostały do rubryki ,,Wykres do przemyślenia”</w:t>
      </w:r>
      <w:r w:rsidRPr="00147018">
        <w:rPr>
          <w:sz w:val="36"/>
          <w:szCs w:val="36"/>
        </w:rPr>
        <w:t xml:space="preserve"> (gdyż wybiły się już z formacji podwójnego dna) </w:t>
      </w:r>
      <w:r w:rsidRPr="00147018">
        <w:rPr>
          <w:b/>
          <w:sz w:val="36"/>
          <w:szCs w:val="36"/>
        </w:rPr>
        <w:t xml:space="preserve">kursy akcji </w:t>
      </w:r>
      <w:r w:rsidRPr="00147018">
        <w:rPr>
          <w:b/>
          <w:color w:val="FF0000"/>
          <w:sz w:val="36"/>
          <w:szCs w:val="36"/>
        </w:rPr>
        <w:t>15 spółek</w:t>
      </w:r>
      <w:r w:rsidRPr="00147018">
        <w:rPr>
          <w:sz w:val="36"/>
          <w:szCs w:val="36"/>
        </w:rPr>
        <w:t xml:space="preserve"> od momentu owego zakwalifikowania do tej rubryki do dnia 24 kwietnia 2015 roku zachowywały się </w:t>
      </w:r>
      <w:r w:rsidRPr="00147018">
        <w:rPr>
          <w:b/>
          <w:color w:val="FF0000"/>
          <w:sz w:val="36"/>
          <w:szCs w:val="36"/>
          <w:u w:val="single"/>
        </w:rPr>
        <w:t>lepiej</w:t>
      </w:r>
      <w:r w:rsidRPr="00147018">
        <w:rPr>
          <w:b/>
          <w:color w:val="FF0000"/>
          <w:sz w:val="36"/>
          <w:szCs w:val="36"/>
        </w:rPr>
        <w:t xml:space="preserve"> od indeksu WIG20, </w:t>
      </w:r>
      <w:r w:rsidRPr="00147018">
        <w:rPr>
          <w:sz w:val="36"/>
          <w:szCs w:val="36"/>
        </w:rPr>
        <w:t>10</w:t>
      </w:r>
      <w:r w:rsidRPr="00147018">
        <w:rPr>
          <w:b/>
          <w:sz w:val="36"/>
          <w:szCs w:val="36"/>
        </w:rPr>
        <w:t xml:space="preserve"> zachowywało się </w:t>
      </w:r>
      <w:r w:rsidRPr="00147018">
        <w:rPr>
          <w:b/>
          <w:sz w:val="36"/>
          <w:szCs w:val="36"/>
          <w:u w:val="single"/>
        </w:rPr>
        <w:t>gorzej</w:t>
      </w:r>
      <w:r w:rsidRPr="00147018">
        <w:rPr>
          <w:b/>
          <w:sz w:val="36"/>
          <w:szCs w:val="36"/>
        </w:rPr>
        <w:t xml:space="preserve"> </w:t>
      </w:r>
      <w:r w:rsidRPr="00147018">
        <w:rPr>
          <w:sz w:val="36"/>
          <w:szCs w:val="36"/>
        </w:rPr>
        <w:t>od indeksu</w:t>
      </w:r>
      <w:r w:rsidRPr="00147018">
        <w:rPr>
          <w:b/>
          <w:sz w:val="36"/>
          <w:szCs w:val="36"/>
        </w:rPr>
        <w:t xml:space="preserve"> WIG 20 a 1 tak samo jak WIG20. </w:t>
      </w:r>
    </w:p>
    <w:p w:rsidR="00FA7870" w:rsidRPr="004B4AAC" w:rsidRDefault="00FA7870" w:rsidP="00FA7870">
      <w:pPr>
        <w:pStyle w:val="Bezodstpw"/>
        <w:jc w:val="both"/>
        <w:rPr>
          <w:b/>
          <w:sz w:val="40"/>
          <w:szCs w:val="40"/>
          <w:u w:val="single"/>
        </w:rPr>
      </w:pPr>
    </w:p>
    <w:p w:rsidR="00FA7870" w:rsidRPr="004B4AAC" w:rsidRDefault="00FA7870" w:rsidP="00FA7870">
      <w:pPr>
        <w:pStyle w:val="Bezodstpw"/>
        <w:jc w:val="center"/>
        <w:rPr>
          <w:b/>
          <w:emboss/>
          <w:color w:val="FF0000"/>
          <w:sz w:val="40"/>
          <w:szCs w:val="40"/>
        </w:rPr>
      </w:pPr>
      <w:r w:rsidRPr="004B4AAC">
        <w:rPr>
          <w:b/>
          <w:emboss/>
          <w:color w:val="FF0000"/>
          <w:sz w:val="40"/>
          <w:szCs w:val="40"/>
        </w:rPr>
        <w:t>Porównanie</w:t>
      </w:r>
    </w:p>
    <w:p w:rsidR="00FA7870" w:rsidRPr="004B4AAC" w:rsidRDefault="00FA7870" w:rsidP="00FA7870">
      <w:pPr>
        <w:pStyle w:val="Bezodstpw"/>
        <w:jc w:val="both"/>
        <w:rPr>
          <w:sz w:val="40"/>
          <w:szCs w:val="40"/>
        </w:rPr>
      </w:pPr>
      <w:r w:rsidRPr="004B4AAC">
        <w:rPr>
          <w:sz w:val="40"/>
          <w:szCs w:val="40"/>
        </w:rPr>
        <w:t xml:space="preserve">Wykres: </w:t>
      </w:r>
      <w:r w:rsidRPr="004B4AAC">
        <w:rPr>
          <w:color w:val="000000" w:themeColor="text1"/>
          <w:sz w:val="40"/>
          <w:szCs w:val="40"/>
        </w:rPr>
        <w:t>Średnia procentowa zmiana kursu akcji spółki po wprowadzeniu jej do rubryki ,,Wykres do przemyślenia”</w:t>
      </w:r>
      <w:r w:rsidRPr="004B4AAC">
        <w:rPr>
          <w:b/>
          <w:color w:val="FF0000"/>
          <w:sz w:val="40"/>
          <w:szCs w:val="40"/>
        </w:rPr>
        <w:t xml:space="preserve"> w okresie </w:t>
      </w:r>
      <w:r>
        <w:rPr>
          <w:b/>
          <w:color w:val="FF0000"/>
          <w:sz w:val="40"/>
          <w:szCs w:val="40"/>
        </w:rPr>
        <w:t>6</w:t>
      </w:r>
      <w:r w:rsidRPr="004B4AAC">
        <w:rPr>
          <w:b/>
          <w:color w:val="FF0000"/>
          <w:sz w:val="40"/>
          <w:szCs w:val="40"/>
        </w:rPr>
        <w:t xml:space="preserve"> miesięcy</w:t>
      </w:r>
      <w:r w:rsidRPr="004B4AAC">
        <w:rPr>
          <w:sz w:val="40"/>
          <w:szCs w:val="40"/>
        </w:rPr>
        <w:t xml:space="preserve"> po jej wprowadzeniu do tej rubryki wynosiła </w:t>
      </w:r>
      <w:r w:rsidRPr="004B4AAC">
        <w:rPr>
          <w:b/>
          <w:color w:val="FF0000"/>
          <w:sz w:val="40"/>
          <w:szCs w:val="40"/>
        </w:rPr>
        <w:t xml:space="preserve">plus </w:t>
      </w:r>
      <w:r>
        <w:rPr>
          <w:b/>
          <w:color w:val="FF0000"/>
          <w:sz w:val="40"/>
          <w:szCs w:val="40"/>
        </w:rPr>
        <w:t>17,7</w:t>
      </w:r>
      <w:r w:rsidRPr="004B4AAC">
        <w:rPr>
          <w:b/>
          <w:color w:val="FF0000"/>
          <w:sz w:val="40"/>
          <w:szCs w:val="40"/>
        </w:rPr>
        <w:t xml:space="preserve"> %</w:t>
      </w:r>
      <w:r w:rsidRPr="004B4AAC">
        <w:rPr>
          <w:sz w:val="40"/>
          <w:szCs w:val="40"/>
        </w:rPr>
        <w:t xml:space="preserve"> a średnia procentowa zmiana indeksu WIG20 wynosiła w tym okresie minus </w:t>
      </w:r>
      <w:r>
        <w:rPr>
          <w:sz w:val="40"/>
          <w:szCs w:val="40"/>
        </w:rPr>
        <w:t>3</w:t>
      </w:r>
      <w:r w:rsidRPr="004B4AAC">
        <w:rPr>
          <w:sz w:val="40"/>
          <w:szCs w:val="40"/>
        </w:rPr>
        <w:t>,</w:t>
      </w:r>
      <w:r>
        <w:rPr>
          <w:sz w:val="40"/>
          <w:szCs w:val="40"/>
        </w:rPr>
        <w:t>3</w:t>
      </w:r>
      <w:r w:rsidRPr="004B4AAC">
        <w:rPr>
          <w:sz w:val="40"/>
          <w:szCs w:val="40"/>
        </w:rPr>
        <w:t xml:space="preserve"> % (</w:t>
      </w:r>
      <w:r w:rsidRPr="004B4AAC">
        <w:rPr>
          <w:sz w:val="40"/>
          <w:szCs w:val="40"/>
          <w:u w:val="single"/>
        </w:rPr>
        <w:t xml:space="preserve">obliczenia według stanu na </w:t>
      </w:r>
      <w:r>
        <w:rPr>
          <w:sz w:val="40"/>
          <w:szCs w:val="40"/>
          <w:u w:val="single"/>
        </w:rPr>
        <w:t>24</w:t>
      </w:r>
      <w:r w:rsidRPr="004B4AAC">
        <w:rPr>
          <w:sz w:val="40"/>
          <w:szCs w:val="40"/>
          <w:u w:val="single"/>
        </w:rPr>
        <w:t xml:space="preserve"> kwietnia 2015 roku</w:t>
      </w:r>
      <w:r w:rsidRPr="004B4AAC">
        <w:rPr>
          <w:sz w:val="40"/>
          <w:szCs w:val="40"/>
        </w:rPr>
        <w:t xml:space="preserve">). Dane o procentowej zmianie kursu dla okresu </w:t>
      </w:r>
      <w:r>
        <w:rPr>
          <w:sz w:val="40"/>
          <w:szCs w:val="40"/>
        </w:rPr>
        <w:t>6</w:t>
      </w:r>
      <w:r w:rsidRPr="004B4AAC">
        <w:rPr>
          <w:sz w:val="40"/>
          <w:szCs w:val="40"/>
        </w:rPr>
        <w:t>-miesięcznego można było obliczyć dla akcji 1</w:t>
      </w:r>
      <w:r>
        <w:rPr>
          <w:sz w:val="40"/>
          <w:szCs w:val="40"/>
        </w:rPr>
        <w:t>6</w:t>
      </w:r>
      <w:r w:rsidRPr="004B4AAC">
        <w:rPr>
          <w:sz w:val="40"/>
          <w:szCs w:val="40"/>
        </w:rPr>
        <w:t xml:space="preserve"> spółek. </w:t>
      </w:r>
    </w:p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jc w:val="both"/>
      </w:pPr>
      <w:r w:rsidRPr="00AF56EB">
        <w:rPr>
          <w:noProof/>
          <w:bdr w:val="single" w:sz="24" w:space="0" w:color="00B050"/>
        </w:rPr>
        <w:drawing>
          <wp:inline distT="0" distB="0" distL="0" distR="0">
            <wp:extent cx="4162425" cy="2095500"/>
            <wp:effectExtent l="19050" t="0" r="9525" b="0"/>
            <wp:docPr id="28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jc w:val="both"/>
        <w:rPr>
          <w:sz w:val="24"/>
          <w:szCs w:val="24"/>
        </w:rPr>
      </w:pPr>
      <w:r w:rsidRPr="004B4AAC">
        <w:rPr>
          <w:sz w:val="24"/>
          <w:szCs w:val="24"/>
        </w:rPr>
        <w:t xml:space="preserve">Z powyższego porównania wynika, że </w:t>
      </w:r>
      <w:r w:rsidRPr="004B4AAC">
        <w:rPr>
          <w:b/>
          <w:sz w:val="24"/>
          <w:szCs w:val="24"/>
        </w:rPr>
        <w:t>wybicie kursu akcji spółki z formacji podwójnego dna</w:t>
      </w:r>
      <w:r w:rsidRPr="004B4AAC">
        <w:rPr>
          <w:sz w:val="24"/>
          <w:szCs w:val="24"/>
        </w:rPr>
        <w:t xml:space="preserve"> będące </w:t>
      </w:r>
      <w:r w:rsidRPr="004B4AAC">
        <w:rPr>
          <w:b/>
          <w:color w:val="000000" w:themeColor="text1"/>
          <w:sz w:val="24"/>
          <w:szCs w:val="24"/>
        </w:rPr>
        <w:t>niezbędnym kryterium kwalifikującym</w:t>
      </w:r>
      <w:r w:rsidRPr="004B4AAC">
        <w:rPr>
          <w:sz w:val="24"/>
          <w:szCs w:val="24"/>
        </w:rPr>
        <w:t xml:space="preserve"> do wprowadzenie spółki do rubryki ,,Wykres do przemyślenia” sprzyja relatywnie mocnemu zachowaniu kursu akcji tej spółki w okresie pierwszych </w:t>
      </w:r>
      <w:r>
        <w:rPr>
          <w:sz w:val="24"/>
          <w:szCs w:val="24"/>
        </w:rPr>
        <w:t>6</w:t>
      </w:r>
      <w:r w:rsidRPr="004B4AAC">
        <w:rPr>
          <w:sz w:val="24"/>
          <w:szCs w:val="24"/>
        </w:rPr>
        <w:t xml:space="preserve"> miesięcy po wprowadzeniu spółki do tej rubryki.</w:t>
      </w:r>
    </w:p>
    <w:p w:rsidR="00FA7870" w:rsidRDefault="00FA7870" w:rsidP="00FA7870">
      <w:pPr>
        <w:pStyle w:val="Bezodstpw"/>
        <w:jc w:val="both"/>
        <w:rPr>
          <w:sz w:val="24"/>
          <w:szCs w:val="24"/>
        </w:rPr>
      </w:pPr>
    </w:p>
    <w:p w:rsidR="00FA7870" w:rsidRPr="00A67567" w:rsidRDefault="00FA7870" w:rsidP="00FA7870">
      <w:pPr>
        <w:pStyle w:val="Bezodstpw"/>
        <w:jc w:val="both"/>
        <w:rPr>
          <w:sz w:val="52"/>
          <w:szCs w:val="52"/>
        </w:rPr>
      </w:pPr>
      <w:r w:rsidRPr="00A67567">
        <w:rPr>
          <w:sz w:val="52"/>
          <w:szCs w:val="52"/>
        </w:rPr>
        <w:lastRenderedPageBreak/>
        <w:t xml:space="preserve">Strona internetowa </w:t>
      </w:r>
      <w:hyperlink r:id="rId24" w:history="1">
        <w:r w:rsidRPr="00A67567">
          <w:rPr>
            <w:rStyle w:val="Hipercze"/>
            <w:sz w:val="52"/>
            <w:szCs w:val="52"/>
          </w:rPr>
          <w:t>http://analizy-rynkowe.pl/</w:t>
        </w:r>
      </w:hyperlink>
      <w:r w:rsidRPr="00A67567">
        <w:rPr>
          <w:sz w:val="52"/>
          <w:szCs w:val="52"/>
        </w:rPr>
        <w:t xml:space="preserve"> została założona we wrześniu 2014 roku. </w:t>
      </w:r>
    </w:p>
    <w:p w:rsidR="00FA7870" w:rsidRPr="00A67567" w:rsidRDefault="00FA7870" w:rsidP="00FA7870">
      <w:pPr>
        <w:pStyle w:val="Bezodstpw"/>
        <w:jc w:val="both"/>
        <w:rPr>
          <w:sz w:val="52"/>
          <w:szCs w:val="52"/>
        </w:rPr>
      </w:pPr>
    </w:p>
    <w:p w:rsidR="00FA7870" w:rsidRPr="00A67567" w:rsidRDefault="00FA7870" w:rsidP="00FA7870">
      <w:pPr>
        <w:pStyle w:val="Bezodstpw"/>
        <w:jc w:val="both"/>
        <w:rPr>
          <w:sz w:val="52"/>
          <w:szCs w:val="52"/>
        </w:rPr>
      </w:pPr>
      <w:r w:rsidRPr="00A67567">
        <w:rPr>
          <w:sz w:val="52"/>
          <w:szCs w:val="52"/>
        </w:rPr>
        <w:t xml:space="preserve">Z uwagi na </w:t>
      </w:r>
      <w:r w:rsidRPr="00A67567">
        <w:rPr>
          <w:b/>
          <w:sz w:val="52"/>
          <w:szCs w:val="52"/>
          <w:u w:val="single"/>
        </w:rPr>
        <w:t xml:space="preserve">stosunkowo krótki okres funkcjonowania tej strony nie można na razie jeszcze </w:t>
      </w:r>
      <w:r w:rsidRPr="00A67567">
        <w:rPr>
          <w:sz w:val="52"/>
          <w:szCs w:val="52"/>
        </w:rPr>
        <w:t xml:space="preserve">odpowiedzieć na pytanie: ,,ile wynosiła średnia procentowa zmiana kursu akcji spółki po wprowadzeniu jej do rubryki ,,Wykres do przemyślenia” </w:t>
      </w:r>
      <w:r w:rsidRPr="00A67567">
        <w:rPr>
          <w:b/>
          <w:color w:val="FF0000"/>
          <w:sz w:val="52"/>
          <w:szCs w:val="52"/>
        </w:rPr>
        <w:t>w okresie</w:t>
      </w:r>
      <w:r w:rsidRPr="00A67567">
        <w:rPr>
          <w:sz w:val="52"/>
          <w:szCs w:val="52"/>
        </w:rPr>
        <w:t xml:space="preserve"> </w:t>
      </w:r>
      <w:r w:rsidRPr="00A67567">
        <w:rPr>
          <w:b/>
          <w:color w:val="FF0000"/>
          <w:sz w:val="52"/>
          <w:szCs w:val="52"/>
        </w:rPr>
        <w:t>12 miesięcy</w:t>
      </w:r>
      <w:r w:rsidRPr="00A67567">
        <w:rPr>
          <w:sz w:val="52"/>
          <w:szCs w:val="52"/>
        </w:rPr>
        <w:t xml:space="preserve"> po jej wprowadzeniu do tej rubryki ?”. </w:t>
      </w:r>
    </w:p>
    <w:p w:rsidR="00FA7870" w:rsidRPr="00A67567" w:rsidRDefault="00FA7870" w:rsidP="00FA7870">
      <w:pPr>
        <w:pStyle w:val="Bezodstpw"/>
        <w:jc w:val="both"/>
        <w:rPr>
          <w:sz w:val="52"/>
          <w:szCs w:val="52"/>
        </w:rPr>
      </w:pPr>
    </w:p>
    <w:p w:rsidR="00FA7870" w:rsidRPr="00A67567" w:rsidRDefault="00FA7870" w:rsidP="00FA7870">
      <w:pPr>
        <w:pStyle w:val="Bezodstpw"/>
        <w:jc w:val="both"/>
        <w:rPr>
          <w:sz w:val="52"/>
          <w:szCs w:val="52"/>
        </w:rPr>
      </w:pPr>
      <w:r w:rsidRPr="00A67567">
        <w:rPr>
          <w:sz w:val="52"/>
          <w:szCs w:val="52"/>
        </w:rPr>
        <w:t xml:space="preserve">Moim zamiarem jest jednak to, aby </w:t>
      </w:r>
      <w:r w:rsidRPr="00A67567">
        <w:rPr>
          <w:b/>
          <w:sz w:val="52"/>
          <w:szCs w:val="52"/>
        </w:rPr>
        <w:t>docelowo</w:t>
      </w:r>
      <w:r w:rsidRPr="00A67567">
        <w:rPr>
          <w:sz w:val="52"/>
          <w:szCs w:val="52"/>
        </w:rPr>
        <w:t xml:space="preserve"> w każdym ,,Raporcie Tygodniowym” udzielana była odpowiedź </w:t>
      </w:r>
      <w:r w:rsidRPr="00A67567">
        <w:rPr>
          <w:sz w:val="52"/>
          <w:szCs w:val="52"/>
          <w:u w:val="single"/>
        </w:rPr>
        <w:t>właśnie na tak postawione pytanie.</w:t>
      </w:r>
      <w:r w:rsidRPr="00A67567">
        <w:rPr>
          <w:sz w:val="52"/>
          <w:szCs w:val="52"/>
        </w:rPr>
        <w:t xml:space="preserve"> </w:t>
      </w:r>
    </w:p>
    <w:p w:rsidR="00FA7870" w:rsidRPr="00A67567" w:rsidRDefault="00FA7870" w:rsidP="00FA7870">
      <w:pPr>
        <w:pStyle w:val="Bezodstpw"/>
        <w:jc w:val="both"/>
        <w:rPr>
          <w:sz w:val="52"/>
          <w:szCs w:val="52"/>
        </w:rPr>
      </w:pPr>
    </w:p>
    <w:p w:rsidR="00FA7870" w:rsidRPr="00A67567" w:rsidRDefault="00FA7870" w:rsidP="00FA7870">
      <w:pPr>
        <w:pStyle w:val="Bezodstpw"/>
        <w:jc w:val="both"/>
        <w:rPr>
          <w:sz w:val="52"/>
          <w:szCs w:val="52"/>
        </w:rPr>
      </w:pPr>
      <w:r w:rsidRPr="00A67567">
        <w:rPr>
          <w:sz w:val="52"/>
          <w:szCs w:val="52"/>
        </w:rPr>
        <w:t xml:space="preserve">Zamierzam też </w:t>
      </w:r>
      <w:r w:rsidRPr="00A67567">
        <w:rPr>
          <w:b/>
          <w:sz w:val="52"/>
          <w:szCs w:val="52"/>
        </w:rPr>
        <w:t xml:space="preserve">docelowo </w:t>
      </w:r>
      <w:r w:rsidRPr="00A67567">
        <w:rPr>
          <w:sz w:val="52"/>
          <w:szCs w:val="52"/>
        </w:rPr>
        <w:t xml:space="preserve">odpowiadać na pytanie: ile wynosiła średnia procentowa zmiana indeksu WIG20 </w:t>
      </w:r>
      <w:r w:rsidRPr="003A35A8">
        <w:rPr>
          <w:b/>
          <w:color w:val="FF0000"/>
          <w:sz w:val="52"/>
          <w:szCs w:val="52"/>
        </w:rPr>
        <w:t xml:space="preserve">w tym </w:t>
      </w:r>
      <w:r w:rsidR="003A35A8" w:rsidRPr="003A35A8">
        <w:rPr>
          <w:b/>
          <w:color w:val="FF0000"/>
          <w:sz w:val="52"/>
          <w:szCs w:val="52"/>
        </w:rPr>
        <w:t>12-miesięcznym</w:t>
      </w:r>
      <w:r w:rsidR="003A35A8">
        <w:rPr>
          <w:sz w:val="52"/>
          <w:szCs w:val="52"/>
          <w:u w:val="single"/>
        </w:rPr>
        <w:t xml:space="preserve"> </w:t>
      </w:r>
      <w:r w:rsidRPr="00A67567">
        <w:rPr>
          <w:sz w:val="52"/>
          <w:szCs w:val="52"/>
          <w:u w:val="single"/>
        </w:rPr>
        <w:t>okresie</w:t>
      </w:r>
      <w:r w:rsidRPr="00A67567">
        <w:rPr>
          <w:sz w:val="52"/>
          <w:szCs w:val="52"/>
        </w:rPr>
        <w:t xml:space="preserve"> ?” </w:t>
      </w:r>
    </w:p>
    <w:p w:rsidR="00FA7870" w:rsidRPr="00295250" w:rsidRDefault="00FA7870" w:rsidP="00FA7870">
      <w:pPr>
        <w:pStyle w:val="Bezodstpw"/>
        <w:jc w:val="both"/>
        <w:rPr>
          <w:b/>
        </w:rPr>
      </w:pPr>
      <w:r w:rsidRPr="00295250">
        <w:rPr>
          <w:b/>
        </w:rPr>
        <w:lastRenderedPageBreak/>
        <w:t>Wnioski końcowe</w:t>
      </w:r>
    </w:p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numPr>
          <w:ilvl w:val="0"/>
          <w:numId w:val="2"/>
        </w:numPr>
        <w:jc w:val="both"/>
      </w:pPr>
      <w:r w:rsidRPr="00E0596A">
        <w:rPr>
          <w:b/>
        </w:rPr>
        <w:t>Kurs dolara amerykańskiego (w złotych)</w:t>
      </w:r>
      <w:r>
        <w:t xml:space="preserve"> spadł poniżej bardzo ważnego oporu na poziomie 3,9130 zł. z lutego 2009 roku. W tej sytuacji można oczekiwać rozpoczęcia się fali spadków w kierunku linii trendu wzrostowego poprowadzonej przez dołki z lipca 2008 roku oraz czerwca 2014 roku, która aktualnie przebiega na poziomie </w:t>
      </w:r>
      <w:r w:rsidRPr="00E0596A">
        <w:rPr>
          <w:b/>
          <w:color w:val="FF0000"/>
        </w:rPr>
        <w:t>3,10</w:t>
      </w:r>
      <w:r>
        <w:t xml:space="preserve">. </w:t>
      </w:r>
    </w:p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numPr>
          <w:ilvl w:val="0"/>
          <w:numId w:val="2"/>
        </w:numPr>
        <w:jc w:val="both"/>
      </w:pPr>
      <w:r>
        <w:t xml:space="preserve">W przypadku </w:t>
      </w:r>
      <w:r w:rsidRPr="00E0596A">
        <w:rPr>
          <w:b/>
        </w:rPr>
        <w:t>kursu euro (w złotych)</w:t>
      </w:r>
      <w:r>
        <w:t xml:space="preserve"> bardzo ważnym poziomem oporu jest poziom 4,3668 (szczyt z czerwca 2013 roku). Po dojściu do tego oporu rozpoczęła się fala spadków w kierunku ważnego wsparcia, którym był dołek z 6 czerwca 2014 roku przebiegający na poziomie  4,092. Kolejnym wsparciem jest poziom 4,0264. Pokonane zostało od dołu wsparcie na poziomie 4,0264 (dołek z 10 sierpnia 2012 roku). Kolejnym wsparciem jest poziom </w:t>
      </w:r>
      <w:r w:rsidRPr="00E0596A">
        <w:rPr>
          <w:b/>
          <w:color w:val="FF0000"/>
        </w:rPr>
        <w:t>3,8932 zł</w:t>
      </w:r>
      <w:r>
        <w:t xml:space="preserve"> (dołek z maja 2011 roku). </w:t>
      </w:r>
    </w:p>
    <w:p w:rsidR="00FA7870" w:rsidRDefault="00FA7870" w:rsidP="00FA7870">
      <w:pPr>
        <w:pStyle w:val="Bezodstpw"/>
        <w:ind w:left="720"/>
        <w:jc w:val="both"/>
      </w:pPr>
    </w:p>
    <w:p w:rsidR="00FA7870" w:rsidRDefault="00FA7870" w:rsidP="00FA7870">
      <w:pPr>
        <w:pStyle w:val="Bezodstpw"/>
        <w:numPr>
          <w:ilvl w:val="0"/>
          <w:numId w:val="2"/>
        </w:numPr>
        <w:jc w:val="both"/>
      </w:pPr>
      <w:r>
        <w:t xml:space="preserve">Z fundamentalnego punktu widzenia przewidywane w 2015 roku wzrosty indeksów giełdowych opisujących sytuację na polskim rynku akcji mogą być przejawem </w:t>
      </w:r>
      <w:r w:rsidRPr="00E0596A">
        <w:rPr>
          <w:b/>
        </w:rPr>
        <w:t>dyskontowania przez uczestników polskiego rynku akcji ożywienia gospodarczego w Polsce, które</w:t>
      </w:r>
      <w:r>
        <w:t xml:space="preserve"> (zgodnie z np. prognozami analityków NBP, Instytutu Badań nad Gospodarką Rynkową, czy też np. banku inwestycyjnego Morgan Stanley) </w:t>
      </w:r>
      <w:r w:rsidRPr="00E0596A">
        <w:rPr>
          <w:b/>
        </w:rPr>
        <w:t>powinno nastąpić w 2016 roku</w:t>
      </w:r>
      <w:r>
        <w:t xml:space="preserve"> (kiedy to zdaniem, wyżej wymienionych analityków można oczekiwać, wedle wyżej wymienionych prognoz przyspieszenia realnego wzrostu PKB. </w:t>
      </w:r>
      <w:r w:rsidRPr="00295250">
        <w:rPr>
          <w:b/>
          <w:color w:val="FF0000"/>
        </w:rPr>
        <w:t>Możliwe dalsze spadki cen surowców (a dokładnie cen kontraktów terminowych na miedź, srebro oraz kukurydzę)</w:t>
      </w:r>
      <w:r>
        <w:t xml:space="preserve"> działając antyinflacyjnie stwarzają szansę na to, by </w:t>
      </w:r>
      <w:r w:rsidRPr="00295250">
        <w:rPr>
          <w:b/>
          <w:color w:val="FF0000"/>
        </w:rPr>
        <w:t>banki centralne</w:t>
      </w:r>
      <w:r>
        <w:t xml:space="preserve"> (w USA, strefie euro oraz Japonii) nadal prowadziły </w:t>
      </w:r>
      <w:r w:rsidRPr="00295250">
        <w:rPr>
          <w:b/>
          <w:color w:val="FF0000"/>
        </w:rPr>
        <w:t>łagodną politykę pieniężną, co powinno zwiększyć skłonność do podejmowania ryzyka</w:t>
      </w:r>
      <w:r w:rsidRPr="00E0596A">
        <w:rPr>
          <w:b/>
        </w:rPr>
        <w:t xml:space="preserve"> </w:t>
      </w:r>
      <w:r>
        <w:t xml:space="preserve">zwiększając popyt na akcje spółek z uważanych za bardziej ryzykowne (wahliwe) rynków wschodzących kosztem akcji spółek z rynków dojrzałych. </w:t>
      </w:r>
    </w:p>
    <w:p w:rsidR="00FA7870" w:rsidRDefault="00FA7870" w:rsidP="00FA7870">
      <w:pPr>
        <w:pStyle w:val="Bezodstpw"/>
        <w:jc w:val="both"/>
      </w:pPr>
    </w:p>
    <w:p w:rsidR="00FA7870" w:rsidRPr="00E0596A" w:rsidRDefault="00FA7870" w:rsidP="00FA7870">
      <w:pPr>
        <w:pStyle w:val="Bezodstpw"/>
        <w:numPr>
          <w:ilvl w:val="0"/>
          <w:numId w:val="2"/>
        </w:numPr>
        <w:jc w:val="both"/>
      </w:pPr>
      <w:r>
        <w:t xml:space="preserve">Na wykresach wielu indeksów rynków dojrzałych dostrzec można </w:t>
      </w:r>
      <w:r w:rsidRPr="00E0596A">
        <w:rPr>
          <w:b/>
        </w:rPr>
        <w:t>,,spalenie” formacji podwójnego szczytu</w:t>
      </w:r>
      <w:r>
        <w:t>.  ,,Spalenie” formacji podwójnego szczytu stanowi sygnał kupna. Dlaczego jest ona tak waż</w:t>
      </w:r>
      <w:r>
        <w:t xml:space="preserve">ny </w:t>
      </w:r>
      <w:r w:rsidRPr="00E0596A">
        <w:rPr>
          <w:b/>
        </w:rPr>
        <w:t xml:space="preserve">? </w:t>
      </w:r>
      <w:r w:rsidRPr="00E0596A">
        <w:rPr>
          <w:b/>
          <w:color w:val="FF0000"/>
        </w:rPr>
        <w:t>Thomas Bulkowski zauważył</w:t>
      </w:r>
      <w:r w:rsidRPr="00E0596A">
        <w:rPr>
          <w:b/>
          <w:color w:val="FF0000"/>
        </w:rPr>
        <w:t>, że formacja podwójnego szczytu nie jest jedyną formacją sprzedaży, która może się ,,spalić”,</w:t>
      </w:r>
      <w:r>
        <w:t xml:space="preserve"> czyli jak gdyby przekształcić w sygnał kupna. W swojej książce ,,Analiza formacji na wykresach giełdowych. Wprowadzenie” (2011 rok</w:t>
      </w:r>
      <w:r w:rsidRPr="00E0596A">
        <w:rPr>
          <w:b/>
        </w:rPr>
        <w:t xml:space="preserve">) </w:t>
      </w:r>
      <w:r w:rsidRPr="00E0596A">
        <w:rPr>
          <w:b/>
          <w:color w:val="FF0000"/>
        </w:rPr>
        <w:t>obliczył on  średni procentowy zasięg ruchu wzrostowego następujący po wybiciu z różnych tego typu ,,spalonych” formacji. Okazało się, że skala wzrostów po ,,spaleniu” formacji podwójnego szczytu jest największa (!)</w:t>
      </w:r>
      <w:r w:rsidRPr="00E0596A">
        <w:rPr>
          <w:b/>
        </w:rPr>
        <w:t>.</w:t>
      </w:r>
      <w:r>
        <w:rPr>
          <w:b/>
        </w:rPr>
        <w:t xml:space="preserve"> ,,</w:t>
      </w:r>
      <w:r w:rsidRPr="00E0596A">
        <w:t>Spalenie” formacji podwójnego szczytu powinno więc sprzyjać dobrej sytuacji na wielu rynkach akcji, w  tym na polskim rynku akcji.</w:t>
      </w:r>
    </w:p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jc w:val="both"/>
      </w:pPr>
      <w:r>
        <w:t xml:space="preserve">Opracował: </w:t>
      </w:r>
      <w:r w:rsidRPr="00AA453E">
        <w:t>Sławomir Kłusek</w:t>
      </w:r>
      <w:r>
        <w:t>, 27 kwietnia 2015 r.</w:t>
      </w:r>
    </w:p>
    <w:p w:rsidR="00FA7870" w:rsidRDefault="00FA7870" w:rsidP="00FA7870">
      <w:pPr>
        <w:pStyle w:val="Bezodstpw"/>
        <w:ind w:left="720"/>
        <w:jc w:val="both"/>
      </w:pPr>
    </w:p>
    <w:p w:rsidR="00FA7870" w:rsidRDefault="00FA7870" w:rsidP="00FA7870">
      <w:pPr>
        <w:pStyle w:val="Bezodstpw"/>
        <w:jc w:val="both"/>
      </w:pPr>
      <w:r>
        <w:t xml:space="preserve">Powyższy raport stanowi wyłącznie wyraz osobistych opinii autora. </w:t>
      </w:r>
    </w:p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jc w:val="both"/>
      </w:pPr>
      <w:r>
        <w:t xml:space="preserve">Treści zawarte na stronie internetowej </w:t>
      </w:r>
      <w:hyperlink r:id="rId25" w:history="1">
        <w:r w:rsidRPr="00093965">
          <w:rPr>
            <w:rStyle w:val="Hipercze"/>
          </w:rPr>
          <w:t>www.analizy-rynkowe.pl</w:t>
        </w:r>
      </w:hyperlink>
      <w:r>
        <w:t xml:space="preserve"> </w:t>
      </w:r>
      <w:r w:rsidRPr="00875D60">
        <w:t>nie stanowi</w:t>
      </w:r>
      <w:r>
        <w:t>ą</w:t>
      </w:r>
      <w:r w:rsidRPr="00875D60">
        <w:t xml:space="preserve">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875D60">
        <w:t>Dz.U</w:t>
      </w:r>
      <w:proofErr w:type="spellEnd"/>
      <w:r w:rsidRPr="00875D60">
        <w:t>. z 2005 r. Nr 206, poz. 1715).</w:t>
      </w:r>
    </w:p>
    <w:p w:rsidR="00FA7870" w:rsidRDefault="00FA7870" w:rsidP="00FA7870">
      <w:pPr>
        <w:pStyle w:val="Bezodstpw"/>
        <w:jc w:val="both"/>
      </w:pPr>
    </w:p>
    <w:p w:rsidR="00FA7870" w:rsidRDefault="00FA7870" w:rsidP="00FA7870">
      <w:pPr>
        <w:pStyle w:val="Bezodstpw"/>
        <w:jc w:val="both"/>
        <w:rPr>
          <w:color w:val="000000" w:themeColor="text1"/>
        </w:rPr>
      </w:pPr>
      <w:r>
        <w:t xml:space="preserve">Autor nie ponosi odpowiedzialności za jakiekolwiek decyzje inwestycyjne podjęte na podstawie treści zawartych na stronie internetowej </w:t>
      </w:r>
      <w:hyperlink r:id="rId26" w:history="1">
        <w:r w:rsidRPr="00093965">
          <w:rPr>
            <w:rStyle w:val="Hipercze"/>
          </w:rPr>
          <w:t>www.analizy-rynkowe.pl</w:t>
        </w:r>
      </w:hyperlink>
    </w:p>
    <w:p w:rsidR="00FA7870" w:rsidRDefault="00FA7870" w:rsidP="00FA7870">
      <w:pPr>
        <w:pStyle w:val="Bezodstpw"/>
        <w:jc w:val="both"/>
      </w:pPr>
    </w:p>
    <w:sectPr w:rsidR="00FA7870" w:rsidSect="00FF5F52">
      <w:footerReference w:type="default" r:id="rId2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094"/>
      <w:docPartObj>
        <w:docPartGallery w:val="Page Numbers (Bottom of Page)"/>
        <w:docPartUnique/>
      </w:docPartObj>
    </w:sdtPr>
    <w:sdtEndPr/>
    <w:sdtContent>
      <w:p w:rsidR="00FF5F52" w:rsidRDefault="003A35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FF5F52" w:rsidRDefault="003A35A8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292"/>
    <w:multiLevelType w:val="hybridMultilevel"/>
    <w:tmpl w:val="9334D426"/>
    <w:lvl w:ilvl="0" w:tplc="6028362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7870"/>
    <w:rsid w:val="003A35A8"/>
    <w:rsid w:val="00A8693D"/>
    <w:rsid w:val="00FA7870"/>
    <w:rsid w:val="00FB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87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7870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7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870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A78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A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870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A7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www.analizy-rynkowe.pl" TargetMode="External"/><Relationship Id="rId18" Type="http://schemas.openxmlformats.org/officeDocument/2006/relationships/hyperlink" Target="http://www.analizy-rynkowe.pl" TargetMode="External"/><Relationship Id="rId26" Type="http://schemas.openxmlformats.org/officeDocument/2006/relationships/hyperlink" Target="http://www.analizy-rynkowe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nalizy-rynkowe.pl" TargetMode="Externa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hyperlink" Target="http://www.analizy-rynkowe.pl" TargetMode="External"/><Relationship Id="rId25" Type="http://schemas.openxmlformats.org/officeDocument/2006/relationships/hyperlink" Target="http://www.analizy-rynkowe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hyperlink" Target="http://www.analizy-rynkowe.p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hyperlink" Target="http://analizy-rynkowe.pl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analizy-rynkowe.pl" TargetMode="External"/><Relationship Id="rId23" Type="http://schemas.openxmlformats.org/officeDocument/2006/relationships/chart" Target="charts/chart1.xml"/><Relationship Id="rId28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hyperlink" Target="http://www.analizy-rynkow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://www.analizy-rynkowe.pl" TargetMode="External"/><Relationship Id="rId22" Type="http://schemas.openxmlformats.org/officeDocument/2006/relationships/hyperlink" Target="http://www.analizy-rynkowe.pl" TargetMode="Externa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wydi\Moje%20dokumenty\EFEKT-MALYCH-SPOLE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7"/>
  <c:chart>
    <c:title>
      <c:tx>
        <c:rich>
          <a:bodyPr/>
          <a:lstStyle/>
          <a:p>
            <a:pPr>
              <a:defRPr/>
            </a:pPr>
            <a:r>
              <a:rPr lang="pl-PL"/>
              <a:t>Porównanie</a:t>
            </a:r>
            <a:endParaRPr lang="en-US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Arkusz1!$A$1</c:f>
              <c:strCache>
                <c:ptCount val="1"/>
                <c:pt idx="0">
                  <c:v>Wykres do przemyślenia</c:v>
                </c:pt>
              </c:strCache>
            </c:strRef>
          </c:tx>
          <c:val>
            <c:numRef>
              <c:f>Arkusz1!$B$1</c:f>
              <c:numCache>
                <c:formatCode>0.0</c:formatCode>
                <c:ptCount val="1"/>
                <c:pt idx="0">
                  <c:v>17.7</c:v>
                </c:pt>
              </c:numCache>
            </c:numRef>
          </c:val>
        </c:ser>
        <c:ser>
          <c:idx val="1"/>
          <c:order val="1"/>
          <c:tx>
            <c:strRef>
              <c:f>Arkusz1!$A$2</c:f>
              <c:strCache>
                <c:ptCount val="1"/>
                <c:pt idx="0">
                  <c:v>WIG20</c:v>
                </c:pt>
              </c:strCache>
            </c:strRef>
          </c:tx>
          <c:val>
            <c:numRef>
              <c:f>Arkusz1!$B$2</c:f>
              <c:numCache>
                <c:formatCode>0.0</c:formatCode>
                <c:ptCount val="1"/>
                <c:pt idx="0">
                  <c:v>-3.3</c:v>
                </c:pt>
              </c:numCache>
            </c:numRef>
          </c:val>
        </c:ser>
        <c:dLbls>
          <c:showVal val="1"/>
        </c:dLbls>
        <c:overlap val="-25"/>
        <c:axId val="55697408"/>
        <c:axId val="56051584"/>
      </c:barChart>
      <c:catAx>
        <c:axId val="55697408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56051584"/>
        <c:crosses val="autoZero"/>
        <c:auto val="1"/>
        <c:lblAlgn val="ctr"/>
        <c:lblOffset val="100"/>
      </c:catAx>
      <c:valAx>
        <c:axId val="56051584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5569740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3303</Words>
  <Characters>19821</Characters>
  <Application>Microsoft Office Word</Application>
  <DocSecurity>0</DocSecurity>
  <Lines>165</Lines>
  <Paragraphs>46</Paragraphs>
  <ScaleCrop>false</ScaleCrop>
  <Company/>
  <LinksUpToDate>false</LinksUpToDate>
  <CharactersWithSpaces>23078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2015-04-26T06:27:00Z</dcterms:created>
  <dcterms:modified xsi:type="dcterms:W3CDTF">2015-04-26T06:27:00Z</dcterms:modified>
</cp:coreProperties>
</file>