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8" w:rsidRPr="00C16D3A" w:rsidRDefault="000A4828" w:rsidP="000A4828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0A4828" w:rsidRDefault="000A4828" w:rsidP="000A4828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0A4828" w:rsidRPr="00BB2EC3" w:rsidRDefault="000A4828" w:rsidP="000A4828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0A4828" w:rsidRPr="00BB2EC3" w:rsidRDefault="000A4828" w:rsidP="000A4828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0A4828" w:rsidRPr="00400806" w:rsidRDefault="000A4828" w:rsidP="000A4828">
      <w:pPr>
        <w:pStyle w:val="Bezodstpw"/>
        <w:jc w:val="center"/>
        <w:rPr>
          <w:sz w:val="48"/>
          <w:szCs w:val="48"/>
        </w:rPr>
      </w:pPr>
    </w:p>
    <w:p w:rsidR="000A4828" w:rsidRDefault="000A4828" w:rsidP="000A4828">
      <w:pPr>
        <w:pStyle w:val="Bezodstpw"/>
        <w:jc w:val="center"/>
        <w:rPr>
          <w:sz w:val="48"/>
          <w:szCs w:val="48"/>
        </w:rPr>
      </w:pPr>
    </w:p>
    <w:p w:rsidR="000A4828" w:rsidRPr="009A4255" w:rsidRDefault="000A4828" w:rsidP="000A4828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0A4828" w:rsidRPr="009A4255" w:rsidRDefault="000A4828" w:rsidP="000A4828">
      <w:pPr>
        <w:pStyle w:val="Bezodstpw"/>
        <w:jc w:val="center"/>
        <w:rPr>
          <w:shadow/>
          <w:sz w:val="100"/>
          <w:szCs w:val="100"/>
        </w:rPr>
      </w:pPr>
    </w:p>
    <w:p w:rsidR="000A4828" w:rsidRPr="009A4255" w:rsidRDefault="000A4828" w:rsidP="000A4828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Pr="00D72F94" w:rsidRDefault="000A4828" w:rsidP="000A4828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23 marca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20 marca 2015 roku = 3,8192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Kurs </w:t>
      </w:r>
      <w:r w:rsidRPr="00E43671">
        <w:rPr>
          <w:b/>
        </w:rPr>
        <w:t xml:space="preserve">spadł </w:t>
      </w:r>
      <w:r>
        <w:t xml:space="preserve">poniżej bardzo ważnego oporu na poziomie 3,9130 zł. z lutego 2009 roku. </w:t>
      </w:r>
      <w:r w:rsidRPr="004505AC">
        <w:rPr>
          <w:u w:val="single"/>
        </w:rPr>
        <w:t xml:space="preserve">W tej sytuacji </w:t>
      </w:r>
      <w:r>
        <w:t>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20 marca 2015 roku = 4,1333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28" w:rsidRDefault="000A4828" w:rsidP="000A4828">
      <w:pPr>
        <w:pStyle w:val="Bezodstpw"/>
        <w:jc w:val="both"/>
        <w:rPr>
          <w:b/>
          <w:color w:val="FF0000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już 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Wzrost popytu na polskie akcje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Poprzedni tydzień był udany dla posiadaczy polskich akcji. Wzrost popytu odnotowano </w:t>
      </w:r>
      <w:r w:rsidRPr="00E43671">
        <w:rPr>
          <w:b/>
        </w:rPr>
        <w:t>także</w:t>
      </w:r>
      <w:r>
        <w:t xml:space="preserve"> w przypadku segmentu akcji spółek o największej kapitalizacji. </w:t>
      </w:r>
    </w:p>
    <w:p w:rsidR="000A4828" w:rsidRDefault="000A4828" w:rsidP="000A4828">
      <w:pPr>
        <w:pStyle w:val="Bezodstpw"/>
        <w:jc w:val="both"/>
      </w:pPr>
    </w:p>
    <w:p w:rsidR="000A4828" w:rsidRPr="000E1B14" w:rsidRDefault="000A4828" w:rsidP="000A4828">
      <w:pPr>
        <w:pStyle w:val="Bezodstpw"/>
        <w:jc w:val="both"/>
        <w:rPr>
          <w:b/>
          <w:color w:val="FF0000"/>
        </w:rPr>
      </w:pPr>
      <w:r>
        <w:t xml:space="preserve">W rezultacie pojawiła się szansa na realizację formacji podwójnego dna w przypadku indeksu </w:t>
      </w:r>
      <w:r w:rsidRPr="00E43671">
        <w:rPr>
          <w:b/>
        </w:rPr>
        <w:t>WIG20.</w:t>
      </w:r>
      <w:r>
        <w:t xml:space="preserve"> Jej wypełnienie oznaczałoby wzrost tego indeksu do 2 468,12 pkt., czyli </w:t>
      </w:r>
      <w:r w:rsidRPr="000E1B14">
        <w:rPr>
          <w:b/>
          <w:color w:val="FF0000"/>
        </w:rPr>
        <w:t>o 2,5 %.</w:t>
      </w:r>
    </w:p>
    <w:p w:rsidR="000A4828" w:rsidRDefault="000A4828" w:rsidP="000A4828">
      <w:pPr>
        <w:pStyle w:val="Bezodstpw"/>
        <w:jc w:val="both"/>
      </w:pPr>
    </w:p>
    <w:p w:rsidR="000A4828" w:rsidRPr="005116F0" w:rsidRDefault="000A4828" w:rsidP="000A4828">
      <w:pPr>
        <w:pStyle w:val="Bezodstpw"/>
        <w:jc w:val="both"/>
        <w:rPr>
          <w:b/>
          <w:u w:val="single"/>
        </w:rPr>
      </w:pPr>
      <w:r w:rsidRPr="005116F0">
        <w:rPr>
          <w:b/>
          <w:u w:val="single"/>
        </w:rPr>
        <w:t>WIG20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Co mogło by przyczyną wzrostu tego indeksu ? Sądzę, że napływ informacji z rynków zagranicznych.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Nie chodzi w tym momencie nawet o wzrosty indeksów rynków dojrzałych a raczej o wzrosty indeksów </w:t>
      </w:r>
      <w:r w:rsidRPr="00E43671">
        <w:rPr>
          <w:b/>
        </w:rPr>
        <w:t>rynków wschodzących</w:t>
      </w:r>
      <w:r w:rsidR="00E43671">
        <w:t xml:space="preserve"> (!)</w:t>
      </w:r>
      <w:r>
        <w:t xml:space="preserve">: na przykład południowokoreańskiego indeksu KOSPI oraz brazylijskiego indeksu </w:t>
      </w:r>
      <w:proofErr w:type="spellStart"/>
      <w:r>
        <w:t>Bovespa</w:t>
      </w:r>
      <w:proofErr w:type="spellEnd"/>
      <w:r>
        <w:t xml:space="preserve">. Na wykresie indeksu </w:t>
      </w:r>
      <w:proofErr w:type="spellStart"/>
      <w:r>
        <w:t>Bovespa</w:t>
      </w:r>
      <w:proofErr w:type="spellEnd"/>
      <w:r>
        <w:t xml:space="preserve"> także (podobnie jak w przypadku indeksu WIG20) mamy do czynienia z niewypełnioną formacją podwójnego dna. Jej wypełnienie oznaczałoby wzrost </w:t>
      </w:r>
      <w:r w:rsidRPr="000E1B14">
        <w:rPr>
          <w:b/>
          <w:color w:val="FF0000"/>
        </w:rPr>
        <w:t>o 6,0 %</w:t>
      </w:r>
      <w:r>
        <w:t xml:space="preserve"> do 55 092,75 pkt. </w:t>
      </w:r>
    </w:p>
    <w:p w:rsidR="000A4828" w:rsidRDefault="000A4828" w:rsidP="000A4828">
      <w:pPr>
        <w:pStyle w:val="Bezodstpw"/>
        <w:jc w:val="both"/>
      </w:pPr>
    </w:p>
    <w:p w:rsidR="000A4828" w:rsidRPr="005116F0" w:rsidRDefault="000A4828" w:rsidP="000A4828">
      <w:pPr>
        <w:pStyle w:val="Bezodstpw"/>
        <w:jc w:val="both"/>
        <w:rPr>
          <w:b/>
          <w:u w:val="single"/>
        </w:rPr>
      </w:pPr>
      <w:r w:rsidRPr="005116F0">
        <w:rPr>
          <w:b/>
          <w:u w:val="single"/>
        </w:rPr>
        <w:t xml:space="preserve">BOVESPA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rPr>
          <w:noProof/>
        </w:rPr>
        <w:drawing>
          <wp:inline distT="0" distB="0" distL="0" distR="0">
            <wp:extent cx="3619500" cy="21812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lastRenderedPageBreak/>
        <w:t xml:space="preserve">W pewnym stopniu do wzrostów indeksów rynków wschodzących (KOSPI, </w:t>
      </w:r>
      <w:proofErr w:type="spellStart"/>
      <w:r>
        <w:t>Bovespa</w:t>
      </w:r>
      <w:proofErr w:type="spellEnd"/>
      <w:r>
        <w:t xml:space="preserve"> oraz nasz WIG20) mogły przyczynić się zwyżki cen surowców, w tym zwłaszcza cen kontraktów terminowych na miedź.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Ciekawy przypadek - Boryszew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Już po zakończeniu notowań piątkowych wyniki finansowe zaprezentowała spółka Boryszew. Boryszew znalazł się w rubryce ,,Wykres do przemyślenia” w dniu 15 września 2014 roku.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>Oto wybrane elementy rachunku wyników Boryszewa za 2013 oraz za 2014 rok (w tys. zł.)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A4828" w:rsidTr="00A45D3F">
        <w:tc>
          <w:tcPr>
            <w:tcW w:w="3070" w:type="dxa"/>
          </w:tcPr>
          <w:p w:rsidR="000A4828" w:rsidRDefault="000A4828" w:rsidP="00A45D3F">
            <w:pPr>
              <w:pStyle w:val="Bezodstpw"/>
              <w:jc w:val="center"/>
            </w:pPr>
            <w:r>
              <w:t>Zmienna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>2013 rok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>2014 rok</w:t>
            </w:r>
          </w:p>
        </w:tc>
      </w:tr>
      <w:tr w:rsidR="000A4828" w:rsidTr="00A45D3F">
        <w:tc>
          <w:tcPr>
            <w:tcW w:w="3070" w:type="dxa"/>
          </w:tcPr>
          <w:p w:rsidR="000A4828" w:rsidRDefault="000A4828" w:rsidP="00A45D3F">
            <w:pPr>
              <w:pStyle w:val="Bezodstpw"/>
              <w:jc w:val="center"/>
            </w:pPr>
            <w:r>
              <w:t>Przychody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>4 836 269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>5 058 120</w:t>
            </w:r>
          </w:p>
        </w:tc>
      </w:tr>
      <w:tr w:rsidR="000A4828" w:rsidTr="00A45D3F">
        <w:tc>
          <w:tcPr>
            <w:tcW w:w="3070" w:type="dxa"/>
          </w:tcPr>
          <w:p w:rsidR="000A4828" w:rsidRDefault="000A4828" w:rsidP="00A45D3F">
            <w:pPr>
              <w:pStyle w:val="Bezodstpw"/>
              <w:jc w:val="center"/>
            </w:pPr>
            <w:r>
              <w:t>Wynik operacyjny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  88 294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210 355</w:t>
            </w:r>
          </w:p>
        </w:tc>
      </w:tr>
      <w:tr w:rsidR="000A4828" w:rsidTr="00A45D3F">
        <w:tc>
          <w:tcPr>
            <w:tcW w:w="3070" w:type="dxa"/>
          </w:tcPr>
          <w:p w:rsidR="000A4828" w:rsidRDefault="000A4828" w:rsidP="00A45D3F">
            <w:pPr>
              <w:pStyle w:val="Bezodstpw"/>
              <w:jc w:val="center"/>
            </w:pPr>
            <w:r>
              <w:t>Wynik netto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  54 954</w:t>
            </w:r>
          </w:p>
        </w:tc>
        <w:tc>
          <w:tcPr>
            <w:tcW w:w="3071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155 950</w:t>
            </w:r>
          </w:p>
        </w:tc>
      </w:tr>
    </w:tbl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Warto przypomnieć, że na wykresie akcji spółki Boryszew doszło do wybicia z formacji podwójnego dna. Gdyby formacja ta miała się wypełnić powinno dojść do wzrostu kursu do 7 złotych i 94 groszy. </w:t>
      </w:r>
    </w:p>
    <w:p w:rsidR="000A4828" w:rsidRDefault="000A4828" w:rsidP="000A4828">
      <w:pPr>
        <w:pStyle w:val="Bezodstpw"/>
        <w:jc w:val="both"/>
      </w:pPr>
    </w:p>
    <w:p w:rsidR="000A4828" w:rsidRPr="00EF18B1" w:rsidRDefault="000A4828" w:rsidP="000A4828">
      <w:pPr>
        <w:pStyle w:val="Bezodstpw"/>
        <w:jc w:val="both"/>
        <w:rPr>
          <w:b/>
          <w:u w:val="single"/>
        </w:rPr>
      </w:pPr>
      <w:r w:rsidRPr="00EF18B1">
        <w:rPr>
          <w:b/>
          <w:u w:val="single"/>
        </w:rPr>
        <w:t>BORYSZEW</w:t>
      </w:r>
    </w:p>
    <w:p w:rsidR="000A4828" w:rsidRDefault="000A4828" w:rsidP="000A4828">
      <w:pPr>
        <w:pStyle w:val="Bezodstpw"/>
        <w:jc w:val="both"/>
      </w:pPr>
      <w:r>
        <w:rPr>
          <w:noProof/>
        </w:rPr>
        <w:drawing>
          <wp:inline distT="0" distB="0" distL="0" distR="0">
            <wp:extent cx="2933700" cy="1764849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64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Co ciekawe, </w:t>
      </w:r>
      <w:r w:rsidRPr="005470D8">
        <w:t xml:space="preserve">20 marca 2015 roku </w:t>
      </w:r>
      <w:r>
        <w:t xml:space="preserve">zarząd </w:t>
      </w:r>
      <w:r w:rsidRPr="005470D8">
        <w:t>podjął uchwałę w sprawie rekomendowania Zwyczajnemu Walnemu Zgromadzeniu Boryszew S.A. wypłaty dywidendy z zysku netto Spółki za 2014 rok w wysokości 10 (dziesięć) groszy na jedną akcję.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Zobaczymy jaka będzie reakcja kursu akcji na podane informacje podczas sesji poniedziałkowej.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  <w:rPr>
          <w:b/>
          <w:color w:val="FF0000"/>
        </w:rPr>
      </w:pPr>
      <w:r>
        <w:t xml:space="preserve">Boryszew wchodzi w skład </w:t>
      </w:r>
      <w:r w:rsidRPr="00F3164C">
        <w:rPr>
          <w:b/>
          <w:color w:val="FF0000"/>
        </w:rPr>
        <w:t>indeksu branży metalowej</w:t>
      </w:r>
      <w:r>
        <w:t xml:space="preserve">. Na wykresie tego indeksu doszło do wybicia z podwójnego dna, co zapowiada dalszy wzrost tego indeksu o co najmniej </w:t>
      </w:r>
      <w:r w:rsidRPr="009A5EF9">
        <w:rPr>
          <w:b/>
          <w:color w:val="FF0000"/>
        </w:rPr>
        <w:t>5,5 %.</w:t>
      </w:r>
    </w:p>
    <w:p w:rsidR="000A4828" w:rsidRDefault="000A4828" w:rsidP="000A4828">
      <w:pPr>
        <w:pStyle w:val="Bezodstpw"/>
        <w:jc w:val="both"/>
        <w:rPr>
          <w:b/>
          <w:color w:val="FF0000"/>
        </w:rPr>
      </w:pPr>
    </w:p>
    <w:p w:rsidR="000A4828" w:rsidRPr="00F3164C" w:rsidRDefault="000A4828" w:rsidP="000A4828">
      <w:pPr>
        <w:pStyle w:val="Bezodstpw"/>
        <w:jc w:val="both"/>
        <w:rPr>
          <w:b/>
          <w:color w:val="000000" w:themeColor="text1"/>
          <w:u w:val="single"/>
        </w:rPr>
      </w:pPr>
      <w:r w:rsidRPr="00F3164C">
        <w:rPr>
          <w:b/>
          <w:color w:val="000000" w:themeColor="text1"/>
          <w:u w:val="single"/>
        </w:rPr>
        <w:t>INDKES BRANŻY METALOWEJ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rPr>
          <w:noProof/>
        </w:rPr>
        <w:drawing>
          <wp:inline distT="0" distB="0" distL="0" distR="0">
            <wp:extent cx="2676525" cy="1610138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0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28" w:rsidRDefault="000A4828" w:rsidP="000A4828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0A4828" w:rsidRDefault="000A4828" w:rsidP="000A4828">
      <w:pPr>
        <w:pStyle w:val="Bezodstpw"/>
        <w:numPr>
          <w:ilvl w:val="0"/>
          <w:numId w:val="1"/>
        </w:numPr>
        <w:jc w:val="both"/>
      </w:pPr>
      <w:r>
        <w:t>Lena</w:t>
      </w:r>
    </w:p>
    <w:p w:rsidR="000A4828" w:rsidRDefault="000A4828" w:rsidP="000A4828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0A4828" w:rsidRDefault="000A4828" w:rsidP="000A4828">
      <w:pPr>
        <w:pStyle w:val="Bezodstpw"/>
        <w:numPr>
          <w:ilvl w:val="0"/>
          <w:numId w:val="1"/>
        </w:numPr>
        <w:jc w:val="both"/>
      </w:pPr>
      <w:r>
        <w:t>Rafako</w:t>
      </w:r>
    </w:p>
    <w:p w:rsidR="000A4828" w:rsidRDefault="000A4828" w:rsidP="000A4828">
      <w:pPr>
        <w:pStyle w:val="Bezodstpw"/>
        <w:jc w:val="both"/>
      </w:pPr>
    </w:p>
    <w:p w:rsidR="000A4828" w:rsidRPr="00DF5937" w:rsidRDefault="000A4828" w:rsidP="000A4828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4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8 </w:t>
      </w:r>
      <w:r w:rsidRPr="00DF5937">
        <w:rPr>
          <w:b/>
          <w:color w:val="0000FF"/>
        </w:rPr>
        <w:t>(!!!)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2,20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+7,8 %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4,83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+21,1 %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5,11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+40,8 %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A4828" w:rsidRDefault="000A4828" w:rsidP="00A45D3F">
            <w:pPr>
              <w:pStyle w:val="Bezodstpw"/>
              <w:jc w:val="center"/>
            </w:pPr>
            <w:r>
              <w:t>6,42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+51,1 %</w:t>
            </w:r>
          </w:p>
        </w:tc>
      </w:tr>
      <w:tr w:rsidR="000A4828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+30,2 %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-5,3 %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6,22 zł. 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-4,3 %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-4,3 %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-3,6 %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32,80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23,8 %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23,8 %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-3,3 %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1,04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-21,2 %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-21,2 %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-3,6 %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</w:t>
      </w:r>
      <w:r w:rsidR="00E43671">
        <w:t>20</w:t>
      </w:r>
      <w:r>
        <w:t xml:space="preserve"> marca 2015 roku oraz procentowa zmiana indeksu WIG 20 w tym okresie. 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2,99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+61,6 %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+61,6 %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-3,3 %</w:t>
            </w:r>
          </w:p>
        </w:tc>
      </w:tr>
    </w:tbl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</w:t>
      </w:r>
      <w:r w:rsidR="00E43671">
        <w:t xml:space="preserve">20 </w:t>
      </w:r>
      <w:r>
        <w:t xml:space="preserve">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57,28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+25,5 %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18,32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+10,4%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A4828" w:rsidRDefault="000A4828" w:rsidP="00A45D3F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A4828" w:rsidRDefault="000A4828" w:rsidP="00A45D3F">
            <w:pPr>
              <w:pStyle w:val="Bezodstpw"/>
              <w:jc w:val="center"/>
            </w:pPr>
            <w:r>
              <w:t>13,31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- 24,4 %</w:t>
            </w:r>
          </w:p>
        </w:tc>
      </w:tr>
      <w:tr w:rsidR="000A4828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+3,9 %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-3,1 %</w:t>
            </w:r>
          </w:p>
        </w:tc>
      </w:tr>
    </w:tbl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</w:t>
      </w:r>
      <w:r w:rsidR="00E43671">
        <w:t>20</w:t>
      </w:r>
      <w:r>
        <w:t xml:space="preserve"> marca 2015 roku oraz procentowa zmiana indeksu WIG 20 w tym okresie. 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461,00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+88,9 %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+88,9 %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-1,5 %</w:t>
            </w:r>
          </w:p>
        </w:tc>
      </w:tr>
    </w:tbl>
    <w:p w:rsidR="000A4828" w:rsidRDefault="000A4828" w:rsidP="000A4828">
      <w:pPr>
        <w:pStyle w:val="Bezodstpw"/>
        <w:jc w:val="both"/>
        <w:rPr>
          <w:b/>
          <w:color w:val="FF0000"/>
        </w:rPr>
      </w:pPr>
    </w:p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4,74 zł. 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-9,0 %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-9,0 %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  0,3 %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A4828" w:rsidRDefault="000A4828" w:rsidP="00A45D3F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A4828" w:rsidRDefault="000A4828" w:rsidP="00A45D3F">
            <w:pPr>
              <w:pStyle w:val="Bezodstpw"/>
              <w:jc w:val="center"/>
            </w:pPr>
            <w:r>
              <w:t>11,03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+ 26,8 %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A4828" w:rsidRPr="00A556F3" w:rsidRDefault="000A4828" w:rsidP="00A45D3F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0A4828" w:rsidRPr="00A556F3" w:rsidRDefault="000A4828" w:rsidP="00A45D3F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6,85 zł. </w:t>
            </w:r>
          </w:p>
        </w:tc>
        <w:tc>
          <w:tcPr>
            <w:tcW w:w="1134" w:type="dxa"/>
          </w:tcPr>
          <w:p w:rsidR="000A4828" w:rsidRPr="00A556F3" w:rsidRDefault="000A4828" w:rsidP="00A45D3F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- 1,2 %</w:t>
            </w:r>
          </w:p>
        </w:tc>
      </w:tr>
      <w:tr w:rsidR="000A4828" w:rsidTr="00A45D3F">
        <w:tc>
          <w:tcPr>
            <w:tcW w:w="3402" w:type="dxa"/>
          </w:tcPr>
          <w:p w:rsidR="000A4828" w:rsidRPr="00A556F3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0A4828" w:rsidRPr="00581996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+ 12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-0,6 % </w:t>
            </w:r>
          </w:p>
        </w:tc>
      </w:tr>
    </w:tbl>
    <w:p w:rsidR="000A4828" w:rsidRDefault="000A4828" w:rsidP="000A4828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3,90 zł. 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-9,7%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-9,7 %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-0,8 %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16,60 zł. 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+3,8 %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+3,8 %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-2,3 %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1,49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+40,6 %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+40,6 %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-0,4 %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35,75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-5,0 %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-5,0 %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-0,4 %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9,71 zł. 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+19,3 %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+19,3 %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 2,0 %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</w:t>
      </w:r>
      <w:r w:rsidR="00E43671">
        <w:t>20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124,80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+8,1 %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+8,1 %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+4,0 %</w:t>
            </w:r>
          </w:p>
        </w:tc>
      </w:tr>
    </w:tbl>
    <w:p w:rsidR="000A4828" w:rsidRDefault="000A4828" w:rsidP="000A4828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</w:t>
      </w:r>
      <w:r w:rsidR="00E43671">
        <w:t>20</w:t>
      </w:r>
      <w:r>
        <w:t xml:space="preserve"> marca 2015 roku oraz procentowa zmiana indeksu WIG 20 w tym okresie. 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3,28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-1,8 %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-1,8 %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+3,1 %</w:t>
            </w:r>
          </w:p>
        </w:tc>
      </w:tr>
    </w:tbl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</w:t>
      </w:r>
      <w:r w:rsidR="00E43671">
        <w:t>20</w:t>
      </w:r>
      <w:r>
        <w:t xml:space="preserve"> marca 2015 roku oraz procentowa zmiana indeksu WIG 20 w tym okresie. 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+18,9 %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+18,9 %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 +2,9  %</w:t>
            </w:r>
          </w:p>
        </w:tc>
      </w:tr>
    </w:tbl>
    <w:p w:rsidR="000A4828" w:rsidRPr="008E1E54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</w:t>
      </w:r>
      <w:r w:rsidR="00E43671">
        <w:t>20</w:t>
      </w:r>
      <w:r>
        <w:t xml:space="preserve"> marca 2015 roku oraz procentowa zmiana indeksu WIG 20 w tym okresie. 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4,85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+7,8 %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+7,8 %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+2,9 %</w:t>
            </w:r>
          </w:p>
        </w:tc>
      </w:tr>
    </w:tbl>
    <w:p w:rsidR="000A4828" w:rsidRDefault="000A4828" w:rsidP="000A4828">
      <w:pPr>
        <w:pStyle w:val="Bezodstpw"/>
        <w:jc w:val="both"/>
        <w:rPr>
          <w:b/>
        </w:rPr>
      </w:pPr>
    </w:p>
    <w:p w:rsidR="000A4828" w:rsidRDefault="000A4828" w:rsidP="000A4828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do </w:t>
      </w:r>
      <w:r w:rsidR="00E43671">
        <w:t>20</w:t>
      </w:r>
      <w:r>
        <w:t xml:space="preserve"> marca 2015 roku oraz procentowa zmiana indeksu WIG 20 w tym okresie. </w:t>
      </w:r>
    </w:p>
    <w:p w:rsidR="000A4828" w:rsidRDefault="000A4828" w:rsidP="000A4828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Poziom – 20.03.2015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Zmiana (w %)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>
              <w:t>10,18 zł.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+34,5 %</w:t>
            </w:r>
          </w:p>
        </w:tc>
      </w:tr>
      <w:tr w:rsidR="000A4828" w:rsidRPr="008F668F" w:rsidTr="00A45D3F">
        <w:tc>
          <w:tcPr>
            <w:tcW w:w="3402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0A4828" w:rsidRPr="008F668F" w:rsidRDefault="000A4828" w:rsidP="00A45D3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+34,5 %</w:t>
            </w:r>
          </w:p>
        </w:tc>
      </w:tr>
      <w:tr w:rsidR="000A4828" w:rsidTr="00A45D3F">
        <w:tc>
          <w:tcPr>
            <w:tcW w:w="3402" w:type="dxa"/>
          </w:tcPr>
          <w:p w:rsidR="000A4828" w:rsidRDefault="000A4828" w:rsidP="00A45D3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0A4828" w:rsidRDefault="000A4828" w:rsidP="00A45D3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0A4828" w:rsidRDefault="000A4828" w:rsidP="00A45D3F">
            <w:pPr>
              <w:pStyle w:val="Bezodstpw"/>
              <w:jc w:val="center"/>
            </w:pPr>
            <w:r w:rsidRPr="00662678">
              <w:t>2</w:t>
            </w:r>
            <w:r>
              <w:t> 407,70 pkt.</w:t>
            </w:r>
          </w:p>
        </w:tc>
        <w:tc>
          <w:tcPr>
            <w:tcW w:w="1134" w:type="dxa"/>
          </w:tcPr>
          <w:p w:rsidR="000A4828" w:rsidRDefault="000A4828" w:rsidP="00A45D3F">
            <w:pPr>
              <w:pStyle w:val="Bezodstpw"/>
              <w:jc w:val="center"/>
            </w:pPr>
            <w:r>
              <w:t>+2,1 %</w:t>
            </w:r>
          </w:p>
        </w:tc>
      </w:tr>
    </w:tbl>
    <w:p w:rsidR="000A4828" w:rsidRDefault="000A4828" w:rsidP="000A4828">
      <w:pPr>
        <w:pStyle w:val="Bezodstpw"/>
        <w:jc w:val="both"/>
        <w:rPr>
          <w:b/>
        </w:rPr>
      </w:pPr>
    </w:p>
    <w:p w:rsidR="000A4828" w:rsidRPr="00327643" w:rsidRDefault="000A4828" w:rsidP="000A4828">
      <w:pPr>
        <w:pStyle w:val="Bezodstpw"/>
        <w:jc w:val="both"/>
        <w:rPr>
          <w:b/>
          <w:sz w:val="34"/>
          <w:szCs w:val="34"/>
          <w:u w:val="single"/>
        </w:rPr>
      </w:pPr>
      <w:r w:rsidRPr="00327643">
        <w:rPr>
          <w:sz w:val="34"/>
          <w:szCs w:val="34"/>
        </w:rPr>
        <w:t xml:space="preserve">Warto zauważyć, że </w:t>
      </w:r>
      <w:r w:rsidRPr="00327643">
        <w:rPr>
          <w:b/>
          <w:color w:val="FF0000"/>
          <w:sz w:val="34"/>
          <w:szCs w:val="34"/>
        </w:rPr>
        <w:t>spośród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b/>
          <w:color w:val="FF0000"/>
          <w:sz w:val="34"/>
          <w:szCs w:val="34"/>
        </w:rPr>
        <w:t>25 spółek</w:t>
      </w:r>
      <w:r w:rsidRPr="00327643">
        <w:rPr>
          <w:b/>
          <w:sz w:val="34"/>
          <w:szCs w:val="34"/>
        </w:rPr>
        <w:t>, których akcje zakwalifikowane zostały do rubryki ,,Wykres do przemyślenia”</w:t>
      </w:r>
      <w:r w:rsidRPr="00327643">
        <w:rPr>
          <w:sz w:val="34"/>
          <w:szCs w:val="34"/>
        </w:rPr>
        <w:t xml:space="preserve"> (gdyż wybiły się już z formacji podwójnego dna) </w:t>
      </w:r>
      <w:r w:rsidRPr="00327643">
        <w:rPr>
          <w:b/>
          <w:sz w:val="34"/>
          <w:szCs w:val="34"/>
        </w:rPr>
        <w:t xml:space="preserve">kursy akcji </w:t>
      </w:r>
      <w:r w:rsidRPr="00327643">
        <w:rPr>
          <w:b/>
          <w:color w:val="FF0000"/>
          <w:sz w:val="34"/>
          <w:szCs w:val="34"/>
        </w:rPr>
        <w:t>1</w:t>
      </w:r>
      <w:r>
        <w:rPr>
          <w:b/>
          <w:color w:val="FF0000"/>
          <w:sz w:val="34"/>
          <w:szCs w:val="34"/>
        </w:rPr>
        <w:t>7</w:t>
      </w:r>
      <w:r w:rsidRPr="00327643">
        <w:rPr>
          <w:b/>
          <w:color w:val="FF0000"/>
          <w:sz w:val="34"/>
          <w:szCs w:val="34"/>
        </w:rPr>
        <w:t xml:space="preserve"> spółek</w:t>
      </w:r>
      <w:r w:rsidRPr="00327643">
        <w:rPr>
          <w:sz w:val="34"/>
          <w:szCs w:val="34"/>
        </w:rPr>
        <w:t xml:space="preserve"> od momentu owego zakwalifikowania do tej rubryki do dnia </w:t>
      </w:r>
      <w:r>
        <w:rPr>
          <w:sz w:val="34"/>
          <w:szCs w:val="34"/>
        </w:rPr>
        <w:t>20</w:t>
      </w:r>
      <w:r w:rsidRPr="00327643">
        <w:rPr>
          <w:sz w:val="34"/>
          <w:szCs w:val="34"/>
        </w:rPr>
        <w:t xml:space="preserve"> marca 2015 roku zachowywały się </w:t>
      </w:r>
      <w:r w:rsidRPr="00327643">
        <w:rPr>
          <w:b/>
          <w:color w:val="FF0000"/>
          <w:sz w:val="34"/>
          <w:szCs w:val="34"/>
          <w:u w:val="single"/>
        </w:rPr>
        <w:t>lepiej</w:t>
      </w:r>
      <w:r w:rsidRPr="00327643">
        <w:rPr>
          <w:b/>
          <w:color w:val="FF0000"/>
          <w:sz w:val="34"/>
          <w:szCs w:val="34"/>
        </w:rPr>
        <w:t xml:space="preserve"> od indeksu WIG20 </w:t>
      </w:r>
      <w:r w:rsidRPr="00327643">
        <w:rPr>
          <w:sz w:val="34"/>
          <w:szCs w:val="34"/>
        </w:rPr>
        <w:t xml:space="preserve">a </w:t>
      </w:r>
      <w:r>
        <w:rPr>
          <w:sz w:val="34"/>
          <w:szCs w:val="34"/>
        </w:rPr>
        <w:t>8</w:t>
      </w:r>
      <w:r w:rsidRPr="00327643">
        <w:rPr>
          <w:b/>
          <w:sz w:val="34"/>
          <w:szCs w:val="34"/>
        </w:rPr>
        <w:t xml:space="preserve"> zachowywało się </w:t>
      </w:r>
      <w:r w:rsidRPr="00327643">
        <w:rPr>
          <w:b/>
          <w:sz w:val="34"/>
          <w:szCs w:val="34"/>
          <w:u w:val="single"/>
        </w:rPr>
        <w:t>gorzej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sz w:val="34"/>
          <w:szCs w:val="34"/>
        </w:rPr>
        <w:t>od indeksu</w:t>
      </w:r>
      <w:r w:rsidRPr="00327643">
        <w:rPr>
          <w:b/>
          <w:sz w:val="34"/>
          <w:szCs w:val="34"/>
        </w:rPr>
        <w:t xml:space="preserve"> WIG 20.</w:t>
      </w:r>
      <w:r w:rsidRPr="00327643">
        <w:rPr>
          <w:b/>
          <w:sz w:val="34"/>
          <w:szCs w:val="34"/>
          <w:u w:val="single"/>
        </w:rPr>
        <w:t xml:space="preserve"> </w:t>
      </w:r>
    </w:p>
    <w:p w:rsidR="000A4828" w:rsidRPr="00AD053A" w:rsidRDefault="000A4828" w:rsidP="000A4828">
      <w:pPr>
        <w:pStyle w:val="Bezodstpw"/>
        <w:jc w:val="center"/>
        <w:rPr>
          <w:b/>
          <w:emboss/>
          <w:color w:val="FF0000"/>
          <w:sz w:val="56"/>
          <w:szCs w:val="56"/>
        </w:rPr>
      </w:pPr>
      <w:r>
        <w:rPr>
          <w:b/>
          <w:emboss/>
          <w:color w:val="FF0000"/>
          <w:sz w:val="56"/>
          <w:szCs w:val="56"/>
        </w:rPr>
        <w:lastRenderedPageBreak/>
        <w:t>P</w:t>
      </w:r>
      <w:r w:rsidRPr="00AD053A">
        <w:rPr>
          <w:b/>
          <w:emboss/>
          <w:color w:val="FF0000"/>
          <w:sz w:val="56"/>
          <w:szCs w:val="56"/>
        </w:rPr>
        <w:t>orównanie</w:t>
      </w:r>
    </w:p>
    <w:p w:rsidR="000A4828" w:rsidRPr="003A12DD" w:rsidRDefault="000A4828" w:rsidP="000A4828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Wykres: </w:t>
      </w:r>
      <w:r w:rsidRPr="00E27B35">
        <w:rPr>
          <w:color w:val="000000" w:themeColor="text1"/>
          <w:sz w:val="30"/>
          <w:szCs w:val="30"/>
        </w:rPr>
        <w:t>Średnia procentowa zmiana kursu akcji spółki po wprowadzeniu jej do rubryki ,,Wykres do przemyślenia”</w:t>
      </w:r>
      <w:r w:rsidRPr="00E27B35">
        <w:rPr>
          <w:b/>
          <w:color w:val="FF0000"/>
          <w:sz w:val="30"/>
          <w:szCs w:val="30"/>
        </w:rPr>
        <w:t xml:space="preserve"> w okresie 3 pierwszych miesięcy</w:t>
      </w:r>
      <w:r w:rsidRPr="003A12DD">
        <w:rPr>
          <w:sz w:val="30"/>
          <w:szCs w:val="30"/>
        </w:rPr>
        <w:t xml:space="preserve"> po jej wprowadzeniu do tej rubryki wynosiła </w:t>
      </w:r>
      <w:r w:rsidRPr="003A12DD">
        <w:rPr>
          <w:b/>
          <w:color w:val="FF0000"/>
          <w:sz w:val="30"/>
          <w:szCs w:val="30"/>
        </w:rPr>
        <w:t xml:space="preserve">plus </w:t>
      </w:r>
      <w:r>
        <w:rPr>
          <w:b/>
          <w:color w:val="FF0000"/>
          <w:sz w:val="30"/>
          <w:szCs w:val="30"/>
        </w:rPr>
        <w:t>7</w:t>
      </w:r>
      <w:r w:rsidRPr="003A12DD">
        <w:rPr>
          <w:b/>
          <w:color w:val="FF0000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>5</w:t>
      </w:r>
      <w:r w:rsidRPr="003A12DD">
        <w:rPr>
          <w:b/>
          <w:color w:val="FF0000"/>
          <w:sz w:val="30"/>
          <w:szCs w:val="30"/>
        </w:rPr>
        <w:t xml:space="preserve"> %</w:t>
      </w:r>
      <w:r w:rsidRPr="003A12DD">
        <w:rPr>
          <w:sz w:val="30"/>
          <w:szCs w:val="30"/>
        </w:rPr>
        <w:t xml:space="preserve"> a średnia procentowa zmiana indeksu WIG20 wynosiła w tym okresie minus 5,</w:t>
      </w:r>
      <w:r>
        <w:rPr>
          <w:sz w:val="30"/>
          <w:szCs w:val="30"/>
        </w:rPr>
        <w:t>0</w:t>
      </w:r>
      <w:r w:rsidRPr="003A12DD">
        <w:rPr>
          <w:sz w:val="30"/>
          <w:szCs w:val="30"/>
        </w:rPr>
        <w:t xml:space="preserve"> % (</w:t>
      </w:r>
      <w:r w:rsidRPr="000769DA">
        <w:rPr>
          <w:sz w:val="30"/>
          <w:szCs w:val="30"/>
          <w:u w:val="single"/>
        </w:rPr>
        <w:t xml:space="preserve">obliczenia według stanu na </w:t>
      </w:r>
      <w:r>
        <w:rPr>
          <w:sz w:val="30"/>
          <w:szCs w:val="30"/>
          <w:u w:val="single"/>
        </w:rPr>
        <w:t>20 marca</w:t>
      </w:r>
      <w:r w:rsidRPr="000769DA">
        <w:rPr>
          <w:sz w:val="30"/>
          <w:szCs w:val="30"/>
          <w:u w:val="single"/>
        </w:rPr>
        <w:t xml:space="preserve"> 2015 roku</w:t>
      </w:r>
      <w:r w:rsidRPr="003A12DD">
        <w:rPr>
          <w:sz w:val="30"/>
          <w:szCs w:val="30"/>
        </w:rPr>
        <w:t xml:space="preserve">). Dane o procentowej zmianie kursu </w:t>
      </w:r>
      <w:r w:rsidRPr="00E27B35">
        <w:rPr>
          <w:sz w:val="30"/>
          <w:szCs w:val="30"/>
        </w:rPr>
        <w:t>dla okresu 3-miesięcznego można</w:t>
      </w:r>
      <w:r w:rsidRPr="003A12DD">
        <w:rPr>
          <w:sz w:val="30"/>
          <w:szCs w:val="30"/>
        </w:rPr>
        <w:t xml:space="preserve"> było obliczyć dla akcji </w:t>
      </w:r>
      <w:r>
        <w:rPr>
          <w:sz w:val="30"/>
          <w:szCs w:val="30"/>
        </w:rPr>
        <w:t>20</w:t>
      </w:r>
      <w:r w:rsidRPr="003A12DD">
        <w:rPr>
          <w:sz w:val="30"/>
          <w:szCs w:val="30"/>
        </w:rPr>
        <w:t xml:space="preserve"> spółek.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5086350" cy="5153025"/>
            <wp:effectExtent l="19050" t="0" r="1905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Z powyższego porównania wynika, że </w:t>
      </w:r>
      <w:r w:rsidRPr="003A12DD">
        <w:rPr>
          <w:b/>
          <w:sz w:val="30"/>
          <w:szCs w:val="30"/>
        </w:rPr>
        <w:t>wybicie kursu akcji spółki z formacji podwójnego dna</w:t>
      </w:r>
      <w:r w:rsidRPr="003A12DD">
        <w:rPr>
          <w:sz w:val="30"/>
          <w:szCs w:val="30"/>
        </w:rPr>
        <w:t xml:space="preserve"> będące </w:t>
      </w:r>
      <w:r w:rsidRPr="003A12DD">
        <w:rPr>
          <w:b/>
          <w:color w:val="000000" w:themeColor="text1"/>
          <w:sz w:val="30"/>
          <w:szCs w:val="30"/>
        </w:rPr>
        <w:t>niezbędnym kryterium kwalifikującym</w:t>
      </w:r>
      <w:r w:rsidRPr="003A12DD">
        <w:rPr>
          <w:sz w:val="30"/>
          <w:szCs w:val="30"/>
        </w:rPr>
        <w:t xml:space="preserve"> do wprowadzenie spółki do rubryki ,,Wykres do przemyślenia” sprzyja relatywnie mocnemu zachowaniu kursu akcji tej spółki już nawet w okresie pierwszych 3 miesięcy po wprowadzeniu spółki do tej rubryki.</w:t>
      </w:r>
    </w:p>
    <w:p w:rsidR="000A4828" w:rsidRDefault="000A4828" w:rsidP="000A4828">
      <w:pPr>
        <w:pStyle w:val="Bezodstpw"/>
        <w:jc w:val="both"/>
        <w:rPr>
          <w:b/>
        </w:rPr>
      </w:pPr>
      <w:r w:rsidRPr="00684436">
        <w:rPr>
          <w:b/>
        </w:rPr>
        <w:lastRenderedPageBreak/>
        <w:t>Wnioski końcowe</w:t>
      </w:r>
    </w:p>
    <w:p w:rsidR="000A4828" w:rsidRDefault="000A4828" w:rsidP="000A4828">
      <w:pPr>
        <w:pStyle w:val="Bezodstpw"/>
        <w:jc w:val="both"/>
        <w:rPr>
          <w:b/>
        </w:rPr>
      </w:pPr>
    </w:p>
    <w:p w:rsidR="000A4828" w:rsidRPr="00700F09" w:rsidRDefault="000A4828" w:rsidP="000A4828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6F3F9A">
        <w:t xml:space="preserve">Kurs </w:t>
      </w:r>
      <w:r>
        <w:t xml:space="preserve">dolara amerykańskiego (w złotych) spadł poniżej bardzo ważnego oporu na poziomie 3,9130 zł. z lutego 2009 roku. </w:t>
      </w:r>
      <w:r w:rsidRPr="00700F09">
        <w:rPr>
          <w:u w:val="single"/>
        </w:rPr>
        <w:t xml:space="preserve">W tej sytuacji </w:t>
      </w:r>
      <w:r>
        <w:t>m</w:t>
      </w:r>
      <w:r w:rsidRPr="006E1995">
        <w:t>ożna</w:t>
      </w:r>
      <w:r w:rsidRPr="00700F09">
        <w:rPr>
          <w:u w:val="single"/>
        </w:rPr>
        <w:t xml:space="preserve"> </w:t>
      </w:r>
      <w:r w:rsidRPr="00700F09"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 w:rsidRPr="00700F09">
        <w:rPr>
          <w:b/>
          <w:color w:val="FF0000"/>
        </w:rPr>
        <w:t>3,10.</w:t>
      </w:r>
      <w:r>
        <w:t xml:space="preserve"> </w:t>
      </w:r>
    </w:p>
    <w:p w:rsidR="000A4828" w:rsidRPr="00700F09" w:rsidRDefault="000A4828" w:rsidP="000A4828">
      <w:pPr>
        <w:pStyle w:val="Bezodstpw"/>
        <w:ind w:left="720"/>
        <w:jc w:val="both"/>
        <w:rPr>
          <w:b/>
          <w:color w:val="FF0000"/>
        </w:rPr>
      </w:pPr>
    </w:p>
    <w:p w:rsidR="000A4828" w:rsidRPr="00700F09" w:rsidRDefault="000A4828" w:rsidP="000A4828">
      <w:pPr>
        <w:pStyle w:val="Bezodstpw"/>
        <w:numPr>
          <w:ilvl w:val="0"/>
          <w:numId w:val="1"/>
        </w:numPr>
        <w:jc w:val="both"/>
      </w:pPr>
      <w:r w:rsidRPr="00700F09">
        <w:rPr>
          <w:color w:val="000000" w:themeColor="text1"/>
        </w:rPr>
        <w:t xml:space="preserve">W przypadku kursu euro (w złotych) bardzo ważnym poziomem oporu jest poziom 4,3668 (szczyt z czerwca 2013 roku). Po dojściu do tego oporu już rozpoczęła się fala spadków w kierunku ważnego wsparcia, którym jest dołek z 6 czerwca 2014 roku przebiegający na poziomie  </w:t>
      </w:r>
      <w:r w:rsidRPr="00700F09">
        <w:rPr>
          <w:b/>
          <w:color w:val="FF0000"/>
        </w:rPr>
        <w:t>4,092.</w:t>
      </w:r>
    </w:p>
    <w:p w:rsidR="000A4828" w:rsidRPr="00700F09" w:rsidRDefault="000A4828" w:rsidP="000A4828">
      <w:pPr>
        <w:pStyle w:val="Bezodstpw"/>
        <w:ind w:left="720"/>
        <w:jc w:val="both"/>
      </w:pPr>
    </w:p>
    <w:p w:rsidR="000A4828" w:rsidRPr="006F2804" w:rsidRDefault="000A4828" w:rsidP="000A4828">
      <w:pPr>
        <w:pStyle w:val="Bezodstpw"/>
        <w:numPr>
          <w:ilvl w:val="0"/>
          <w:numId w:val="1"/>
        </w:numPr>
        <w:jc w:val="both"/>
      </w:pPr>
      <w:r w:rsidRPr="00700F09">
        <w:rPr>
          <w:color w:val="000000" w:themeColor="text1"/>
        </w:rPr>
        <w:t xml:space="preserve">Z fundamentalnego punktu widzenia przewidywane w 2015 roku wzrosty indeksów giełdowych opisujących sytuację na polskim rynku akcji mogą być </w:t>
      </w:r>
      <w:r w:rsidRPr="00700F09">
        <w:rPr>
          <w:b/>
          <w:color w:val="000000" w:themeColor="text1"/>
        </w:rPr>
        <w:t xml:space="preserve">przejawem </w:t>
      </w:r>
      <w:r w:rsidRPr="00700F09">
        <w:rPr>
          <w:b/>
          <w:color w:val="FF00FF"/>
        </w:rPr>
        <w:t>dyskontowania przez uczestników polskiego rynku akcji ożywienia gospodarczego w Polsce</w:t>
      </w:r>
      <w:r w:rsidRPr="00700F09">
        <w:rPr>
          <w:color w:val="000000" w:themeColor="text1"/>
        </w:rPr>
        <w:t>, które (zgodnie z np. prognozami analityków NBP, Instytutu Badań nad Gospodarką Rynkową, czy też np. banku inwestycyjnego Morgan Stanley) powinno nastąpić w 2016 roku (kiedy to zdaniem, wyżej wymienionych analityków można oczekiwać, wedle wyżej wymienionych prognoz przyspieszenia realnego wzrostu PKB.</w:t>
      </w:r>
    </w:p>
    <w:p w:rsidR="000A4828" w:rsidRDefault="000A4828" w:rsidP="000A4828">
      <w:pPr>
        <w:pStyle w:val="Bezodstpw"/>
        <w:ind w:left="720"/>
        <w:jc w:val="both"/>
      </w:pPr>
    </w:p>
    <w:p w:rsidR="000A4828" w:rsidRPr="00700F09" w:rsidRDefault="000A4828" w:rsidP="000A4828">
      <w:pPr>
        <w:pStyle w:val="Bezodstpw"/>
        <w:numPr>
          <w:ilvl w:val="0"/>
          <w:numId w:val="1"/>
        </w:numPr>
        <w:jc w:val="both"/>
      </w:pPr>
      <w:r>
        <w:t xml:space="preserve">Na wykresie indeksu </w:t>
      </w:r>
      <w:r w:rsidRPr="00700F09">
        <w:rPr>
          <w:b/>
          <w:color w:val="FF0000"/>
        </w:rPr>
        <w:t xml:space="preserve">WIG 20 </w:t>
      </w:r>
      <w:r w:rsidRPr="00700F09">
        <w:rPr>
          <w:color w:val="000000" w:themeColor="text1"/>
        </w:rPr>
        <w:t>wciąż nie wypełniła się mała formacja podwójnego dna.</w:t>
      </w:r>
      <w:r w:rsidRPr="00700F09">
        <w:rPr>
          <w:b/>
          <w:color w:val="FF0000"/>
        </w:rPr>
        <w:t xml:space="preserve"> </w:t>
      </w:r>
      <w:r w:rsidRPr="00700F09">
        <w:rPr>
          <w:color w:val="000000" w:themeColor="text1"/>
        </w:rPr>
        <w:t xml:space="preserve">W tej sytuacji można oczekiwać wzrostu tego indeksu o 2,5 %. Wzrost popytu na polskie akcje wynika m.in. z poprawy sytuacji na wschodzących rynkach akcji, w tym w Korei Południowej oraz w Brazylii. Po wybiciu z formacji podwójnego dna na wykresie indeksu </w:t>
      </w:r>
      <w:proofErr w:type="spellStart"/>
      <w:r w:rsidRPr="00700F09">
        <w:rPr>
          <w:color w:val="000000" w:themeColor="text1"/>
        </w:rPr>
        <w:t>Bovespa</w:t>
      </w:r>
      <w:proofErr w:type="spellEnd"/>
      <w:r w:rsidRPr="00700F09">
        <w:rPr>
          <w:color w:val="000000" w:themeColor="text1"/>
        </w:rPr>
        <w:t xml:space="preserve"> w Brazylii można tam oczekiwać wzrostu o 6,0 %. </w:t>
      </w:r>
    </w:p>
    <w:p w:rsidR="000A4828" w:rsidRDefault="000A4828" w:rsidP="000A4828">
      <w:pPr>
        <w:pStyle w:val="Bezodstpw"/>
        <w:ind w:left="720"/>
        <w:jc w:val="both"/>
      </w:pPr>
    </w:p>
    <w:p w:rsidR="000A4828" w:rsidRDefault="000A4828" w:rsidP="000A4828">
      <w:pPr>
        <w:pStyle w:val="Bezodstpw"/>
        <w:numPr>
          <w:ilvl w:val="0"/>
          <w:numId w:val="1"/>
        </w:numPr>
        <w:jc w:val="both"/>
      </w:pPr>
      <w:r>
        <w:t xml:space="preserve">Po zakończeniu notowań piątkowych bardzo dobre wyniki finansowe za 2014 rok zaprezentował </w:t>
      </w:r>
      <w:r w:rsidRPr="00AD7BEA">
        <w:rPr>
          <w:b/>
          <w:color w:val="FF0000"/>
        </w:rPr>
        <w:t>Boryszew</w:t>
      </w:r>
      <w:r>
        <w:t xml:space="preserve">. Zarząd </w:t>
      </w:r>
      <w:r w:rsidRPr="005470D8">
        <w:t>podjął uchwałę w sprawie rekomendowania Zwyczajnemu Walnemu Zgromadzeniu Boryszew S.A. wypłaty dywidendy z zysku netto Spółki za 2014 rok w wysokości 10 (dziesięć) groszy na jedną akcję.</w:t>
      </w:r>
      <w:r>
        <w:t xml:space="preserve"> </w:t>
      </w:r>
      <w:r w:rsidRPr="00700F09">
        <w:t>Warto przypomnieć, że na wykresie akcji spółki Boryszew doszło do wybicia z formacji podwójnego dna. Gdyby formacja ta miała się wypełnić powinno dojść do wzrostu</w:t>
      </w:r>
      <w:r>
        <w:t xml:space="preserve"> kursu do 7 złotych i 94 groszy, czyli </w:t>
      </w:r>
      <w:r w:rsidRPr="00700F09">
        <w:rPr>
          <w:b/>
          <w:color w:val="FF0000"/>
        </w:rPr>
        <w:t xml:space="preserve">o 27,7 %. </w:t>
      </w:r>
      <w:r w:rsidRPr="00700F09">
        <w:rPr>
          <w:color w:val="000000" w:themeColor="text1"/>
        </w:rPr>
        <w:t xml:space="preserve">Boryszew </w:t>
      </w:r>
      <w:r>
        <w:rPr>
          <w:color w:val="000000" w:themeColor="text1"/>
        </w:rPr>
        <w:t xml:space="preserve">15 września 2014 roku </w:t>
      </w:r>
      <w:r>
        <w:t xml:space="preserve">znalazł się w rubryce </w:t>
      </w:r>
      <w:r w:rsidRPr="00AD7BEA">
        <w:rPr>
          <w:b/>
        </w:rPr>
        <w:t>,,Wykres do przemyślenia”.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23 marca 2015 r.</w:t>
      </w:r>
    </w:p>
    <w:p w:rsidR="000A4828" w:rsidRDefault="000A4828" w:rsidP="000A4828">
      <w:pPr>
        <w:pStyle w:val="Bezodstpw"/>
        <w:ind w:left="720"/>
        <w:jc w:val="both"/>
      </w:pPr>
    </w:p>
    <w:p w:rsidR="000A4828" w:rsidRDefault="000A4828" w:rsidP="000A4828">
      <w:pPr>
        <w:pStyle w:val="Bezodstpw"/>
        <w:jc w:val="both"/>
      </w:pPr>
      <w:r>
        <w:t xml:space="preserve">Powyższy raport stanowi wyłącznie wyraz osobistych opinii autora. 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Treści zawarte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0A4828" w:rsidRDefault="000A4828" w:rsidP="000A4828">
      <w:pPr>
        <w:pStyle w:val="Bezodstpw"/>
        <w:jc w:val="both"/>
      </w:pPr>
    </w:p>
    <w:p w:rsidR="000A4828" w:rsidRDefault="000A4828" w:rsidP="000A4828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4" w:history="1">
        <w:r w:rsidRPr="00093965">
          <w:rPr>
            <w:rStyle w:val="Hipercze"/>
          </w:rPr>
          <w:t>www.analizy-rynkowe.pl</w:t>
        </w:r>
      </w:hyperlink>
    </w:p>
    <w:p w:rsidR="000A4828" w:rsidRDefault="000A4828" w:rsidP="000A4828">
      <w:pPr>
        <w:pStyle w:val="Bezodstpw"/>
        <w:jc w:val="both"/>
      </w:pPr>
    </w:p>
    <w:sectPr w:rsidR="000A4828" w:rsidSect="00FF5F52"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CF" w:rsidRDefault="00A740CF" w:rsidP="000A6D83">
      <w:pPr>
        <w:spacing w:after="0" w:line="240" w:lineRule="auto"/>
      </w:pPr>
      <w:r>
        <w:separator/>
      </w:r>
    </w:p>
  </w:endnote>
  <w:endnote w:type="continuationSeparator" w:id="0">
    <w:p w:rsidR="00A740CF" w:rsidRDefault="00A740CF" w:rsidP="000A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0A6D83">
        <w:pPr>
          <w:pStyle w:val="Stopka"/>
          <w:jc w:val="center"/>
        </w:pPr>
        <w:r>
          <w:fldChar w:fldCharType="begin"/>
        </w:r>
        <w:r w:rsidR="000A4828">
          <w:instrText>PAGE   \* MERGEFORMAT</w:instrText>
        </w:r>
        <w:r>
          <w:fldChar w:fldCharType="separate"/>
        </w:r>
        <w:r w:rsidR="00E43671">
          <w:rPr>
            <w:noProof/>
          </w:rPr>
          <w:t>10</w:t>
        </w:r>
        <w:r>
          <w:fldChar w:fldCharType="end"/>
        </w:r>
      </w:p>
    </w:sdtContent>
  </w:sdt>
  <w:p w:rsidR="00FF5F52" w:rsidRDefault="00A74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CF" w:rsidRDefault="00A740CF" w:rsidP="000A6D83">
      <w:pPr>
        <w:spacing w:after="0" w:line="240" w:lineRule="auto"/>
      </w:pPr>
      <w:r>
        <w:separator/>
      </w:r>
    </w:p>
  </w:footnote>
  <w:footnote w:type="continuationSeparator" w:id="0">
    <w:p w:rsidR="00A740CF" w:rsidRDefault="00A740CF" w:rsidP="000A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28"/>
    <w:rsid w:val="000A4828"/>
    <w:rsid w:val="000A6D83"/>
    <w:rsid w:val="00A740CF"/>
    <w:rsid w:val="00E30868"/>
    <w:rsid w:val="00E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828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2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A48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82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7.5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-5</c:v>
                </c:pt>
              </c:numCache>
            </c:numRef>
          </c:val>
        </c:ser>
        <c:dLbls>
          <c:showVal val="1"/>
        </c:dLbls>
        <c:overlap val="-25"/>
        <c:axId val="58794368"/>
        <c:axId val="58795904"/>
      </c:barChart>
      <c:catAx>
        <c:axId val="5879436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58795904"/>
        <c:crosses val="autoZero"/>
        <c:auto val="1"/>
        <c:lblAlgn val="ctr"/>
        <c:lblOffset val="100"/>
      </c:catAx>
      <c:valAx>
        <c:axId val="5879590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587943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2481</Words>
  <Characters>14888</Characters>
  <Application>Microsoft Office Word</Application>
  <DocSecurity>0</DocSecurity>
  <Lines>124</Lines>
  <Paragraphs>34</Paragraphs>
  <ScaleCrop>false</ScaleCrop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2015-03-22T07:04:00Z</dcterms:created>
  <dcterms:modified xsi:type="dcterms:W3CDTF">2015-03-22T07:09:00Z</dcterms:modified>
</cp:coreProperties>
</file>