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>
      <v:fill r:id="rId3" o:title="5%" type="pattern"/>
    </v:background>
  </w:background>
  <w:body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  <w:r w:rsidRPr="00E17C07">
        <w:rPr>
          <w:imprint/>
          <w:color w:val="FF0000"/>
          <w:sz w:val="100"/>
          <w:szCs w:val="100"/>
        </w:rPr>
        <w:t xml:space="preserve">Co to znaczy </w:t>
      </w: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  <w:r>
        <w:rPr>
          <w:imprint/>
          <w:color w:val="FF0000"/>
          <w:sz w:val="100"/>
          <w:szCs w:val="100"/>
        </w:rPr>
        <w:t xml:space="preserve">właściwie </w:t>
      </w: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  <w:r>
        <w:rPr>
          <w:imprint/>
          <w:color w:val="FF0000"/>
          <w:sz w:val="100"/>
          <w:szCs w:val="100"/>
        </w:rPr>
        <w:t xml:space="preserve">znaczy, że </w:t>
      </w: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  <w:r w:rsidRPr="00E17C07">
        <w:rPr>
          <w:imprint/>
          <w:color w:val="FF0000"/>
          <w:sz w:val="100"/>
          <w:szCs w:val="100"/>
        </w:rPr>
        <w:t xml:space="preserve">spółka </w:t>
      </w:r>
      <w:r>
        <w:rPr>
          <w:imprint/>
          <w:color w:val="FF0000"/>
          <w:sz w:val="100"/>
          <w:szCs w:val="100"/>
        </w:rPr>
        <w:t xml:space="preserve">jest </w:t>
      </w: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  <w:r>
        <w:rPr>
          <w:imprint/>
          <w:color w:val="FF0000"/>
          <w:sz w:val="100"/>
          <w:szCs w:val="100"/>
        </w:rPr>
        <w:t>,,</w:t>
      </w:r>
      <w:r w:rsidRPr="00E17C07">
        <w:rPr>
          <w:imprint/>
          <w:color w:val="FF0000"/>
          <w:sz w:val="100"/>
          <w:szCs w:val="100"/>
        </w:rPr>
        <w:t xml:space="preserve">atrakcyjna </w:t>
      </w:r>
    </w:p>
    <w:p w:rsidR="001B235D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</w:p>
    <w:p w:rsidR="001B235D" w:rsidRPr="00E17C07" w:rsidRDefault="001B235D" w:rsidP="001B235D">
      <w:pPr>
        <w:pStyle w:val="Bezodstpw"/>
        <w:jc w:val="center"/>
        <w:rPr>
          <w:imprint/>
          <w:color w:val="FF0000"/>
          <w:sz w:val="100"/>
          <w:szCs w:val="100"/>
        </w:rPr>
      </w:pPr>
      <w:r w:rsidRPr="00E17C07">
        <w:rPr>
          <w:imprint/>
          <w:color w:val="FF0000"/>
          <w:sz w:val="100"/>
          <w:szCs w:val="100"/>
        </w:rPr>
        <w:t>fundamentalnie” ?</w:t>
      </w:r>
    </w:p>
    <w:p w:rsidR="001B235D" w:rsidRDefault="001B235D" w:rsidP="001B235D">
      <w:pPr>
        <w:pStyle w:val="Bezodstpw"/>
        <w:jc w:val="both"/>
        <w:rPr>
          <w:imprint/>
          <w:color w:val="FF0000"/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D62166">
        <w:rPr>
          <w:color w:val="000000" w:themeColor="text1"/>
          <w:sz w:val="36"/>
          <w:szCs w:val="36"/>
        </w:rPr>
        <w:lastRenderedPageBreak/>
        <w:t>Wyrażam przekonanie, że</w:t>
      </w:r>
      <w:r>
        <w:rPr>
          <w:imprint/>
          <w:color w:val="FF0000"/>
          <w:sz w:val="36"/>
          <w:szCs w:val="36"/>
        </w:rPr>
        <w:t xml:space="preserve"> </w:t>
      </w:r>
      <w:r w:rsidR="00A34D5E" w:rsidRPr="00A34D5E">
        <w:rPr>
          <w:b/>
          <w:color w:val="000000" w:themeColor="text1"/>
          <w:sz w:val="36"/>
          <w:szCs w:val="36"/>
          <w:u w:val="single"/>
        </w:rPr>
        <w:t>z punktu widzenia inwestora giełdowego</w:t>
      </w:r>
      <w:r w:rsidR="00A34D5E">
        <w:rPr>
          <w:imprint/>
          <w:color w:val="FF0000"/>
          <w:sz w:val="36"/>
          <w:szCs w:val="36"/>
        </w:rPr>
        <w:t xml:space="preserve"> </w:t>
      </w:r>
      <w:r w:rsidRPr="00E17C07">
        <w:rPr>
          <w:imprint/>
          <w:color w:val="FF0000"/>
          <w:sz w:val="36"/>
          <w:szCs w:val="36"/>
        </w:rPr>
        <w:t>,,</w:t>
      </w:r>
      <w:r>
        <w:rPr>
          <w:imprint/>
          <w:color w:val="FF0000"/>
          <w:sz w:val="36"/>
          <w:szCs w:val="36"/>
        </w:rPr>
        <w:t>s</w:t>
      </w:r>
      <w:r w:rsidRPr="00E17C07">
        <w:rPr>
          <w:imprint/>
          <w:color w:val="FF0000"/>
          <w:sz w:val="36"/>
          <w:szCs w:val="36"/>
        </w:rPr>
        <w:t>półka atrakcyjna fundamentalnie”</w:t>
      </w:r>
      <w:r w:rsidRPr="00E17C07">
        <w:rPr>
          <w:sz w:val="36"/>
          <w:szCs w:val="36"/>
        </w:rPr>
        <w:t xml:space="preserve"> to spółka charakteryzująca się </w:t>
      </w:r>
      <w:r w:rsidRPr="0094449F">
        <w:rPr>
          <w:b/>
          <w:sz w:val="36"/>
          <w:szCs w:val="36"/>
          <w:u w:val="single"/>
        </w:rPr>
        <w:t xml:space="preserve">obecnie </w:t>
      </w:r>
      <w:r w:rsidRPr="00E17C07">
        <w:rPr>
          <w:sz w:val="36"/>
          <w:szCs w:val="36"/>
        </w:rPr>
        <w:t xml:space="preserve">takimi wskaźnikami fundamentalnych, których poziom sprzyja wysokiej stopie zwrotu z akcji tej spółki </w:t>
      </w:r>
      <w:r w:rsidRPr="0094449F">
        <w:rPr>
          <w:b/>
          <w:sz w:val="36"/>
          <w:szCs w:val="36"/>
          <w:u w:val="single"/>
        </w:rPr>
        <w:t>w przyszłości</w:t>
      </w:r>
      <w:r w:rsidRPr="00E17C07">
        <w:rPr>
          <w:sz w:val="36"/>
          <w:szCs w:val="36"/>
        </w:rPr>
        <w:t xml:space="preserve">.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>Dla pewnego uproszczenie i zarazem uszczegółowienia przyjmę, ze ,,spółka atrakcyjna fundamentalnie” w roku T to spółka charakteryzująca si</w:t>
      </w:r>
      <w:r w:rsidR="00114316">
        <w:rPr>
          <w:sz w:val="36"/>
          <w:szCs w:val="36"/>
        </w:rPr>
        <w:t xml:space="preserve">ę takim wskaźnikami </w:t>
      </w:r>
      <w:r w:rsidRPr="00E17C07">
        <w:rPr>
          <w:sz w:val="36"/>
          <w:szCs w:val="36"/>
        </w:rPr>
        <w:t>fundamentalnych w roku T, których poziom sprzyja wysokiej stopie zwrotu z akcji tej spółki w  roku T+1.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Na </w:t>
      </w:r>
      <w:r>
        <w:rPr>
          <w:sz w:val="36"/>
          <w:szCs w:val="36"/>
        </w:rPr>
        <w:t>s</w:t>
      </w:r>
      <w:r w:rsidRPr="00E17C07">
        <w:rPr>
          <w:sz w:val="36"/>
          <w:szCs w:val="36"/>
        </w:rPr>
        <w:t>tron</w:t>
      </w:r>
      <w:r>
        <w:rPr>
          <w:sz w:val="36"/>
          <w:szCs w:val="36"/>
        </w:rPr>
        <w:t xml:space="preserve">ie internetowej </w:t>
      </w:r>
      <w:hyperlink r:id="rId8" w:history="1">
        <w:r w:rsidRPr="00322E8D">
          <w:rPr>
            <w:rStyle w:val="Hipercze"/>
            <w:sz w:val="36"/>
            <w:szCs w:val="36"/>
          </w:rPr>
          <w:t>http://www.rsg.pl/</w:t>
        </w:r>
      </w:hyperlink>
      <w:r>
        <w:rPr>
          <w:sz w:val="36"/>
          <w:szCs w:val="36"/>
        </w:rPr>
        <w:t xml:space="preserve"> </w:t>
      </w:r>
      <w:r w:rsidRPr="00E17C07">
        <w:rPr>
          <w:sz w:val="36"/>
          <w:szCs w:val="36"/>
        </w:rPr>
        <w:t xml:space="preserve">znalazłem dane o poziomie </w:t>
      </w:r>
      <w:r w:rsidR="00114316">
        <w:rPr>
          <w:sz w:val="36"/>
          <w:szCs w:val="36"/>
        </w:rPr>
        <w:t xml:space="preserve">wielu </w:t>
      </w:r>
      <w:r w:rsidRPr="00E17C07">
        <w:rPr>
          <w:sz w:val="36"/>
          <w:szCs w:val="36"/>
        </w:rPr>
        <w:t xml:space="preserve">wskaźników finansowych charakteryzujących działalność wielu różnych spółek giełdowych w latach 2008-2012.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Z grupy wyżej wymienionych spółek wyodrębniłem </w:t>
      </w:r>
      <w:r w:rsidR="00184F30">
        <w:rPr>
          <w:sz w:val="36"/>
          <w:szCs w:val="36"/>
        </w:rPr>
        <w:t>pod</w:t>
      </w:r>
      <w:r w:rsidRPr="00E17C07">
        <w:rPr>
          <w:sz w:val="36"/>
          <w:szCs w:val="36"/>
        </w:rPr>
        <w:t xml:space="preserve">grupę spółek  niefinansowych.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Następnie z </w:t>
      </w:r>
      <w:r w:rsidR="00184F30">
        <w:rPr>
          <w:sz w:val="36"/>
          <w:szCs w:val="36"/>
        </w:rPr>
        <w:t>tej pod</w:t>
      </w:r>
      <w:r w:rsidRPr="00E17C07">
        <w:rPr>
          <w:sz w:val="36"/>
          <w:szCs w:val="36"/>
        </w:rPr>
        <w:t xml:space="preserve">grupy </w:t>
      </w:r>
      <w:r w:rsidRPr="00E17C07">
        <w:rPr>
          <w:b/>
          <w:sz w:val="36"/>
          <w:szCs w:val="36"/>
        </w:rPr>
        <w:t xml:space="preserve">wylosowałem </w:t>
      </w:r>
      <w:r w:rsidRPr="00E17C07">
        <w:rPr>
          <w:sz w:val="36"/>
          <w:szCs w:val="36"/>
        </w:rPr>
        <w:t xml:space="preserve">10 spółek.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Dla każdej z tych </w:t>
      </w:r>
      <w:r>
        <w:rPr>
          <w:sz w:val="36"/>
          <w:szCs w:val="36"/>
        </w:rPr>
        <w:t xml:space="preserve">10 </w:t>
      </w:r>
      <w:r w:rsidRPr="00E17C07">
        <w:rPr>
          <w:sz w:val="36"/>
          <w:szCs w:val="36"/>
        </w:rPr>
        <w:t xml:space="preserve">spółek można było uzyskać informację o np. poziomie </w:t>
      </w:r>
      <w:r w:rsidRPr="00E17C07">
        <w:rPr>
          <w:b/>
          <w:sz w:val="36"/>
          <w:szCs w:val="36"/>
        </w:rPr>
        <w:t>płynności bieżącej</w:t>
      </w:r>
      <w:r w:rsidRPr="00E17C07">
        <w:rPr>
          <w:sz w:val="36"/>
          <w:szCs w:val="36"/>
        </w:rPr>
        <w:t xml:space="preserve"> oraz o poziomie </w:t>
      </w:r>
      <w:r w:rsidRPr="00D62166">
        <w:rPr>
          <w:b/>
          <w:color w:val="FF0000"/>
          <w:sz w:val="36"/>
          <w:szCs w:val="36"/>
        </w:rPr>
        <w:t>wskaźnika rentowność/płynność (którego poziom był wynikiem dzielenia rentowności bieżącej w % przez płynność bieżącą w krotnościach)</w:t>
      </w:r>
      <w:r w:rsidRPr="00E17C07">
        <w:rPr>
          <w:sz w:val="36"/>
          <w:szCs w:val="36"/>
        </w:rPr>
        <w:t xml:space="preserve"> dla każdego roku z okresu 2008-2012.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Dla każdej z tych wylosowanych 10 spółek można było też </w:t>
      </w:r>
      <w:r>
        <w:rPr>
          <w:sz w:val="36"/>
          <w:szCs w:val="36"/>
        </w:rPr>
        <w:t xml:space="preserve">ze strony internetowej </w:t>
      </w:r>
      <w:hyperlink r:id="rId9" w:history="1">
        <w:r w:rsidRPr="00322E8D">
          <w:rPr>
            <w:rStyle w:val="Hipercze"/>
            <w:sz w:val="36"/>
            <w:szCs w:val="36"/>
          </w:rPr>
          <w:t>http://stooq.pl/</w:t>
        </w:r>
      </w:hyperlink>
      <w:r>
        <w:rPr>
          <w:sz w:val="36"/>
          <w:szCs w:val="36"/>
        </w:rPr>
        <w:t xml:space="preserve"> </w:t>
      </w:r>
      <w:r w:rsidRPr="00E17C07">
        <w:rPr>
          <w:sz w:val="36"/>
          <w:szCs w:val="36"/>
        </w:rPr>
        <w:t xml:space="preserve">pozyskać wiedzę o poziomie wskaźnika C/WK dla lat 2008-20112.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lastRenderedPageBreak/>
        <w:t xml:space="preserve">Następnie dla każdej z 10 </w:t>
      </w:r>
      <w:r>
        <w:rPr>
          <w:sz w:val="36"/>
          <w:szCs w:val="36"/>
        </w:rPr>
        <w:t xml:space="preserve">wylosowanych </w:t>
      </w:r>
      <w:r w:rsidRPr="00E17C07">
        <w:rPr>
          <w:sz w:val="36"/>
          <w:szCs w:val="36"/>
        </w:rPr>
        <w:t>spółek policzyłem po 5 rocznych stóp zwrotu: dla każdego roku z okresu lat 2009-2013.</w:t>
      </w:r>
      <w:r w:rsidR="00A34D5E">
        <w:rPr>
          <w:sz w:val="36"/>
          <w:szCs w:val="36"/>
        </w:rPr>
        <w:t xml:space="preserve"> </w:t>
      </w:r>
      <w:r w:rsidRPr="00E17C07">
        <w:rPr>
          <w:sz w:val="36"/>
          <w:szCs w:val="36"/>
        </w:rPr>
        <w:t>Potem wyliczyłem, że średnia z tych 50 stóp zwrotu wynosiła 38,5 %.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Zauważyłem, że jeżeli akcje spółki w roku T charakteryzowały się poziomem wskaźnika C/WK niższym od 1,0 to w roku T+1 średnia procentowa zmiana kursu akcji tej spółki wynosiła nie owo typowe, przeciętne </w:t>
      </w:r>
      <w:r w:rsidRPr="0094449F">
        <w:rPr>
          <w:sz w:val="36"/>
          <w:szCs w:val="36"/>
        </w:rPr>
        <w:t>38,5 %,</w:t>
      </w:r>
      <w:r w:rsidRPr="00E17C07">
        <w:rPr>
          <w:sz w:val="36"/>
          <w:szCs w:val="36"/>
        </w:rPr>
        <w:t xml:space="preserve"> lecz </w:t>
      </w:r>
      <w:r w:rsidRPr="00E17C07">
        <w:rPr>
          <w:b/>
          <w:sz w:val="36"/>
          <w:szCs w:val="36"/>
        </w:rPr>
        <w:t>61,3 %.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Z kolei </w:t>
      </w:r>
      <w:r w:rsidRPr="00E17C07">
        <w:rPr>
          <w:b/>
          <w:sz w:val="36"/>
          <w:szCs w:val="36"/>
        </w:rPr>
        <w:t>jeżeli</w:t>
      </w:r>
      <w:r w:rsidRPr="00E17C07">
        <w:rPr>
          <w:sz w:val="36"/>
          <w:szCs w:val="36"/>
        </w:rPr>
        <w:t xml:space="preserve"> w danym roku </w:t>
      </w:r>
      <w:r>
        <w:rPr>
          <w:sz w:val="36"/>
          <w:szCs w:val="36"/>
        </w:rPr>
        <w:t xml:space="preserve">T </w:t>
      </w:r>
      <w:r w:rsidRPr="00E17C07">
        <w:rPr>
          <w:sz w:val="36"/>
          <w:szCs w:val="36"/>
        </w:rPr>
        <w:t xml:space="preserve">akcje spółki charakteryzowały się poziomem wskaźnika </w:t>
      </w:r>
      <w:r w:rsidRPr="00D62166">
        <w:rPr>
          <w:b/>
          <w:color w:val="FF0000"/>
          <w:sz w:val="36"/>
          <w:szCs w:val="36"/>
        </w:rPr>
        <w:t>C/WK niższym od 1,0</w:t>
      </w:r>
      <w:r w:rsidRPr="00E17C07">
        <w:rPr>
          <w:sz w:val="36"/>
          <w:szCs w:val="36"/>
        </w:rPr>
        <w:t xml:space="preserve">  </w:t>
      </w:r>
      <w:r w:rsidRPr="00E17C07">
        <w:rPr>
          <w:b/>
          <w:sz w:val="36"/>
          <w:szCs w:val="36"/>
        </w:rPr>
        <w:t>a jednocześnie</w:t>
      </w:r>
      <w:r w:rsidRPr="00E17C0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(!) </w:t>
      </w:r>
      <w:r w:rsidRPr="00E17C07">
        <w:rPr>
          <w:sz w:val="36"/>
          <w:szCs w:val="36"/>
        </w:rPr>
        <w:t xml:space="preserve">w tym samym rok T </w:t>
      </w:r>
      <w:r w:rsidRPr="00D62166">
        <w:rPr>
          <w:b/>
          <w:color w:val="FF0000"/>
          <w:sz w:val="36"/>
          <w:szCs w:val="36"/>
        </w:rPr>
        <w:t>płynność bieżąca</w:t>
      </w:r>
      <w:r w:rsidRPr="00D62166">
        <w:rPr>
          <w:color w:val="FF0000"/>
          <w:sz w:val="36"/>
          <w:szCs w:val="36"/>
        </w:rPr>
        <w:t xml:space="preserve"> </w:t>
      </w:r>
      <w:r w:rsidRPr="00D62166">
        <w:rPr>
          <w:b/>
          <w:color w:val="FF0000"/>
          <w:sz w:val="36"/>
          <w:szCs w:val="36"/>
        </w:rPr>
        <w:t>w spółce była</w:t>
      </w:r>
      <w:r w:rsidRPr="00D62166">
        <w:rPr>
          <w:color w:val="FF0000"/>
          <w:sz w:val="36"/>
          <w:szCs w:val="36"/>
        </w:rPr>
        <w:t xml:space="preserve"> </w:t>
      </w:r>
      <w:r w:rsidRPr="00D62166">
        <w:rPr>
          <w:b/>
          <w:color w:val="FF0000"/>
          <w:sz w:val="36"/>
          <w:szCs w:val="36"/>
        </w:rPr>
        <w:t>wyższa od 1,5</w:t>
      </w:r>
      <w:r w:rsidRPr="00E17C07">
        <w:rPr>
          <w:b/>
          <w:sz w:val="36"/>
          <w:szCs w:val="36"/>
        </w:rPr>
        <w:t xml:space="preserve"> i (jednocześnie) </w:t>
      </w:r>
      <w:r w:rsidRPr="00D62166">
        <w:rPr>
          <w:b/>
          <w:color w:val="FF0000"/>
          <w:sz w:val="36"/>
          <w:szCs w:val="36"/>
        </w:rPr>
        <w:t>poziom wskaźnika rentowność/płynność był niższy od 3,0</w:t>
      </w:r>
      <w:r w:rsidRPr="00E17C07">
        <w:rPr>
          <w:sz w:val="36"/>
          <w:szCs w:val="36"/>
        </w:rPr>
        <w:t xml:space="preserve"> to w roku T+1 średnia procentowa zmiana kursu akcji tej spółki wynosiła średnio aż </w:t>
      </w:r>
      <w:r w:rsidRPr="00E17C07">
        <w:rPr>
          <w:b/>
          <w:sz w:val="36"/>
          <w:szCs w:val="36"/>
        </w:rPr>
        <w:t>86,1 %.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Po przeprowadzeniu tych postanowiłem odpowiedzieć na pytanie: czy wśród spółek z poza sektora niefinansowego zakwalifikowanych do rubryki ,,Wykres do przemyślenia” znajdują się spółki spełniające jednocześnie 3 kryteria: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>C/WK niższy od 1,0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>Płynność bieżąca wyższa od 1,5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Rentowność/Płynność (czyli rentowność sprzedaży w %/płynność bieżąca w krotnościach) niższa od 3,0 </w:t>
      </w:r>
    </w:p>
    <w:p w:rsidR="00A34D5E" w:rsidRPr="00E17C07" w:rsidRDefault="00A34D5E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lastRenderedPageBreak/>
        <w:t xml:space="preserve">Idąc tym tropem rozumowania można założyć, że </w:t>
      </w:r>
      <w:r w:rsidRPr="00E17C07">
        <w:rPr>
          <w:b/>
          <w:color w:val="FF0000"/>
          <w:sz w:val="36"/>
          <w:szCs w:val="36"/>
        </w:rPr>
        <w:t>,,spółką atrakcyjną fundamentalną”</w:t>
      </w:r>
      <w:r w:rsidRPr="00E17C07">
        <w:rPr>
          <w:sz w:val="36"/>
          <w:szCs w:val="36"/>
        </w:rPr>
        <w:t xml:space="preserve"> jest ta, której </w:t>
      </w:r>
      <w:r w:rsidRPr="00D62166">
        <w:rPr>
          <w:b/>
          <w:color w:val="FF0000"/>
          <w:sz w:val="36"/>
          <w:szCs w:val="36"/>
        </w:rPr>
        <w:t xml:space="preserve">akcje są tanio wycenione </w:t>
      </w:r>
      <w:r w:rsidRPr="00E17C07">
        <w:rPr>
          <w:sz w:val="36"/>
          <w:szCs w:val="36"/>
        </w:rPr>
        <w:t xml:space="preserve">w stosunku do wartości księgowej, która charakteryzuje się </w:t>
      </w:r>
      <w:r w:rsidRPr="0094449F">
        <w:rPr>
          <w:b/>
          <w:color w:val="FF0000"/>
          <w:sz w:val="36"/>
          <w:szCs w:val="36"/>
        </w:rPr>
        <w:t xml:space="preserve">relatywnie </w:t>
      </w:r>
      <w:r w:rsidRPr="00D62166">
        <w:rPr>
          <w:b/>
          <w:color w:val="FF0000"/>
          <w:sz w:val="36"/>
          <w:szCs w:val="36"/>
        </w:rPr>
        <w:t>wysoką zdolnością do regulowania swych zobowiązań</w:t>
      </w:r>
      <w:r w:rsidRPr="00E17C07">
        <w:rPr>
          <w:sz w:val="36"/>
          <w:szCs w:val="36"/>
        </w:rPr>
        <w:t xml:space="preserve"> wobec dostawców oraz banków (o czym świadczy wysoki wskaźnik płynności bieżącej a poza tym charakteryzuje się </w:t>
      </w:r>
      <w:r w:rsidRPr="00D62166">
        <w:rPr>
          <w:b/>
          <w:color w:val="FF0000"/>
          <w:sz w:val="36"/>
          <w:szCs w:val="36"/>
        </w:rPr>
        <w:t>stosunkowo niską rentownością</w:t>
      </w:r>
      <w:r w:rsidRPr="00E17C07">
        <w:rPr>
          <w:sz w:val="36"/>
          <w:szCs w:val="36"/>
        </w:rPr>
        <w:t xml:space="preserve"> (</w:t>
      </w:r>
      <w:r w:rsidRPr="00E17C07">
        <w:rPr>
          <w:b/>
          <w:sz w:val="36"/>
          <w:szCs w:val="36"/>
          <w:u w:val="single"/>
        </w:rPr>
        <w:t>można bowiem założyć, że skoro rentowność jest obecnie relatywnie niska to w przyszłości wzrośnie</w:t>
      </w:r>
      <w:r w:rsidRPr="00E17C07">
        <w:rPr>
          <w:sz w:val="36"/>
          <w:szCs w:val="36"/>
        </w:rPr>
        <w:t>, a kurs akcji będzie rósł dyskontując</w:t>
      </w:r>
      <w:r w:rsidR="00114316">
        <w:rPr>
          <w:sz w:val="36"/>
          <w:szCs w:val="36"/>
        </w:rPr>
        <w:t xml:space="preserve"> ów przyszły wzrost rentowności;</w:t>
      </w:r>
      <w:r w:rsidRPr="00E17C07">
        <w:rPr>
          <w:sz w:val="36"/>
          <w:szCs w:val="36"/>
        </w:rPr>
        <w:t xml:space="preserve"> kursy akcji dyskontują bowiem przyszłość)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A04A4C" w:rsidRPr="00A04A4C" w:rsidRDefault="001B235D" w:rsidP="001B235D">
      <w:pPr>
        <w:pStyle w:val="Bezodstpw"/>
        <w:jc w:val="both"/>
        <w:rPr>
          <w:sz w:val="26"/>
          <w:szCs w:val="26"/>
        </w:rPr>
      </w:pPr>
      <w:r w:rsidRPr="00A04A4C">
        <w:rPr>
          <w:sz w:val="26"/>
          <w:szCs w:val="26"/>
        </w:rPr>
        <w:t>Na początku wyodrębniłem grupę tych spółek niefinansowych</w:t>
      </w:r>
      <w:r w:rsidR="00A04A4C" w:rsidRPr="00A04A4C">
        <w:rPr>
          <w:sz w:val="26"/>
          <w:szCs w:val="26"/>
        </w:rPr>
        <w:t xml:space="preserve"> z rubryki ,,Wykres do przemyślenia”</w:t>
      </w:r>
      <w:r w:rsidRPr="00A04A4C">
        <w:rPr>
          <w:sz w:val="26"/>
          <w:szCs w:val="26"/>
        </w:rPr>
        <w:t>, które charakteryzują się poziomem wskaźnika C/WK niższym od 1,0.</w:t>
      </w:r>
      <w:r w:rsidR="00A04A4C" w:rsidRPr="00A04A4C">
        <w:rPr>
          <w:sz w:val="26"/>
          <w:szCs w:val="26"/>
        </w:rPr>
        <w:t xml:space="preserve"> </w:t>
      </w:r>
    </w:p>
    <w:p w:rsidR="00A04A4C" w:rsidRPr="00A04A4C" w:rsidRDefault="00A04A4C" w:rsidP="001B235D">
      <w:pPr>
        <w:pStyle w:val="Bezodstpw"/>
        <w:jc w:val="both"/>
        <w:rPr>
          <w:sz w:val="26"/>
          <w:szCs w:val="26"/>
        </w:rPr>
      </w:pPr>
    </w:p>
    <w:p w:rsidR="00184F30" w:rsidRPr="00A04A4C" w:rsidRDefault="001B235D" w:rsidP="001B235D">
      <w:pPr>
        <w:pStyle w:val="Bezodstpw"/>
        <w:jc w:val="both"/>
        <w:rPr>
          <w:sz w:val="26"/>
          <w:szCs w:val="26"/>
        </w:rPr>
      </w:pPr>
      <w:r w:rsidRPr="00A04A4C">
        <w:rPr>
          <w:sz w:val="26"/>
          <w:szCs w:val="26"/>
        </w:rPr>
        <w:t xml:space="preserve">Później dla każdej </w:t>
      </w:r>
      <w:r w:rsidR="00A04A4C" w:rsidRPr="00A04A4C">
        <w:rPr>
          <w:sz w:val="26"/>
          <w:szCs w:val="26"/>
        </w:rPr>
        <w:t xml:space="preserve">takiej </w:t>
      </w:r>
      <w:r w:rsidRPr="00A04A4C">
        <w:rPr>
          <w:sz w:val="26"/>
          <w:szCs w:val="26"/>
        </w:rPr>
        <w:t>spółki obliczyłem poziom wskaźnika płynności bieżącej na koniec III kwartału 2014 roku oraz poziom wskaźnika rentowność/płynność (płynność bieżąca na koniec III kwartału 2014 roku/rentowność sprzedaży w okresie od początku stycznia do końca września 2014).</w:t>
      </w:r>
    </w:p>
    <w:p w:rsidR="00184F30" w:rsidRPr="00A04A4C" w:rsidRDefault="00184F30" w:rsidP="001B235D">
      <w:pPr>
        <w:pStyle w:val="Bezodstpw"/>
        <w:jc w:val="both"/>
        <w:rPr>
          <w:sz w:val="26"/>
          <w:szCs w:val="26"/>
        </w:rPr>
      </w:pPr>
    </w:p>
    <w:p w:rsidR="001B235D" w:rsidRPr="00A04A4C" w:rsidRDefault="00184F30" w:rsidP="001B235D">
      <w:pPr>
        <w:pStyle w:val="Bezodstpw"/>
        <w:jc w:val="both"/>
        <w:rPr>
          <w:i/>
          <w:sz w:val="26"/>
          <w:szCs w:val="26"/>
        </w:rPr>
      </w:pPr>
      <w:r w:rsidRPr="00A04A4C">
        <w:rPr>
          <w:i/>
          <w:sz w:val="26"/>
          <w:szCs w:val="26"/>
        </w:rPr>
        <w:t xml:space="preserve">Jedynie dla </w:t>
      </w:r>
      <w:proofErr w:type="spellStart"/>
      <w:r w:rsidRPr="00A04A4C">
        <w:rPr>
          <w:i/>
          <w:sz w:val="26"/>
          <w:szCs w:val="26"/>
        </w:rPr>
        <w:t>Sygnity</w:t>
      </w:r>
      <w:proofErr w:type="spellEnd"/>
      <w:r w:rsidRPr="00A04A4C">
        <w:rPr>
          <w:i/>
          <w:sz w:val="26"/>
          <w:szCs w:val="26"/>
        </w:rPr>
        <w:t xml:space="preserve"> policzyłem dane za cały rok 2014 rok oraz za koniec IV kwartału 2014 roku, gdyż ta spółka zaprezentowała już dane za IV kwartał. </w:t>
      </w: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</w:p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t xml:space="preserve">Wyniki obliczeń przedstawiłem w tabeli: </w:t>
      </w:r>
    </w:p>
    <w:p w:rsidR="001B235D" w:rsidRDefault="001B235D" w:rsidP="001B235D">
      <w:pPr>
        <w:pStyle w:val="Bezodstpw"/>
        <w:jc w:val="both"/>
      </w:pPr>
    </w:p>
    <w:p w:rsidR="001B235D" w:rsidRDefault="001B235D" w:rsidP="001B235D">
      <w:pPr>
        <w:pStyle w:val="Bezodstpw"/>
        <w:ind w:left="720"/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2097"/>
        <w:gridCol w:w="2070"/>
        <w:gridCol w:w="2111"/>
        <w:gridCol w:w="2288"/>
      </w:tblGrid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r>
              <w:t>Spółka</w:t>
            </w:r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C/WK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Płynność bieżąca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>Rentowność/Płynność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r>
              <w:t>Muza</w:t>
            </w:r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0,35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1,89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>-0,07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proofErr w:type="spellStart"/>
            <w:r>
              <w:t>Tauron</w:t>
            </w:r>
            <w:proofErr w:type="spellEnd"/>
            <w:r>
              <w:t xml:space="preserve"> PE</w:t>
            </w:r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0,47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1,00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9,61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proofErr w:type="spellStart"/>
            <w:r>
              <w:t>Tesgas</w:t>
            </w:r>
            <w:proofErr w:type="spellEnd"/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0,59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3,08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>-0,47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r>
              <w:t>Enea</w:t>
            </w:r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0,60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2,11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5,38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proofErr w:type="spellStart"/>
            <w:r>
              <w:t>Sygnity</w:t>
            </w:r>
            <w:proofErr w:type="spellEnd"/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0,68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1,30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2,20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r>
              <w:t>Lubawa</w:t>
            </w:r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0,70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1,43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4,85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proofErr w:type="spellStart"/>
            <w:r>
              <w:t>Procad</w:t>
            </w:r>
            <w:proofErr w:type="spellEnd"/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0,71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2,23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0,73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r>
              <w:t>Relpol</w:t>
            </w:r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0,82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3,00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1,96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proofErr w:type="spellStart"/>
            <w:r>
              <w:t>Asseco</w:t>
            </w:r>
            <w:proofErr w:type="spellEnd"/>
            <w:r>
              <w:t xml:space="preserve"> Poland</w:t>
            </w:r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0,86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2,16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4,06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proofErr w:type="spellStart"/>
            <w:r>
              <w:t>Netmedia</w:t>
            </w:r>
            <w:proofErr w:type="spellEnd"/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0,91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1,71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2,67</w:t>
            </w:r>
          </w:p>
        </w:tc>
      </w:tr>
      <w:tr w:rsidR="001B235D" w:rsidTr="00DD03A4">
        <w:tc>
          <w:tcPr>
            <w:tcW w:w="2097" w:type="dxa"/>
          </w:tcPr>
          <w:p w:rsidR="001B235D" w:rsidRDefault="001B235D" w:rsidP="00DD03A4">
            <w:pPr>
              <w:pStyle w:val="Bezodstpw"/>
              <w:jc w:val="center"/>
            </w:pPr>
            <w:proofErr w:type="spellStart"/>
            <w:r>
              <w:t>Atrem</w:t>
            </w:r>
            <w:proofErr w:type="spellEnd"/>
          </w:p>
        </w:tc>
        <w:tc>
          <w:tcPr>
            <w:tcW w:w="2071" w:type="dxa"/>
          </w:tcPr>
          <w:p w:rsidR="001B235D" w:rsidRDefault="001B235D" w:rsidP="00DD03A4">
            <w:pPr>
              <w:pStyle w:val="Bezodstpw"/>
              <w:jc w:val="center"/>
            </w:pPr>
            <w:r>
              <w:t>0,74</w:t>
            </w:r>
          </w:p>
        </w:tc>
        <w:tc>
          <w:tcPr>
            <w:tcW w:w="2112" w:type="dxa"/>
          </w:tcPr>
          <w:p w:rsidR="001B235D" w:rsidRDefault="001B235D" w:rsidP="00DD03A4">
            <w:pPr>
              <w:pStyle w:val="Bezodstpw"/>
              <w:jc w:val="center"/>
            </w:pPr>
            <w:r>
              <w:t>2,06</w:t>
            </w:r>
          </w:p>
        </w:tc>
        <w:tc>
          <w:tcPr>
            <w:tcW w:w="2288" w:type="dxa"/>
          </w:tcPr>
          <w:p w:rsidR="001B235D" w:rsidRDefault="001B235D" w:rsidP="00DD03A4">
            <w:pPr>
              <w:pStyle w:val="Bezodstpw"/>
              <w:jc w:val="center"/>
            </w:pPr>
            <w:r>
              <w:t xml:space="preserve">  1,11</w:t>
            </w:r>
          </w:p>
        </w:tc>
      </w:tr>
    </w:tbl>
    <w:p w:rsidR="001B235D" w:rsidRPr="00E17C07" w:rsidRDefault="001B235D" w:rsidP="001B235D">
      <w:pPr>
        <w:pStyle w:val="Bezodstpw"/>
        <w:jc w:val="both"/>
        <w:rPr>
          <w:sz w:val="36"/>
          <w:szCs w:val="36"/>
        </w:rPr>
      </w:pPr>
      <w:r w:rsidRPr="00E17C07">
        <w:rPr>
          <w:sz w:val="36"/>
          <w:szCs w:val="36"/>
        </w:rPr>
        <w:lastRenderedPageBreak/>
        <w:t xml:space="preserve">Z powyższej tabeli wynika, że za </w:t>
      </w:r>
      <w:r w:rsidR="007D44D4">
        <w:rPr>
          <w:sz w:val="36"/>
          <w:szCs w:val="36"/>
        </w:rPr>
        <w:t>,,</w:t>
      </w:r>
      <w:r w:rsidRPr="0094449F">
        <w:rPr>
          <w:b/>
          <w:emboss/>
          <w:color w:val="FF0000"/>
          <w:sz w:val="36"/>
          <w:szCs w:val="36"/>
        </w:rPr>
        <w:t>spółki atrakcyjne fundamentalne</w:t>
      </w:r>
      <w:r w:rsidR="007D44D4">
        <w:rPr>
          <w:b/>
          <w:emboss/>
          <w:color w:val="FF0000"/>
          <w:sz w:val="36"/>
          <w:szCs w:val="36"/>
        </w:rPr>
        <w:t>”</w:t>
      </w:r>
      <w:r w:rsidRPr="00E17C07">
        <w:rPr>
          <w:sz w:val="36"/>
          <w:szCs w:val="36"/>
        </w:rPr>
        <w:t xml:space="preserve"> uznać można spółki następujące:</w:t>
      </w:r>
    </w:p>
    <w:p w:rsidR="001B235D" w:rsidRDefault="001B235D" w:rsidP="001B235D">
      <w:pPr>
        <w:pStyle w:val="Bezodstpw"/>
        <w:ind w:left="720"/>
        <w:jc w:val="both"/>
      </w:pPr>
    </w:p>
    <w:p w:rsidR="001B235D" w:rsidRPr="00E17C07" w:rsidRDefault="001B235D" w:rsidP="001B235D">
      <w:pPr>
        <w:pStyle w:val="Bezodstpw"/>
        <w:jc w:val="both"/>
        <w:rPr>
          <w:imprint/>
          <w:color w:val="FF0000"/>
          <w:sz w:val="36"/>
          <w:szCs w:val="36"/>
        </w:rPr>
      </w:pPr>
      <w:r w:rsidRPr="00E17C07">
        <w:rPr>
          <w:imprint/>
          <w:color w:val="FF0000"/>
          <w:sz w:val="36"/>
          <w:szCs w:val="36"/>
        </w:rPr>
        <w:t>Muza</w:t>
      </w:r>
    </w:p>
    <w:p w:rsidR="001B235D" w:rsidRPr="00E17C07" w:rsidRDefault="001B235D" w:rsidP="001B235D">
      <w:pPr>
        <w:pStyle w:val="Bezodstpw"/>
        <w:jc w:val="both"/>
        <w:rPr>
          <w:imprint/>
          <w:color w:val="FF0000"/>
          <w:sz w:val="36"/>
          <w:szCs w:val="36"/>
        </w:rPr>
      </w:pPr>
      <w:proofErr w:type="spellStart"/>
      <w:r w:rsidRPr="00E17C07">
        <w:rPr>
          <w:imprint/>
          <w:color w:val="FF0000"/>
          <w:sz w:val="36"/>
          <w:szCs w:val="36"/>
        </w:rPr>
        <w:t>Tesgas</w:t>
      </w:r>
      <w:proofErr w:type="spellEnd"/>
    </w:p>
    <w:p w:rsidR="001B235D" w:rsidRDefault="001B235D" w:rsidP="001B235D">
      <w:pPr>
        <w:pStyle w:val="Bezodstpw"/>
        <w:jc w:val="both"/>
        <w:rPr>
          <w:imprint/>
          <w:color w:val="FF0000"/>
          <w:sz w:val="36"/>
          <w:szCs w:val="36"/>
        </w:rPr>
      </w:pPr>
      <w:proofErr w:type="spellStart"/>
      <w:r w:rsidRPr="00E17C07">
        <w:rPr>
          <w:imprint/>
          <w:color w:val="FF0000"/>
          <w:sz w:val="36"/>
          <w:szCs w:val="36"/>
        </w:rPr>
        <w:t>Procad</w:t>
      </w:r>
      <w:proofErr w:type="spellEnd"/>
    </w:p>
    <w:p w:rsidR="00A04A4C" w:rsidRPr="00E17C07" w:rsidRDefault="00A04A4C" w:rsidP="001B235D">
      <w:pPr>
        <w:pStyle w:val="Bezodstpw"/>
        <w:jc w:val="both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Relpol</w:t>
      </w:r>
    </w:p>
    <w:p w:rsidR="001B235D" w:rsidRPr="00E17C07" w:rsidRDefault="001B235D" w:rsidP="001B235D">
      <w:pPr>
        <w:pStyle w:val="Bezodstpw"/>
        <w:jc w:val="both"/>
        <w:rPr>
          <w:imprint/>
          <w:color w:val="FF0000"/>
          <w:sz w:val="36"/>
          <w:szCs w:val="36"/>
        </w:rPr>
      </w:pPr>
      <w:proofErr w:type="spellStart"/>
      <w:r w:rsidRPr="00E17C07">
        <w:rPr>
          <w:imprint/>
          <w:color w:val="FF0000"/>
          <w:sz w:val="36"/>
          <w:szCs w:val="36"/>
        </w:rPr>
        <w:t>Netmedia</w:t>
      </w:r>
      <w:proofErr w:type="spellEnd"/>
    </w:p>
    <w:p w:rsidR="001B235D" w:rsidRPr="00E17C07" w:rsidRDefault="001B235D" w:rsidP="001B235D">
      <w:pPr>
        <w:pStyle w:val="Bezodstpw"/>
        <w:jc w:val="both"/>
        <w:rPr>
          <w:imprint/>
          <w:color w:val="FF0000"/>
          <w:sz w:val="36"/>
          <w:szCs w:val="36"/>
        </w:rPr>
      </w:pPr>
      <w:proofErr w:type="spellStart"/>
      <w:r w:rsidRPr="00E17C07">
        <w:rPr>
          <w:imprint/>
          <w:color w:val="FF0000"/>
          <w:sz w:val="36"/>
          <w:szCs w:val="36"/>
        </w:rPr>
        <w:t>Atrem</w:t>
      </w:r>
      <w:proofErr w:type="spellEnd"/>
    </w:p>
    <w:p w:rsidR="001B235D" w:rsidRDefault="001B235D" w:rsidP="001B235D">
      <w:pPr>
        <w:pStyle w:val="Bezodstpw"/>
        <w:ind w:left="720"/>
        <w:jc w:val="both"/>
      </w:pPr>
    </w:p>
    <w:p w:rsidR="001B235D" w:rsidRPr="00E17C07" w:rsidRDefault="001B235D" w:rsidP="001B235D">
      <w:pPr>
        <w:pStyle w:val="Bezodstpw"/>
        <w:jc w:val="both"/>
        <w:rPr>
          <w:sz w:val="32"/>
          <w:szCs w:val="32"/>
        </w:rPr>
      </w:pPr>
      <w:r w:rsidRPr="00E17C07">
        <w:rPr>
          <w:sz w:val="32"/>
          <w:szCs w:val="32"/>
        </w:rPr>
        <w:t xml:space="preserve">W przypadku wszystkich tych </w:t>
      </w:r>
      <w:r w:rsidR="00A04A4C">
        <w:rPr>
          <w:sz w:val="32"/>
          <w:szCs w:val="32"/>
        </w:rPr>
        <w:t>6</w:t>
      </w:r>
      <w:r w:rsidRPr="00E17C07">
        <w:rPr>
          <w:sz w:val="32"/>
          <w:szCs w:val="32"/>
        </w:rPr>
        <w:t xml:space="preserve"> spółek spełnione są bowiem </w:t>
      </w:r>
      <w:r w:rsidRPr="00E17C07">
        <w:rPr>
          <w:b/>
          <w:sz w:val="32"/>
          <w:szCs w:val="32"/>
        </w:rPr>
        <w:t>jednocześnie</w:t>
      </w:r>
      <w:r w:rsidRPr="00E17C07">
        <w:rPr>
          <w:sz w:val="32"/>
          <w:szCs w:val="32"/>
        </w:rPr>
        <w:t xml:space="preserve"> 3 kryteria:</w:t>
      </w:r>
    </w:p>
    <w:p w:rsidR="001B235D" w:rsidRPr="00E17C07" w:rsidRDefault="001B235D" w:rsidP="001B235D">
      <w:pPr>
        <w:pStyle w:val="Bezodstpw"/>
        <w:ind w:left="720"/>
        <w:jc w:val="both"/>
        <w:rPr>
          <w:sz w:val="32"/>
          <w:szCs w:val="32"/>
        </w:rPr>
      </w:pPr>
    </w:p>
    <w:p w:rsidR="001B235D" w:rsidRPr="00245B64" w:rsidRDefault="00245B64" w:rsidP="00245B6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Wskaźnik </w:t>
      </w:r>
      <w:r w:rsidR="001B235D" w:rsidRPr="00245B64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ena</w:t>
      </w:r>
      <w:r w:rsidR="001B235D" w:rsidRPr="00245B64">
        <w:rPr>
          <w:b/>
          <w:sz w:val="32"/>
          <w:szCs w:val="32"/>
        </w:rPr>
        <w:t>/W</w:t>
      </w:r>
      <w:r>
        <w:rPr>
          <w:b/>
          <w:sz w:val="32"/>
          <w:szCs w:val="32"/>
        </w:rPr>
        <w:t xml:space="preserve">artość </w:t>
      </w:r>
      <w:r w:rsidR="001B235D" w:rsidRPr="00245B64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sięgowa</w:t>
      </w:r>
      <w:r w:rsidR="001B235D" w:rsidRPr="00245B64">
        <w:rPr>
          <w:b/>
          <w:sz w:val="32"/>
          <w:szCs w:val="32"/>
        </w:rPr>
        <w:t xml:space="preserve"> niższy od 1,0</w:t>
      </w:r>
    </w:p>
    <w:p w:rsidR="001B235D" w:rsidRPr="00245B64" w:rsidRDefault="001B235D" w:rsidP="00245B6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2"/>
          <w:szCs w:val="32"/>
        </w:rPr>
      </w:pPr>
    </w:p>
    <w:p w:rsidR="001B235D" w:rsidRPr="00245B64" w:rsidRDefault="001B235D" w:rsidP="00245B6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2"/>
          <w:szCs w:val="32"/>
        </w:rPr>
      </w:pPr>
      <w:r w:rsidRPr="00245B64">
        <w:rPr>
          <w:b/>
          <w:sz w:val="32"/>
          <w:szCs w:val="32"/>
        </w:rPr>
        <w:t>Płynność bieżąca wyższa od 1,5</w:t>
      </w:r>
    </w:p>
    <w:p w:rsidR="001B235D" w:rsidRPr="00245B64" w:rsidRDefault="001B235D" w:rsidP="00245B6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2"/>
          <w:szCs w:val="32"/>
        </w:rPr>
      </w:pPr>
    </w:p>
    <w:p w:rsidR="001B235D" w:rsidRPr="00245B64" w:rsidRDefault="001B235D" w:rsidP="00245B6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2"/>
          <w:szCs w:val="32"/>
        </w:rPr>
      </w:pPr>
      <w:r w:rsidRPr="00245B64">
        <w:rPr>
          <w:b/>
          <w:sz w:val="32"/>
          <w:szCs w:val="32"/>
        </w:rPr>
        <w:t>Rentowność/Płynność (czyli rentowność sprzedaży w %/płynność bieżąca w krotnościach) niższa od 3,0</w:t>
      </w:r>
    </w:p>
    <w:p w:rsidR="00A04A4C" w:rsidRDefault="00A04A4C" w:rsidP="001B235D">
      <w:pPr>
        <w:pStyle w:val="Bezodstpw"/>
        <w:jc w:val="both"/>
        <w:rPr>
          <w:sz w:val="32"/>
          <w:szCs w:val="32"/>
        </w:rPr>
      </w:pPr>
    </w:p>
    <w:p w:rsidR="00A04A4C" w:rsidRDefault="00A04A4C" w:rsidP="001B235D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Przyznam, że jestem ciekaw, jak zachowają się akcje wyżej wymienionych spółek na przestrzeni najbliższych 12 miesięcy…</w:t>
      </w:r>
    </w:p>
    <w:p w:rsidR="001B235D" w:rsidRDefault="001B235D" w:rsidP="001B235D">
      <w:pPr>
        <w:pStyle w:val="Bezodstpw"/>
        <w:jc w:val="both"/>
        <w:rPr>
          <w:sz w:val="32"/>
          <w:szCs w:val="32"/>
        </w:rPr>
      </w:pPr>
    </w:p>
    <w:p w:rsidR="001B235D" w:rsidRPr="006F01AC" w:rsidRDefault="001B235D" w:rsidP="001B235D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Opracował: Sławomir Kłusek, </w:t>
      </w:r>
      <w:r>
        <w:rPr>
          <w:sz w:val="26"/>
          <w:szCs w:val="26"/>
        </w:rPr>
        <w:t xml:space="preserve">23 lutego </w:t>
      </w:r>
      <w:r w:rsidRPr="006F01AC">
        <w:rPr>
          <w:sz w:val="26"/>
          <w:szCs w:val="26"/>
        </w:rPr>
        <w:t>2015 r.</w:t>
      </w:r>
    </w:p>
    <w:p w:rsidR="001B235D" w:rsidRPr="006F01AC" w:rsidRDefault="001B235D" w:rsidP="001B235D">
      <w:pPr>
        <w:pStyle w:val="Bezodstpw"/>
        <w:jc w:val="both"/>
        <w:rPr>
          <w:sz w:val="26"/>
          <w:szCs w:val="26"/>
        </w:rPr>
      </w:pPr>
    </w:p>
    <w:p w:rsidR="00A575C0" w:rsidRDefault="001B235D" w:rsidP="001B235D">
      <w:pPr>
        <w:pStyle w:val="Bezodstpw"/>
        <w:jc w:val="both"/>
        <w:rPr>
          <w:b/>
          <w:sz w:val="26"/>
          <w:szCs w:val="26"/>
        </w:rPr>
      </w:pPr>
      <w:r w:rsidRPr="006F01AC">
        <w:rPr>
          <w:b/>
          <w:sz w:val="26"/>
          <w:szCs w:val="26"/>
        </w:rPr>
        <w:t xml:space="preserve">Powyższe </w:t>
      </w:r>
      <w:r w:rsidR="00A575C0">
        <w:rPr>
          <w:b/>
          <w:sz w:val="26"/>
          <w:szCs w:val="26"/>
        </w:rPr>
        <w:t xml:space="preserve">opracowanie </w:t>
      </w:r>
      <w:r w:rsidRPr="006F01AC">
        <w:rPr>
          <w:b/>
          <w:sz w:val="26"/>
          <w:szCs w:val="26"/>
        </w:rPr>
        <w:t xml:space="preserve">sporządzone zostało wyłącznie w celach </w:t>
      </w:r>
      <w:r w:rsidR="00A575C0">
        <w:rPr>
          <w:b/>
          <w:sz w:val="26"/>
          <w:szCs w:val="26"/>
        </w:rPr>
        <w:t xml:space="preserve">edukacyjnych. </w:t>
      </w:r>
    </w:p>
    <w:p w:rsidR="00A575C0" w:rsidRDefault="00A575C0" w:rsidP="001B235D">
      <w:pPr>
        <w:pStyle w:val="Bezodstpw"/>
        <w:jc w:val="both"/>
        <w:rPr>
          <w:b/>
          <w:sz w:val="26"/>
          <w:szCs w:val="26"/>
        </w:rPr>
      </w:pPr>
    </w:p>
    <w:p w:rsidR="001B235D" w:rsidRPr="006F01AC" w:rsidRDefault="001B235D" w:rsidP="001B235D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Wszelkie opinie prezentowane na stronie </w:t>
      </w:r>
      <w:hyperlink r:id="rId10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stanowią </w:t>
      </w:r>
      <w:r w:rsidRPr="006F01AC">
        <w:rPr>
          <w:b/>
          <w:sz w:val="26"/>
          <w:szCs w:val="26"/>
        </w:rPr>
        <w:t>wyłącznie wyraz osobistych opinii autora.</w:t>
      </w:r>
      <w:r w:rsidRPr="006F01AC">
        <w:rPr>
          <w:sz w:val="26"/>
          <w:szCs w:val="26"/>
        </w:rPr>
        <w:t xml:space="preserve"> </w:t>
      </w:r>
    </w:p>
    <w:p w:rsidR="001B235D" w:rsidRPr="006F01AC" w:rsidRDefault="001B235D" w:rsidP="001B235D">
      <w:pPr>
        <w:pStyle w:val="Bezodstpw"/>
        <w:jc w:val="both"/>
        <w:rPr>
          <w:sz w:val="26"/>
          <w:szCs w:val="26"/>
        </w:rPr>
      </w:pPr>
    </w:p>
    <w:p w:rsidR="001B235D" w:rsidRPr="006F01AC" w:rsidRDefault="001B235D" w:rsidP="001B235D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Treści zawarte na stronie internetowej </w:t>
      </w:r>
      <w:hyperlink r:id="rId11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</w:t>
      </w:r>
      <w:r w:rsidRPr="006F01AC">
        <w:rPr>
          <w:b/>
          <w:sz w:val="26"/>
          <w:szCs w:val="26"/>
        </w:rPr>
        <w:t>nie stanowią "rekomendacji"</w:t>
      </w:r>
      <w:r w:rsidRPr="006F01AC">
        <w:rPr>
          <w:sz w:val="26"/>
          <w:szCs w:val="26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6F01AC">
        <w:rPr>
          <w:sz w:val="26"/>
          <w:szCs w:val="26"/>
        </w:rPr>
        <w:t>Dz.U</w:t>
      </w:r>
      <w:proofErr w:type="spellEnd"/>
      <w:r w:rsidRPr="006F01AC">
        <w:rPr>
          <w:sz w:val="26"/>
          <w:szCs w:val="26"/>
        </w:rPr>
        <w:t>. z 2005 r. Nr 206, poz. 1715).</w:t>
      </w:r>
    </w:p>
    <w:p w:rsidR="001B235D" w:rsidRPr="006F01AC" w:rsidRDefault="001B235D" w:rsidP="001B235D">
      <w:pPr>
        <w:pStyle w:val="Bezodstpw"/>
        <w:jc w:val="both"/>
        <w:rPr>
          <w:sz w:val="26"/>
          <w:szCs w:val="26"/>
        </w:rPr>
      </w:pPr>
    </w:p>
    <w:p w:rsidR="001B235D" w:rsidRDefault="001B235D" w:rsidP="001B235D">
      <w:pPr>
        <w:pStyle w:val="Bezodstpw"/>
        <w:jc w:val="both"/>
      </w:pPr>
      <w:r w:rsidRPr="006F01AC">
        <w:rPr>
          <w:sz w:val="26"/>
          <w:szCs w:val="26"/>
        </w:rPr>
        <w:t xml:space="preserve">Autor nie </w:t>
      </w:r>
      <w:r w:rsidRPr="006F01AC">
        <w:rPr>
          <w:b/>
          <w:sz w:val="26"/>
          <w:szCs w:val="26"/>
        </w:rPr>
        <w:t>ponosi odpowiedzialności za jakiekolwiek decyzje inwestycyjne podjęte na podstawie</w:t>
      </w:r>
      <w:r w:rsidRPr="006F01AC">
        <w:rPr>
          <w:sz w:val="26"/>
          <w:szCs w:val="26"/>
        </w:rPr>
        <w:t xml:space="preserve"> treści zawartych na stronie internetowej </w:t>
      </w:r>
      <w:hyperlink r:id="rId12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</w:p>
    <w:p w:rsidR="00961A4E" w:rsidRPr="001B235D" w:rsidRDefault="00961A4E" w:rsidP="001B235D"/>
    <w:sectPr w:rsidR="00961A4E" w:rsidRPr="001B235D" w:rsidSect="00FF5F52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67" w:rsidRDefault="00D63667" w:rsidP="00EB7049">
      <w:pPr>
        <w:spacing w:after="0" w:line="240" w:lineRule="auto"/>
      </w:pPr>
      <w:r>
        <w:separator/>
      </w:r>
    </w:p>
  </w:endnote>
  <w:endnote w:type="continuationSeparator" w:id="0">
    <w:p w:rsidR="00D63667" w:rsidRDefault="00D63667" w:rsidP="00EB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035551">
        <w:pPr>
          <w:pStyle w:val="Stopka"/>
          <w:jc w:val="center"/>
        </w:pPr>
        <w:r>
          <w:fldChar w:fldCharType="begin"/>
        </w:r>
        <w:r w:rsidR="001B235D">
          <w:instrText>PAGE   \* MERGEFORMAT</w:instrText>
        </w:r>
        <w:r>
          <w:fldChar w:fldCharType="separate"/>
        </w:r>
        <w:r w:rsidR="00245B64">
          <w:rPr>
            <w:noProof/>
          </w:rPr>
          <w:t>5</w:t>
        </w:r>
        <w:r>
          <w:fldChar w:fldCharType="end"/>
        </w:r>
      </w:p>
    </w:sdtContent>
  </w:sdt>
  <w:p w:rsidR="00FF5F52" w:rsidRDefault="00D636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67" w:rsidRDefault="00D63667" w:rsidP="00EB7049">
      <w:pPr>
        <w:spacing w:after="0" w:line="240" w:lineRule="auto"/>
      </w:pPr>
      <w:r>
        <w:separator/>
      </w:r>
    </w:p>
  </w:footnote>
  <w:footnote w:type="continuationSeparator" w:id="0">
    <w:p w:rsidR="00D63667" w:rsidRDefault="00D63667" w:rsidP="00EB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5D"/>
    <w:rsid w:val="00035551"/>
    <w:rsid w:val="00114316"/>
    <w:rsid w:val="0012348A"/>
    <w:rsid w:val="00184F30"/>
    <w:rsid w:val="001B235D"/>
    <w:rsid w:val="00245B64"/>
    <w:rsid w:val="004E0BF0"/>
    <w:rsid w:val="005E5D6C"/>
    <w:rsid w:val="007D44D4"/>
    <w:rsid w:val="00961A4E"/>
    <w:rsid w:val="009647C9"/>
    <w:rsid w:val="00A04A4C"/>
    <w:rsid w:val="00A34D5E"/>
    <w:rsid w:val="00A575C0"/>
    <w:rsid w:val="00A83663"/>
    <w:rsid w:val="00D63667"/>
    <w:rsid w:val="00D84A71"/>
    <w:rsid w:val="00DB59E7"/>
    <w:rsid w:val="00EB7049"/>
    <w:rsid w:val="00ED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235D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35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B23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5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g.pl/" TargetMode="External"/><Relationship Id="rId13" Type="http://schemas.openxmlformats.org/officeDocument/2006/relationships/footer" Target="foot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oq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786</Words>
  <Characters>4721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2015-02-22T22:55:00Z</dcterms:created>
  <dcterms:modified xsi:type="dcterms:W3CDTF">2015-02-22T22:55:00Z</dcterms:modified>
</cp:coreProperties>
</file>