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67" w:rsidRPr="00C16D3A" w:rsidRDefault="00F05467" w:rsidP="00F05467">
      <w:pPr>
        <w:pStyle w:val="Bezodstpw"/>
        <w:jc w:val="center"/>
        <w:rPr>
          <w:shadow/>
          <w:color w:val="FF0000"/>
          <w:sz w:val="180"/>
          <w:szCs w:val="180"/>
        </w:rPr>
      </w:pPr>
      <w:r w:rsidRPr="00C16D3A">
        <w:rPr>
          <w:shadow/>
          <w:color w:val="FF0000"/>
          <w:sz w:val="180"/>
          <w:szCs w:val="180"/>
        </w:rPr>
        <w:t>Raport</w:t>
      </w:r>
    </w:p>
    <w:p w:rsidR="00F05467" w:rsidRDefault="00F05467" w:rsidP="00F05467">
      <w:pPr>
        <w:pStyle w:val="Bezodstpw"/>
        <w:jc w:val="center"/>
        <w:rPr>
          <w:shadow/>
          <w:color w:val="FF0000"/>
          <w:sz w:val="180"/>
          <w:szCs w:val="180"/>
        </w:rPr>
      </w:pPr>
      <w:r w:rsidRPr="00C16D3A">
        <w:rPr>
          <w:shadow/>
          <w:color w:val="FF0000"/>
          <w:sz w:val="180"/>
          <w:szCs w:val="180"/>
        </w:rPr>
        <w:t>Tygodniowy</w:t>
      </w:r>
    </w:p>
    <w:p w:rsidR="00F05467" w:rsidRPr="00BB2EC3" w:rsidRDefault="00F05467" w:rsidP="00F05467">
      <w:pPr>
        <w:pStyle w:val="Bezodstpw"/>
        <w:jc w:val="center"/>
        <w:rPr>
          <w:shadow/>
          <w:color w:val="FF0000"/>
          <w:sz w:val="100"/>
          <w:szCs w:val="100"/>
        </w:rPr>
      </w:pPr>
      <w:r w:rsidRPr="00BB2EC3">
        <w:rPr>
          <w:shadow/>
          <w:color w:val="FF0000"/>
          <w:sz w:val="100"/>
          <w:szCs w:val="100"/>
        </w:rPr>
        <w:t>o sytuacji na</w:t>
      </w:r>
    </w:p>
    <w:p w:rsidR="00F05467" w:rsidRPr="00BB2EC3" w:rsidRDefault="00F05467" w:rsidP="00F05467">
      <w:pPr>
        <w:pStyle w:val="Bezodstpw"/>
        <w:jc w:val="center"/>
        <w:rPr>
          <w:shadow/>
          <w:color w:val="FF0000"/>
          <w:sz w:val="100"/>
          <w:szCs w:val="100"/>
        </w:rPr>
      </w:pPr>
      <w:r w:rsidRPr="00BB2EC3">
        <w:rPr>
          <w:shadow/>
          <w:color w:val="FF0000"/>
          <w:sz w:val="100"/>
          <w:szCs w:val="100"/>
        </w:rPr>
        <w:t>rynkach finansowych</w:t>
      </w:r>
    </w:p>
    <w:p w:rsidR="00F05467" w:rsidRPr="00400806" w:rsidRDefault="00F05467" w:rsidP="00F05467">
      <w:pPr>
        <w:pStyle w:val="Bezodstpw"/>
        <w:jc w:val="center"/>
        <w:rPr>
          <w:sz w:val="48"/>
          <w:szCs w:val="48"/>
        </w:rPr>
      </w:pPr>
    </w:p>
    <w:p w:rsidR="00F05467" w:rsidRDefault="00F05467" w:rsidP="00F05467">
      <w:pPr>
        <w:pStyle w:val="Bezodstpw"/>
        <w:jc w:val="center"/>
        <w:rPr>
          <w:sz w:val="48"/>
          <w:szCs w:val="48"/>
        </w:rPr>
      </w:pPr>
    </w:p>
    <w:p w:rsidR="00F05467" w:rsidRPr="009A4255" w:rsidRDefault="00F05467" w:rsidP="00F05467">
      <w:pPr>
        <w:pStyle w:val="Bezodstpw"/>
        <w:jc w:val="center"/>
        <w:rPr>
          <w:shadow/>
          <w:sz w:val="100"/>
          <w:szCs w:val="100"/>
          <w:u w:val="single"/>
        </w:rPr>
      </w:pPr>
      <w:r w:rsidRPr="009A4255">
        <w:rPr>
          <w:shadow/>
          <w:sz w:val="100"/>
          <w:szCs w:val="100"/>
          <w:u w:val="single"/>
        </w:rPr>
        <w:t>Rynek walutowy</w:t>
      </w:r>
    </w:p>
    <w:p w:rsidR="00F05467" w:rsidRPr="009A4255" w:rsidRDefault="00F05467" w:rsidP="00F05467">
      <w:pPr>
        <w:pStyle w:val="Bezodstpw"/>
        <w:jc w:val="center"/>
        <w:rPr>
          <w:shadow/>
          <w:sz w:val="100"/>
          <w:szCs w:val="100"/>
        </w:rPr>
      </w:pPr>
    </w:p>
    <w:p w:rsidR="00F05467" w:rsidRPr="009A4255" w:rsidRDefault="00F05467" w:rsidP="00F05467">
      <w:pPr>
        <w:pStyle w:val="Bezodstpw"/>
        <w:jc w:val="center"/>
        <w:rPr>
          <w:shadow/>
          <w:sz w:val="100"/>
          <w:szCs w:val="100"/>
          <w:u w:val="single"/>
        </w:rPr>
      </w:pPr>
      <w:r w:rsidRPr="009A4255">
        <w:rPr>
          <w:shadow/>
          <w:sz w:val="100"/>
          <w:szCs w:val="100"/>
          <w:u w:val="single"/>
        </w:rPr>
        <w:t>Rynek akcji</w:t>
      </w:r>
    </w:p>
    <w:p w:rsidR="00F05467" w:rsidRDefault="00F05467" w:rsidP="00F05467">
      <w:pPr>
        <w:pStyle w:val="Bezodstpw"/>
        <w:jc w:val="both"/>
      </w:pPr>
    </w:p>
    <w:p w:rsidR="00F05467" w:rsidRDefault="00F05467" w:rsidP="00F05467">
      <w:pPr>
        <w:pStyle w:val="Bezodstpw"/>
        <w:jc w:val="both"/>
      </w:pPr>
    </w:p>
    <w:p w:rsidR="00F05467" w:rsidRDefault="00F05467" w:rsidP="00F05467">
      <w:pPr>
        <w:pStyle w:val="Bezodstpw"/>
        <w:jc w:val="both"/>
      </w:pPr>
    </w:p>
    <w:p w:rsidR="00F05467" w:rsidRDefault="00F05467" w:rsidP="00F05467">
      <w:pPr>
        <w:pStyle w:val="Bezodstpw"/>
        <w:jc w:val="both"/>
      </w:pPr>
    </w:p>
    <w:p w:rsidR="00F05467" w:rsidRDefault="00F05467" w:rsidP="00F05467">
      <w:pPr>
        <w:pStyle w:val="Bezodstpw"/>
        <w:jc w:val="both"/>
      </w:pPr>
    </w:p>
    <w:p w:rsidR="00F35F96" w:rsidRDefault="00F35F96" w:rsidP="00F05467"/>
    <w:p w:rsidR="00F05467" w:rsidRDefault="00F05467" w:rsidP="00F05467"/>
    <w:p w:rsidR="00F05467" w:rsidRPr="00D72F94" w:rsidRDefault="00F05467" w:rsidP="00F05467">
      <w:pPr>
        <w:pStyle w:val="Bezodstpw"/>
        <w:jc w:val="both"/>
        <w:rPr>
          <w:shadow/>
          <w:sz w:val="24"/>
          <w:szCs w:val="24"/>
        </w:rPr>
      </w:pPr>
      <w:r w:rsidRPr="00D72F94">
        <w:rPr>
          <w:shadow/>
          <w:sz w:val="24"/>
          <w:szCs w:val="24"/>
        </w:rPr>
        <w:lastRenderedPageBreak/>
        <w:t xml:space="preserve">Poniedziałek, </w:t>
      </w:r>
      <w:r>
        <w:rPr>
          <w:shadow/>
          <w:sz w:val="24"/>
          <w:szCs w:val="24"/>
        </w:rPr>
        <w:t xml:space="preserve">17 listopada </w:t>
      </w:r>
      <w:r w:rsidRPr="00D72F94">
        <w:rPr>
          <w:shadow/>
          <w:sz w:val="24"/>
          <w:szCs w:val="24"/>
        </w:rPr>
        <w:t>2014 roku</w:t>
      </w:r>
    </w:p>
    <w:p w:rsidR="00F05467" w:rsidRDefault="00F05467" w:rsidP="00F05467">
      <w:pPr>
        <w:pStyle w:val="Bezodstpw"/>
        <w:jc w:val="both"/>
      </w:pPr>
    </w:p>
    <w:p w:rsidR="00F05467" w:rsidRDefault="00F05467" w:rsidP="00F05467">
      <w:pPr>
        <w:pStyle w:val="Bezodstpw"/>
        <w:pBdr>
          <w:top w:val="single" w:sz="4" w:space="1" w:color="auto"/>
          <w:left w:val="single" w:sz="4" w:space="4" w:color="auto"/>
          <w:bottom w:val="single" w:sz="4" w:space="1" w:color="auto"/>
          <w:right w:val="single" w:sz="4" w:space="4" w:color="auto"/>
        </w:pBdr>
        <w:jc w:val="center"/>
      </w:pPr>
      <w:r>
        <w:t>Kurs USD/PLN – perspektywa długoterminowa, kurs z 14 listopada 2014 roku = 3,3748</w:t>
      </w:r>
    </w:p>
    <w:p w:rsidR="00F05467" w:rsidRDefault="00F05467" w:rsidP="00F05467">
      <w:pPr>
        <w:pStyle w:val="Bezodstpw"/>
        <w:jc w:val="both"/>
      </w:pPr>
    </w:p>
    <w:p w:rsidR="00F05467" w:rsidRDefault="00F05467" w:rsidP="00F05467">
      <w:pPr>
        <w:pStyle w:val="Bezodstpw"/>
        <w:jc w:val="both"/>
      </w:pPr>
      <w:r>
        <w:rPr>
          <w:noProof/>
        </w:rPr>
        <w:drawing>
          <wp:inline distT="0" distB="0" distL="0" distR="0">
            <wp:extent cx="3857625" cy="2362200"/>
            <wp:effectExtent l="0" t="0" r="9525"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857625" cy="2362200"/>
                    </a:xfrm>
                    <a:prstGeom prst="rect">
                      <a:avLst/>
                    </a:prstGeom>
                    <a:noFill/>
                  </pic:spPr>
                </pic:pic>
              </a:graphicData>
            </a:graphic>
          </wp:inline>
        </w:drawing>
      </w:r>
    </w:p>
    <w:p w:rsidR="00F05467" w:rsidRDefault="00F05467" w:rsidP="00F05467">
      <w:pPr>
        <w:pStyle w:val="Bezodstpw"/>
        <w:jc w:val="both"/>
      </w:pPr>
    </w:p>
    <w:p w:rsidR="00F05467" w:rsidRDefault="00F05467" w:rsidP="00F05467">
      <w:pPr>
        <w:pStyle w:val="Bezodstpw"/>
        <w:jc w:val="both"/>
      </w:pPr>
      <w:r>
        <w:t xml:space="preserve">Kurs dolara (w złotych) doszedł od dołu do </w:t>
      </w:r>
      <w:r w:rsidRPr="00EC4DE7">
        <w:rPr>
          <w:b/>
        </w:rPr>
        <w:t xml:space="preserve">długoterminowej </w:t>
      </w:r>
      <w:r>
        <w:rPr>
          <w:b/>
        </w:rPr>
        <w:t xml:space="preserve">spadkowej </w:t>
      </w:r>
      <w:r w:rsidRPr="00EC4DE7">
        <w:rPr>
          <w:b/>
        </w:rPr>
        <w:t>linii trendu</w:t>
      </w:r>
      <w:r>
        <w:t xml:space="preserve"> poprowadzonej przez szczyty z lutego 2009 roku oraz czerwca 2012 roku. Linia ta stanowi </w:t>
      </w:r>
      <w:r w:rsidRPr="00EC4DE7">
        <w:rPr>
          <w:b/>
        </w:rPr>
        <w:t>bardzo ważny opór</w:t>
      </w:r>
      <w:r>
        <w:t xml:space="preserve">. W tej sytuacji </w:t>
      </w:r>
      <w:r w:rsidRPr="00863762">
        <w:rPr>
          <w:b/>
          <w:u w:val="single"/>
        </w:rPr>
        <w:t>w najbliższych tygodniach można oczekiwać spadków kursu dolara amerykańskiego (w złotych).</w:t>
      </w:r>
      <w:r>
        <w:t xml:space="preserve"> Jak bowiem wskazuje </w:t>
      </w:r>
      <w:r w:rsidRPr="00340CC0">
        <w:t xml:space="preserve">Barbara Rockefeller w swej </w:t>
      </w:r>
      <w:r>
        <w:t>k</w:t>
      </w:r>
      <w:r w:rsidRPr="00340CC0">
        <w:t xml:space="preserve">siążce ,,Analiza techniczna dla bystrzaków” trzecie dojście do linii trendu </w:t>
      </w:r>
      <w:r>
        <w:t xml:space="preserve">spadkowego </w:t>
      </w:r>
      <w:r w:rsidRPr="00340CC0">
        <w:t>sygnalizuje n</w:t>
      </w:r>
      <w:r>
        <w:t xml:space="preserve">adejście fali spadków. </w:t>
      </w:r>
    </w:p>
    <w:p w:rsidR="00F05467" w:rsidRDefault="00F05467" w:rsidP="00F05467">
      <w:pPr>
        <w:pStyle w:val="Bezodstpw"/>
        <w:jc w:val="both"/>
      </w:pPr>
    </w:p>
    <w:p w:rsidR="00F05467" w:rsidRDefault="00F05467" w:rsidP="00F05467">
      <w:pPr>
        <w:pStyle w:val="Bezodstpw"/>
        <w:pBdr>
          <w:top w:val="single" w:sz="4" w:space="1" w:color="auto"/>
          <w:left w:val="single" w:sz="4" w:space="4" w:color="auto"/>
          <w:bottom w:val="single" w:sz="4" w:space="1" w:color="auto"/>
          <w:right w:val="single" w:sz="4" w:space="4" w:color="auto"/>
        </w:pBdr>
        <w:jc w:val="center"/>
      </w:pPr>
      <w:r>
        <w:t>Kurs EUR/PLN – perspektywa długoterminowa, kurs z 14 listopada 2014 roku = 4,2271</w:t>
      </w:r>
    </w:p>
    <w:p w:rsidR="00F05467" w:rsidRDefault="00F05467" w:rsidP="00F05467">
      <w:pPr>
        <w:pStyle w:val="Bezodstpw"/>
        <w:jc w:val="both"/>
      </w:pPr>
    </w:p>
    <w:p w:rsidR="00F05467" w:rsidRDefault="00F05467" w:rsidP="00F05467">
      <w:pPr>
        <w:pStyle w:val="Bezodstpw"/>
        <w:jc w:val="both"/>
      </w:pPr>
      <w:r>
        <w:rPr>
          <w:noProof/>
        </w:rPr>
        <w:drawing>
          <wp:inline distT="0" distB="0" distL="0" distR="0">
            <wp:extent cx="3790950" cy="2295525"/>
            <wp:effectExtent l="19050" t="0" r="0" b="0"/>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790950" cy="2295525"/>
                    </a:xfrm>
                    <a:prstGeom prst="rect">
                      <a:avLst/>
                    </a:prstGeom>
                    <a:noFill/>
                  </pic:spPr>
                </pic:pic>
              </a:graphicData>
            </a:graphic>
          </wp:inline>
        </w:drawing>
      </w:r>
    </w:p>
    <w:p w:rsidR="00F05467" w:rsidRDefault="00F05467" w:rsidP="00F05467">
      <w:pPr>
        <w:pStyle w:val="Bezodstpw"/>
        <w:jc w:val="both"/>
      </w:pPr>
    </w:p>
    <w:p w:rsidR="00F05467" w:rsidRDefault="00F05467" w:rsidP="00F05467">
      <w:pPr>
        <w:pStyle w:val="Bezodstpw"/>
        <w:jc w:val="both"/>
      </w:pPr>
      <w:r>
        <w:t xml:space="preserve">Kurs euro (w złotych) znajduje się poniżej </w:t>
      </w:r>
      <w:r w:rsidRPr="00EC4DE7">
        <w:rPr>
          <w:b/>
        </w:rPr>
        <w:t>długoterminowej spadkowej linii trendu</w:t>
      </w:r>
      <w:r>
        <w:t xml:space="preserve"> poprowadzonej przez szczyty z lutego 2009 roku oraz grudnia 2011 roku. Również w tym przypadku Linia na stanowi </w:t>
      </w:r>
      <w:r w:rsidRPr="00EC4DE7">
        <w:rPr>
          <w:b/>
        </w:rPr>
        <w:t>bardzo ważny opór</w:t>
      </w:r>
      <w:r>
        <w:t xml:space="preserve">. W chwili obecnej przebiega ona na poziomie </w:t>
      </w:r>
      <w:r w:rsidRPr="00EC4DE7">
        <w:rPr>
          <w:b/>
          <w:color w:val="FF0000"/>
        </w:rPr>
        <w:t>4,2</w:t>
      </w:r>
      <w:r>
        <w:rPr>
          <w:b/>
          <w:color w:val="FF0000"/>
        </w:rPr>
        <w:t>60</w:t>
      </w:r>
      <w:r>
        <w:t>. W kolejnych miesiącach z natury rzeczy przebiegać będzie ona na coraz niższym poziomie – w końcu listopada na poziomie 4,254, w końcu grudnia na poziomie 4,246.</w:t>
      </w:r>
      <w:r w:rsidRPr="0052647A">
        <w:t xml:space="preserve"> </w:t>
      </w:r>
      <w:r>
        <w:t xml:space="preserve">Można sądzić, że </w:t>
      </w:r>
      <w:r w:rsidRPr="004E7F4F">
        <w:rPr>
          <w:b/>
          <w:u w:val="single"/>
        </w:rPr>
        <w:t>jeszcze w tym roku</w:t>
      </w:r>
      <w:r>
        <w:t xml:space="preserve"> kurs euro (w złotych) osiągnie od dołu poziom wspomnianej długoterminowej spadkowej linii trendu. Co ciekawe </w:t>
      </w:r>
      <w:r w:rsidRPr="001651A3">
        <w:rPr>
          <w:b/>
          <w:u w:val="single"/>
        </w:rPr>
        <w:t>przebita została</w:t>
      </w:r>
      <w:r w:rsidRPr="004E7F4F">
        <w:rPr>
          <w:b/>
          <w:u w:val="single"/>
        </w:rPr>
        <w:t xml:space="preserve"> </w:t>
      </w:r>
      <w:r w:rsidRPr="00EC4DE7">
        <w:rPr>
          <w:b/>
        </w:rPr>
        <w:t>od dołu nieco niższa linia</w:t>
      </w:r>
      <w:r>
        <w:t xml:space="preserve"> poprowadzona przez szczyty z grudnia 2011 roku oraz czerwca 2013 roku. </w:t>
      </w:r>
    </w:p>
    <w:p w:rsidR="00F05467" w:rsidRDefault="00F05467" w:rsidP="00F05467">
      <w:pPr>
        <w:pStyle w:val="Bezodstpw"/>
        <w:jc w:val="both"/>
      </w:pPr>
    </w:p>
    <w:p w:rsidR="00F05467" w:rsidRDefault="00F05467" w:rsidP="00F05467">
      <w:pPr>
        <w:pStyle w:val="Bezodstpw"/>
        <w:jc w:val="both"/>
      </w:pPr>
    </w:p>
    <w:p w:rsidR="00F05467" w:rsidRDefault="00F05467" w:rsidP="00F05467">
      <w:pPr>
        <w:pStyle w:val="Bezodstpw"/>
        <w:pBdr>
          <w:top w:val="single" w:sz="4" w:space="1" w:color="auto"/>
          <w:left w:val="single" w:sz="4" w:space="4" w:color="auto"/>
          <w:bottom w:val="single" w:sz="4" w:space="1" w:color="auto"/>
          <w:right w:val="single" w:sz="4" w:space="4" w:color="auto"/>
        </w:pBdr>
        <w:jc w:val="center"/>
      </w:pPr>
      <w:r>
        <w:lastRenderedPageBreak/>
        <w:t>Indeks ogólnoświatowy, indeks rynków wschodzących a cykl prezydencki</w:t>
      </w:r>
    </w:p>
    <w:p w:rsidR="00F05467" w:rsidRDefault="00F05467" w:rsidP="00F05467">
      <w:pPr>
        <w:pStyle w:val="Bezodstpw"/>
        <w:jc w:val="both"/>
      </w:pPr>
    </w:p>
    <w:p w:rsidR="00F05467" w:rsidRDefault="00F05467" w:rsidP="00F05467">
      <w:pPr>
        <w:pStyle w:val="Bezodstpw"/>
        <w:jc w:val="both"/>
      </w:pPr>
      <w:r>
        <w:t xml:space="preserve">Obok indeksów opisujących sytuację w poszczególnych krajach dojrzałych obliczany jest także na przykład indeks ogólnoświatowy. </w:t>
      </w:r>
    </w:p>
    <w:p w:rsidR="00F05467" w:rsidRDefault="00F05467" w:rsidP="00F05467">
      <w:pPr>
        <w:pStyle w:val="Bezodstpw"/>
        <w:jc w:val="both"/>
      </w:pPr>
    </w:p>
    <w:p w:rsidR="00F05467" w:rsidRDefault="00F05467" w:rsidP="00F05467">
      <w:pPr>
        <w:pStyle w:val="Bezodstpw"/>
        <w:jc w:val="both"/>
      </w:pPr>
      <w:r>
        <w:t xml:space="preserve">Struktura tego indeksu jest następująca: USA (57,34 %), Wielka Brytania (8,12 %), Japonia (8,12 %), Kanada (4,09 %), Francja (3,7 %), pozostałe (18,62 %). </w:t>
      </w:r>
    </w:p>
    <w:p w:rsidR="00F05467" w:rsidRDefault="00F05467" w:rsidP="00F05467">
      <w:pPr>
        <w:pStyle w:val="Bezodstpw"/>
        <w:jc w:val="both"/>
      </w:pPr>
    </w:p>
    <w:p w:rsidR="00F05467" w:rsidRDefault="00F05467" w:rsidP="00F05467">
      <w:pPr>
        <w:pStyle w:val="Bezodstpw"/>
        <w:jc w:val="both"/>
      </w:pPr>
      <w:r>
        <w:t xml:space="preserve">Co ciekawe od końca października tego roku indeks ogólnoświatowy </w:t>
      </w:r>
      <w:r w:rsidRPr="007A5500">
        <w:rPr>
          <w:b/>
          <w:u w:val="single"/>
        </w:rPr>
        <w:t>zyskał na wartości 0,5 %.</w:t>
      </w:r>
      <w:r>
        <w:t xml:space="preserve"> Na razie więc pod tym względem wszystko idzie zgodnie ,,z planem”, czy raczej zgodnie ,,z cyklem”. </w:t>
      </w:r>
    </w:p>
    <w:p w:rsidR="00F05467" w:rsidRDefault="00F05467" w:rsidP="00F05467">
      <w:pPr>
        <w:pStyle w:val="Bezodstpw"/>
        <w:jc w:val="both"/>
      </w:pPr>
    </w:p>
    <w:p w:rsidR="00F05467" w:rsidRDefault="00F05467" w:rsidP="00F05467">
      <w:pPr>
        <w:pStyle w:val="Bezodstpw"/>
        <w:jc w:val="both"/>
      </w:pPr>
      <w:r>
        <w:t xml:space="preserve">Warto przypomnieć, że jedną z cech czteroletniego cyklu prezydenckiego w USA jest to, że </w:t>
      </w:r>
      <w:r w:rsidRPr="007A5500">
        <w:rPr>
          <w:b/>
        </w:rPr>
        <w:t>szczególnie korzystne zachowanie indeksu giełdowego w USA ale także i w innych krajach dojrzałych ma miejsce w okresie pomiędzy końcem października drugiego roku po wyborach a końcem kwietnia roku przedwyborczego.</w:t>
      </w:r>
      <w:r>
        <w:t xml:space="preserve"> </w:t>
      </w:r>
    </w:p>
    <w:p w:rsidR="00F05467" w:rsidRDefault="00F05467" w:rsidP="00F05467">
      <w:pPr>
        <w:pStyle w:val="Bezodstpw"/>
        <w:jc w:val="both"/>
      </w:pPr>
    </w:p>
    <w:p w:rsidR="00F05467" w:rsidRDefault="00F05467" w:rsidP="00F05467">
      <w:pPr>
        <w:pStyle w:val="Bezodstpw"/>
        <w:jc w:val="both"/>
      </w:pPr>
      <w:r>
        <w:t xml:space="preserve">Warto zauważyć, że obok indeksu ogólnoświatowego (dotyczącego rynków dojrzałych) obliczany jest także indeks rynków wschodzących. </w:t>
      </w:r>
    </w:p>
    <w:p w:rsidR="00F05467" w:rsidRDefault="00F05467" w:rsidP="00F05467">
      <w:pPr>
        <w:pStyle w:val="Bezodstpw"/>
        <w:jc w:val="both"/>
      </w:pPr>
    </w:p>
    <w:p w:rsidR="00F05467" w:rsidRDefault="00F05467" w:rsidP="00F05467">
      <w:pPr>
        <w:pStyle w:val="Bezodstpw"/>
        <w:jc w:val="both"/>
      </w:pPr>
      <w:r>
        <w:t xml:space="preserve">Zarówno dla  indeksu ogólnoświatowego jak również dla indeksu rynków wschodzących obliczane są wartości podstawowych wskaźników wyceny rynku kapitałowego: cena / zysk netto, cena / wartość księgowa oraz stopa dywidendy. </w:t>
      </w:r>
    </w:p>
    <w:p w:rsidR="00F05467" w:rsidRDefault="00F05467" w:rsidP="00F05467">
      <w:pPr>
        <w:pStyle w:val="Bezodstpw"/>
        <w:jc w:val="both"/>
      </w:pPr>
    </w:p>
    <w:p w:rsidR="00F05467" w:rsidRDefault="00F05467" w:rsidP="00F05467">
      <w:pPr>
        <w:pStyle w:val="Bezodstpw"/>
        <w:jc w:val="both"/>
      </w:pPr>
      <w:r>
        <w:t>Poniższa tabela przedstawia wartości tych trzech miar dla indeksu ogólnoświatowego (czyli indeksu rynków dojrzałych) oraz indeksu rynków wschodzących na dzień 31 października 2014 roku</w:t>
      </w:r>
    </w:p>
    <w:p w:rsidR="00F05467" w:rsidRDefault="00F05467" w:rsidP="00F05467">
      <w:pPr>
        <w:pStyle w:val="Bezodstpw"/>
        <w:jc w:val="both"/>
      </w:pPr>
    </w:p>
    <w:tbl>
      <w:tblPr>
        <w:tblStyle w:val="Tabela-Siatka"/>
        <w:tblW w:w="0" w:type="auto"/>
        <w:tblLook w:val="04A0"/>
      </w:tblPr>
      <w:tblGrid>
        <w:gridCol w:w="2303"/>
        <w:gridCol w:w="2303"/>
        <w:gridCol w:w="2303"/>
        <w:gridCol w:w="2303"/>
      </w:tblGrid>
      <w:tr w:rsidR="00F05467" w:rsidTr="006D29B1">
        <w:tc>
          <w:tcPr>
            <w:tcW w:w="2303" w:type="dxa"/>
          </w:tcPr>
          <w:p w:rsidR="00F05467" w:rsidRDefault="00F05467" w:rsidP="006D29B1">
            <w:pPr>
              <w:pStyle w:val="Bezodstpw"/>
              <w:jc w:val="center"/>
            </w:pPr>
            <w:r>
              <w:t xml:space="preserve">Segment </w:t>
            </w:r>
          </w:p>
          <w:p w:rsidR="00F05467" w:rsidRPr="00FB0278" w:rsidRDefault="00F05467" w:rsidP="006D29B1">
            <w:pPr>
              <w:pStyle w:val="Bezodstpw"/>
              <w:jc w:val="center"/>
            </w:pPr>
            <w:r>
              <w:t>r</w:t>
            </w:r>
            <w:r w:rsidRPr="00FB0278">
              <w:t>ynków</w:t>
            </w:r>
          </w:p>
        </w:tc>
        <w:tc>
          <w:tcPr>
            <w:tcW w:w="2303" w:type="dxa"/>
          </w:tcPr>
          <w:p w:rsidR="00F05467" w:rsidRDefault="00F05467" w:rsidP="006D29B1">
            <w:pPr>
              <w:pStyle w:val="Bezodstpw"/>
              <w:jc w:val="center"/>
            </w:pPr>
            <w:r w:rsidRPr="00FB0278">
              <w:t xml:space="preserve">Cena / </w:t>
            </w:r>
          </w:p>
          <w:p w:rsidR="00F05467" w:rsidRPr="00FB0278" w:rsidRDefault="00F05467" w:rsidP="006D29B1">
            <w:pPr>
              <w:pStyle w:val="Bezodstpw"/>
              <w:jc w:val="center"/>
            </w:pPr>
            <w:r w:rsidRPr="00FB0278">
              <w:t>Zysk netto</w:t>
            </w:r>
          </w:p>
        </w:tc>
        <w:tc>
          <w:tcPr>
            <w:tcW w:w="2303" w:type="dxa"/>
          </w:tcPr>
          <w:p w:rsidR="00F05467" w:rsidRDefault="00F05467" w:rsidP="006D29B1">
            <w:pPr>
              <w:pStyle w:val="Bezodstpw"/>
              <w:jc w:val="center"/>
            </w:pPr>
            <w:r w:rsidRPr="00FB0278">
              <w:t xml:space="preserve">Cena / </w:t>
            </w:r>
          </w:p>
          <w:p w:rsidR="00F05467" w:rsidRPr="00FB0278" w:rsidRDefault="00F05467" w:rsidP="006D29B1">
            <w:pPr>
              <w:pStyle w:val="Bezodstpw"/>
              <w:jc w:val="center"/>
            </w:pPr>
            <w:r w:rsidRPr="00FB0278">
              <w:t>Wartość księgowa</w:t>
            </w:r>
          </w:p>
        </w:tc>
        <w:tc>
          <w:tcPr>
            <w:tcW w:w="2303" w:type="dxa"/>
          </w:tcPr>
          <w:p w:rsidR="00F05467" w:rsidRDefault="00F05467" w:rsidP="006D29B1">
            <w:pPr>
              <w:pStyle w:val="Bezodstpw"/>
              <w:jc w:val="center"/>
            </w:pPr>
            <w:r>
              <w:t xml:space="preserve">Stopa </w:t>
            </w:r>
          </w:p>
          <w:p w:rsidR="00F05467" w:rsidRPr="00FB0278" w:rsidRDefault="00F05467" w:rsidP="006D29B1">
            <w:pPr>
              <w:pStyle w:val="Bezodstpw"/>
              <w:jc w:val="center"/>
            </w:pPr>
            <w:r>
              <w:t>dywidendy</w:t>
            </w:r>
          </w:p>
        </w:tc>
      </w:tr>
      <w:tr w:rsidR="00F05467" w:rsidTr="006D29B1">
        <w:tc>
          <w:tcPr>
            <w:tcW w:w="2303" w:type="dxa"/>
          </w:tcPr>
          <w:p w:rsidR="00F05467" w:rsidRPr="00FB0278" w:rsidRDefault="00F05467" w:rsidP="006D29B1">
            <w:pPr>
              <w:pStyle w:val="Bezodstpw"/>
              <w:jc w:val="center"/>
            </w:pPr>
            <w:r w:rsidRPr="00FB0278">
              <w:t>Dojrzałe</w:t>
            </w:r>
          </w:p>
        </w:tc>
        <w:tc>
          <w:tcPr>
            <w:tcW w:w="2303" w:type="dxa"/>
          </w:tcPr>
          <w:p w:rsidR="00F05467" w:rsidRPr="00FB0278" w:rsidRDefault="00F05467" w:rsidP="006D29B1">
            <w:pPr>
              <w:pStyle w:val="Bezodstpw"/>
              <w:jc w:val="center"/>
            </w:pPr>
            <w:r>
              <w:t>18,12</w:t>
            </w:r>
          </w:p>
        </w:tc>
        <w:tc>
          <w:tcPr>
            <w:tcW w:w="2303" w:type="dxa"/>
          </w:tcPr>
          <w:p w:rsidR="00F05467" w:rsidRPr="00FB0278" w:rsidRDefault="00F05467" w:rsidP="006D29B1">
            <w:pPr>
              <w:pStyle w:val="Bezodstpw"/>
              <w:jc w:val="center"/>
            </w:pPr>
            <w:r>
              <w:t>2,18</w:t>
            </w:r>
          </w:p>
        </w:tc>
        <w:tc>
          <w:tcPr>
            <w:tcW w:w="2303" w:type="dxa"/>
          </w:tcPr>
          <w:p w:rsidR="00F05467" w:rsidRPr="00FB0278" w:rsidRDefault="00F05467" w:rsidP="006D29B1">
            <w:pPr>
              <w:pStyle w:val="Bezodstpw"/>
              <w:jc w:val="center"/>
            </w:pPr>
            <w:r>
              <w:t>2,43</w:t>
            </w:r>
          </w:p>
        </w:tc>
      </w:tr>
      <w:tr w:rsidR="00F05467" w:rsidTr="006D29B1">
        <w:tc>
          <w:tcPr>
            <w:tcW w:w="2303" w:type="dxa"/>
          </w:tcPr>
          <w:p w:rsidR="00F05467" w:rsidRPr="00FB0278" w:rsidRDefault="00F05467" w:rsidP="006D29B1">
            <w:pPr>
              <w:pStyle w:val="Bezodstpw"/>
              <w:jc w:val="center"/>
            </w:pPr>
            <w:r w:rsidRPr="00FB0278">
              <w:t>Wschodzące</w:t>
            </w:r>
          </w:p>
        </w:tc>
        <w:tc>
          <w:tcPr>
            <w:tcW w:w="2303" w:type="dxa"/>
          </w:tcPr>
          <w:p w:rsidR="00F05467" w:rsidRPr="00FB0278" w:rsidRDefault="00F05467" w:rsidP="006D29B1">
            <w:pPr>
              <w:pStyle w:val="Bezodstpw"/>
              <w:jc w:val="center"/>
            </w:pPr>
            <w:r>
              <w:t>12,86</w:t>
            </w:r>
          </w:p>
        </w:tc>
        <w:tc>
          <w:tcPr>
            <w:tcW w:w="2303" w:type="dxa"/>
          </w:tcPr>
          <w:p w:rsidR="00F05467" w:rsidRPr="00FB0278" w:rsidRDefault="00F05467" w:rsidP="006D29B1">
            <w:pPr>
              <w:pStyle w:val="Bezodstpw"/>
              <w:jc w:val="center"/>
            </w:pPr>
            <w:r>
              <w:t>1,54</w:t>
            </w:r>
          </w:p>
        </w:tc>
        <w:tc>
          <w:tcPr>
            <w:tcW w:w="2303" w:type="dxa"/>
          </w:tcPr>
          <w:p w:rsidR="00F05467" w:rsidRPr="00FB0278" w:rsidRDefault="00F05467" w:rsidP="006D29B1">
            <w:pPr>
              <w:pStyle w:val="Bezodstpw"/>
              <w:jc w:val="center"/>
            </w:pPr>
            <w:r>
              <w:t>2,76</w:t>
            </w:r>
          </w:p>
        </w:tc>
      </w:tr>
    </w:tbl>
    <w:p w:rsidR="00F05467" w:rsidRDefault="00F05467" w:rsidP="00F05467">
      <w:pPr>
        <w:pStyle w:val="Bezodstpw"/>
        <w:jc w:val="both"/>
      </w:pPr>
    </w:p>
    <w:p w:rsidR="00F05467" w:rsidRDefault="00F57C18" w:rsidP="00F05467">
      <w:pPr>
        <w:pStyle w:val="Bezodstpw"/>
        <w:jc w:val="both"/>
      </w:pPr>
      <w:hyperlink r:id="rId9" w:history="1">
        <w:r w:rsidR="00F05467" w:rsidRPr="00462E73">
          <w:rPr>
            <w:rStyle w:val="Hipercze"/>
          </w:rPr>
          <w:t>http://www.msci.com/resources/factsheets/index_fact_sheet/msci-world-index.pdf</w:t>
        </w:r>
      </w:hyperlink>
    </w:p>
    <w:p w:rsidR="00F05467" w:rsidRDefault="00F05467" w:rsidP="00F05467">
      <w:pPr>
        <w:pStyle w:val="Bezodstpw"/>
        <w:jc w:val="both"/>
      </w:pPr>
    </w:p>
    <w:p w:rsidR="00F05467" w:rsidRDefault="00F05467" w:rsidP="00F05467">
      <w:pPr>
        <w:pStyle w:val="Bezodstpw"/>
        <w:jc w:val="both"/>
      </w:pPr>
      <w:r>
        <w:t xml:space="preserve">Z tabeli wynika, że pod względem tych trzech miar </w:t>
      </w:r>
      <w:r w:rsidR="007A5500">
        <w:t>rynkowe wyceny akcji</w:t>
      </w:r>
      <w:r>
        <w:t xml:space="preserve"> spółe</w:t>
      </w:r>
      <w:r w:rsidR="007A5500">
        <w:t>k z rynków wschodzących są niższe niż akcji</w:t>
      </w:r>
      <w:r>
        <w:t xml:space="preserve"> spółek z rynków dojrzałych. </w:t>
      </w:r>
    </w:p>
    <w:p w:rsidR="00F05467" w:rsidRDefault="00F05467" w:rsidP="00F05467">
      <w:pPr>
        <w:pStyle w:val="Bezodstpw"/>
        <w:jc w:val="both"/>
      </w:pPr>
    </w:p>
    <w:p w:rsidR="00F05467" w:rsidRDefault="00F05467" w:rsidP="00F05467">
      <w:pPr>
        <w:pStyle w:val="Bezodstpw"/>
        <w:jc w:val="both"/>
      </w:pPr>
      <w:r>
        <w:t>Przykładowo, gdyby indeks akcji rynków wschodzących miał być notowany na poziomie wskaźnika Cena / Zysk netto typowym dla indeksu rynków dojrzałych (czyli dla indeksu ogólnoświatowego) powinien kształtować się obecnie na poziomie aż o 40,9 % wyższym niż poziom bieżący.</w:t>
      </w:r>
    </w:p>
    <w:p w:rsidR="00F05467" w:rsidRDefault="00F05467" w:rsidP="00F05467">
      <w:pPr>
        <w:pStyle w:val="Bezodstpw"/>
        <w:jc w:val="both"/>
      </w:pPr>
    </w:p>
    <w:p w:rsidR="00F05467" w:rsidRDefault="00F05467" w:rsidP="00F05467">
      <w:pPr>
        <w:pStyle w:val="Bezodstpw"/>
        <w:jc w:val="both"/>
      </w:pPr>
      <w:r>
        <w:t>Z kolei,  gdyby indeks akcji rynków wschodzących miał być notowany na poziomie wskaźnika Cena / Wartość Księgowa typowym dla indeksu rynków dojrzałych (czyli dla indeksu ogólnoświatowego) powinien kształtować się obecnie na poziomie aż o 41,6 % wyższym niż poziom bieżący.</w:t>
      </w:r>
    </w:p>
    <w:p w:rsidR="00F05467" w:rsidRDefault="00F05467" w:rsidP="00F05467">
      <w:pPr>
        <w:pStyle w:val="Bezodstpw"/>
        <w:jc w:val="both"/>
      </w:pPr>
    </w:p>
    <w:p w:rsidR="00F05467" w:rsidRDefault="00F05467" w:rsidP="00F05467">
      <w:pPr>
        <w:pStyle w:val="Bezodstpw"/>
        <w:jc w:val="both"/>
      </w:pPr>
      <w:r>
        <w:t xml:space="preserve">Fakt ten </w:t>
      </w:r>
      <w:r w:rsidRPr="007A5500">
        <w:rPr>
          <w:b/>
        </w:rPr>
        <w:t>może skłaniać</w:t>
      </w:r>
      <w:r>
        <w:t xml:space="preserve"> inwestorów lokujących swe kapitały w skali międzynarodowej do podejmowania decyzji o zwiększaniu udziału w swych portfelach akcji spółek z rynków wschodzących. </w:t>
      </w:r>
    </w:p>
    <w:p w:rsidR="00F05467" w:rsidRDefault="00F05467" w:rsidP="00F05467">
      <w:pPr>
        <w:pStyle w:val="Bezodstpw"/>
        <w:jc w:val="both"/>
      </w:pPr>
    </w:p>
    <w:p w:rsidR="00F05467" w:rsidRDefault="00F05467" w:rsidP="00F05467">
      <w:pPr>
        <w:pStyle w:val="Bezodstpw"/>
        <w:jc w:val="both"/>
      </w:pPr>
      <w:r>
        <w:t xml:space="preserve">Aby jednak do tego doszło muszą być, jak się wydaje, spełnione dwa warunki: musi być zatrzymany proces deprecjacji kursów walut krajów wschodzących a po drugie powinniśmy być świadkami wzrostu cen surowców (na przykład miedzi i ropy naftowej), co z reguły sprzyja bardziej rynkom wschodzącym, niż dojrzałym. </w:t>
      </w:r>
    </w:p>
    <w:p w:rsidR="00F05467" w:rsidRDefault="00F05467" w:rsidP="00F05467">
      <w:pPr>
        <w:pStyle w:val="Bezodstpw"/>
        <w:pBdr>
          <w:top w:val="single" w:sz="4" w:space="1" w:color="auto"/>
          <w:left w:val="single" w:sz="4" w:space="4" w:color="auto"/>
          <w:bottom w:val="single" w:sz="4" w:space="1" w:color="auto"/>
          <w:right w:val="single" w:sz="4" w:space="4" w:color="auto"/>
        </w:pBdr>
        <w:jc w:val="center"/>
      </w:pPr>
      <w:r>
        <w:lastRenderedPageBreak/>
        <w:t>Surowce a WIG 20</w:t>
      </w:r>
    </w:p>
    <w:p w:rsidR="00F05467" w:rsidRDefault="00F05467" w:rsidP="00F05467">
      <w:pPr>
        <w:pStyle w:val="Bezodstpw"/>
        <w:jc w:val="both"/>
      </w:pPr>
    </w:p>
    <w:p w:rsidR="00F05467" w:rsidRDefault="00F05467" w:rsidP="00F05467">
      <w:pPr>
        <w:pStyle w:val="Bezodstpw"/>
        <w:jc w:val="both"/>
      </w:pPr>
      <w:r>
        <w:t>W poprzednim numerze ,,Raportu Tygodniowego” zaprezentowałem m.in. powiązanie pomiędzy zachowaniem indeksu cen surowców (indeksu CRB) a zachowaniem indeksu WIG 20.</w:t>
      </w:r>
    </w:p>
    <w:p w:rsidR="00F05467" w:rsidRDefault="00F05467" w:rsidP="00F05467">
      <w:pPr>
        <w:pStyle w:val="Bezodstpw"/>
        <w:jc w:val="both"/>
      </w:pPr>
    </w:p>
    <w:p w:rsidR="00F05467" w:rsidRDefault="00F05467" w:rsidP="00F05467">
      <w:pPr>
        <w:pStyle w:val="Bezodstpw"/>
        <w:jc w:val="both"/>
      </w:pPr>
      <w:r>
        <w:t xml:space="preserve">W pełni podtrzymuję wnioski płynące z tamtej analizy. Przypomnę, że wynika z niej, że </w:t>
      </w:r>
      <w:r w:rsidRPr="007A5500">
        <w:rPr>
          <w:b/>
        </w:rPr>
        <w:t xml:space="preserve">nadchodzące wzrostu cen surowców </w:t>
      </w:r>
      <w:r>
        <w:t xml:space="preserve">powinny doprowadzić także do wzrostów indeksu WIG 20, m.in. dlatego, że zwyżki cen surowców (na przykład miedzi) prowadzą do nie tylko do wzrostów indeksów rynków wschodzących, lecz także do uwidocznienia przewagi indeksu rynków wschodzących nad indeksem rynków dojrzałych. </w:t>
      </w:r>
    </w:p>
    <w:p w:rsidR="00F05467" w:rsidRDefault="00F05467" w:rsidP="00F05467">
      <w:pPr>
        <w:pStyle w:val="Bezodstpw"/>
        <w:jc w:val="both"/>
      </w:pPr>
    </w:p>
    <w:p w:rsidR="00F05467" w:rsidRDefault="00F05467" w:rsidP="00F05467">
      <w:pPr>
        <w:pStyle w:val="Bezodstpw"/>
        <w:jc w:val="both"/>
      </w:pPr>
      <w:r>
        <w:t xml:space="preserve">W minionym tygodniu ceny surowców generalnie znajdowały się jeszcze w trendzie spadkowym. Sytuacja istotnie zmieniła się o godz. 15.55 </w:t>
      </w:r>
      <w:r w:rsidRPr="007A5500">
        <w:rPr>
          <w:b/>
          <w:u w:val="single"/>
        </w:rPr>
        <w:t>w piętek 14 listopada</w:t>
      </w:r>
      <w:r>
        <w:t xml:space="preserve">, kiedy to zaprezentowano lepsze od oczekiwań dane o wskaźnikach nastrojów amerykańskich konsumentów. W tym momencie </w:t>
      </w:r>
      <w:r w:rsidRPr="007A5500">
        <w:rPr>
          <w:b/>
          <w:u w:val="single"/>
        </w:rPr>
        <w:t>ceny miedzi, rop naftowej, srebra czy też na przykład złota silnie wystrzeliły w górę</w:t>
      </w:r>
      <w:r>
        <w:t xml:space="preserve">. W rezultacie indeks CRB znów znalazł się w okolicach silnego wsparcia z czerwca 2012 roku oraz wzrostowej linii trendu poprowadzonej przez dołki z </w:t>
      </w:r>
      <w:proofErr w:type="spellStart"/>
      <w:r>
        <w:t>z</w:t>
      </w:r>
      <w:proofErr w:type="spellEnd"/>
      <w:r>
        <w:t xml:space="preserve"> lutego 1999 roku oraz marca 2009 roku. </w:t>
      </w:r>
    </w:p>
    <w:p w:rsidR="00F05467" w:rsidRDefault="00F05467" w:rsidP="00F05467">
      <w:pPr>
        <w:pStyle w:val="Bezodstpw"/>
        <w:jc w:val="both"/>
      </w:pPr>
    </w:p>
    <w:p w:rsidR="00F05467" w:rsidRDefault="00F05467" w:rsidP="00F05467">
      <w:pPr>
        <w:pStyle w:val="Bezodstpw"/>
        <w:jc w:val="both"/>
      </w:pPr>
      <w:r>
        <w:rPr>
          <w:noProof/>
        </w:rPr>
        <w:drawing>
          <wp:inline distT="0" distB="0" distL="0" distR="0">
            <wp:extent cx="4810125" cy="2895600"/>
            <wp:effectExtent l="19050" t="0" r="9525" b="0"/>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10125" cy="2895600"/>
                    </a:xfrm>
                    <a:prstGeom prst="rect">
                      <a:avLst/>
                    </a:prstGeom>
                    <a:noFill/>
                  </pic:spPr>
                </pic:pic>
              </a:graphicData>
            </a:graphic>
          </wp:inline>
        </w:drawing>
      </w:r>
    </w:p>
    <w:p w:rsidR="00F05467" w:rsidRDefault="00F05467" w:rsidP="00F05467">
      <w:pPr>
        <w:pStyle w:val="Bezodstpw"/>
        <w:jc w:val="both"/>
      </w:pPr>
    </w:p>
    <w:p w:rsidR="00F05467" w:rsidRDefault="00F05467" w:rsidP="00F05467">
      <w:pPr>
        <w:pStyle w:val="Bezodstpw"/>
        <w:jc w:val="both"/>
      </w:pPr>
      <w:r>
        <w:t xml:space="preserve">W tej sytuacji  w kolejnych miesiącach można oczekiwać wzrostów cen surowców, co powinno sprzyjać wzrostom  cen akcji  na rynkach wschodzących, w tym na polskim rynku. </w:t>
      </w:r>
    </w:p>
    <w:p w:rsidR="00F05467" w:rsidRDefault="00F05467" w:rsidP="00F05467">
      <w:pPr>
        <w:pStyle w:val="Bezodstpw"/>
        <w:jc w:val="both"/>
      </w:pPr>
    </w:p>
    <w:p w:rsidR="00F05467" w:rsidRDefault="00F05467" w:rsidP="00F05467">
      <w:pPr>
        <w:pStyle w:val="Bezodstpw"/>
        <w:jc w:val="both"/>
      </w:pPr>
      <w:r>
        <w:t xml:space="preserve">WIG 20 w pierwszych czterech dniach poprzedniego tygodnia tracił na wartości, co mogło zachwiać wiarą części uczestników rynku w scenariusz wzrostowy w okresie przełomu roku (koniec października 2014 roku – koniec kwietnia 2015 roku). </w:t>
      </w:r>
    </w:p>
    <w:p w:rsidR="00F05467" w:rsidRDefault="00F05467" w:rsidP="00F05467">
      <w:pPr>
        <w:pStyle w:val="Bezodstpw"/>
        <w:jc w:val="both"/>
      </w:pPr>
    </w:p>
    <w:p w:rsidR="00F05467" w:rsidRDefault="00F05467" w:rsidP="00F05467">
      <w:pPr>
        <w:pStyle w:val="Bezodstpw"/>
        <w:jc w:val="both"/>
      </w:pPr>
      <w:r>
        <w:t>Sądzę jednak, że wzrost indeksu WIG 20 w piątek 14 listopada wiarę tą wyraźnie przywraca. Warto przy okazji przypomnieć cztery podstawowe argumenty mające przemawiać za nadejściem długoterminowej hossy w przypadku indeksu WIG 20</w:t>
      </w:r>
    </w:p>
    <w:p w:rsidR="00F05467" w:rsidRDefault="00F05467" w:rsidP="00F05467">
      <w:pPr>
        <w:pStyle w:val="Bezodstpw"/>
        <w:jc w:val="both"/>
      </w:pPr>
    </w:p>
    <w:p w:rsidR="00F05467" w:rsidRPr="0035481E" w:rsidRDefault="00F05467" w:rsidP="00F05467">
      <w:pPr>
        <w:pStyle w:val="Bezodstpw"/>
        <w:numPr>
          <w:ilvl w:val="0"/>
          <w:numId w:val="2"/>
        </w:numPr>
        <w:jc w:val="both"/>
        <w:rPr>
          <w:b/>
        </w:rPr>
      </w:pPr>
      <w:r>
        <w:t xml:space="preserve">Po pierwsze w końcu października 2014 roku (w końcu października drugiego roku po wyborach prezydenckich w USA) rozpoczyna się statystycznie </w:t>
      </w:r>
      <w:r w:rsidRPr="0035481E">
        <w:rPr>
          <w:b/>
        </w:rPr>
        <w:t>bardzo korzystna</w:t>
      </w:r>
      <w:r>
        <w:t xml:space="preserve"> dla posiadaczy akcji </w:t>
      </w:r>
      <w:r w:rsidRPr="0035481E">
        <w:rPr>
          <w:b/>
        </w:rPr>
        <w:t xml:space="preserve">faza czteroletniego cyklu prezydenckiego w USA. </w:t>
      </w:r>
    </w:p>
    <w:p w:rsidR="00F05467" w:rsidRDefault="00F05467" w:rsidP="00F05467">
      <w:pPr>
        <w:pStyle w:val="Bezodstpw"/>
        <w:jc w:val="both"/>
      </w:pPr>
    </w:p>
    <w:p w:rsidR="00F05467" w:rsidRDefault="00F05467" w:rsidP="00F05467">
      <w:pPr>
        <w:pStyle w:val="Bezodstpw"/>
        <w:numPr>
          <w:ilvl w:val="0"/>
          <w:numId w:val="2"/>
        </w:numPr>
        <w:jc w:val="both"/>
      </w:pPr>
      <w:r>
        <w:lastRenderedPageBreak/>
        <w:t xml:space="preserve">Po drugie: wszelkie krachy na polskim rynku akcji (ten rozpoczęty na wiosnę 1994 roku, ten rozpoczęty na wiosnę 2000 roku oraz ten rozpoczęty na przełomie 2007 oraz 2008 roku) rozpoczynały się od silnego przewartościowania cen akcji pod względem wskaźnika C/WK (cena do wartości księgowej przekraczała wyraźnie 2,0). Takiego </w:t>
      </w:r>
      <w:r w:rsidRPr="0035481E">
        <w:rPr>
          <w:b/>
        </w:rPr>
        <w:t xml:space="preserve">przewartościowania </w:t>
      </w:r>
      <w:r>
        <w:t xml:space="preserve">obecnie </w:t>
      </w:r>
      <w:r w:rsidRPr="0035481E">
        <w:rPr>
          <w:b/>
        </w:rPr>
        <w:t>na ma. C/WK wynosi 1,1.</w:t>
      </w:r>
      <w:r>
        <w:t xml:space="preserve"> </w:t>
      </w:r>
    </w:p>
    <w:p w:rsidR="00F05467" w:rsidRDefault="00F05467" w:rsidP="00F05467">
      <w:pPr>
        <w:pStyle w:val="Bezodstpw"/>
        <w:jc w:val="both"/>
      </w:pPr>
    </w:p>
    <w:p w:rsidR="00F05467" w:rsidRDefault="00F05467" w:rsidP="00F05467">
      <w:pPr>
        <w:pStyle w:val="Bezodstpw"/>
        <w:numPr>
          <w:ilvl w:val="0"/>
          <w:numId w:val="2"/>
        </w:numPr>
        <w:jc w:val="both"/>
      </w:pPr>
      <w:r>
        <w:t xml:space="preserve">Po trzecie: na świecie mamy do czynienia z trwającą </w:t>
      </w:r>
      <w:r w:rsidRPr="0035481E">
        <w:rPr>
          <w:b/>
        </w:rPr>
        <w:t>fazą łagodnej polityki pieniężnej</w:t>
      </w:r>
      <w:r>
        <w:t xml:space="preserve">. </w:t>
      </w:r>
    </w:p>
    <w:p w:rsidR="00F05467" w:rsidRDefault="00F05467" w:rsidP="00F05467">
      <w:pPr>
        <w:pStyle w:val="Bezodstpw"/>
        <w:jc w:val="both"/>
      </w:pPr>
    </w:p>
    <w:p w:rsidR="00F05467" w:rsidRDefault="00F05467" w:rsidP="00F05467">
      <w:pPr>
        <w:pStyle w:val="Bezodstpw"/>
        <w:numPr>
          <w:ilvl w:val="0"/>
          <w:numId w:val="2"/>
        </w:numPr>
        <w:jc w:val="both"/>
      </w:pPr>
      <w:r>
        <w:t xml:space="preserve">Po czwarte: spadające ceny </w:t>
      </w:r>
      <w:r w:rsidR="007A5500">
        <w:t xml:space="preserve">w okresie do końca października 2014 roku </w:t>
      </w:r>
      <w:r>
        <w:t xml:space="preserve">surowców oraz umacniający się dolar (wobec euro) zmniejszają presję inflacyjną w USA, co prawdopodobnie pozwoli dalej utrzymać stopy procentowe na niskim poziomie </w:t>
      </w:r>
      <w:r w:rsidRPr="0035481E">
        <w:rPr>
          <w:b/>
        </w:rPr>
        <w:t>zwiększając skłonność do podejmowania ryzyka na rynkach światowych</w:t>
      </w:r>
      <w:r>
        <w:t xml:space="preserve">. </w:t>
      </w:r>
    </w:p>
    <w:p w:rsidR="007A5500" w:rsidRDefault="007A5500" w:rsidP="00F05467">
      <w:pPr>
        <w:pStyle w:val="Bezodstpw"/>
        <w:jc w:val="both"/>
      </w:pPr>
    </w:p>
    <w:p w:rsidR="00F05467" w:rsidRDefault="007A5500" w:rsidP="00F05467">
      <w:pPr>
        <w:pStyle w:val="Bezodstpw"/>
        <w:jc w:val="both"/>
      </w:pPr>
      <w:r>
        <w:t>W</w:t>
      </w:r>
      <w:r w:rsidR="00F05467">
        <w:t xml:space="preserve">arto także zauważyć, że prawdopodobnie skończył się okres wzrostów kursu dolara amerykańskiego (w złotych). Dojście do długoterminowej linii spadkowej linii trendu powinno wywołać wzmożenie aktywności strony podażowej. Inaczej mówiąc w najbliższych kilku miesiącach powinnyśmy być świadkami napływu kapitału zagranicznego. </w:t>
      </w:r>
    </w:p>
    <w:p w:rsidR="00F05467" w:rsidRDefault="00F05467" w:rsidP="00F05467">
      <w:pPr>
        <w:pStyle w:val="Bezodstpw"/>
        <w:jc w:val="both"/>
      </w:pPr>
    </w:p>
    <w:p w:rsidR="00F05467" w:rsidRDefault="00F05467" w:rsidP="00F05467">
      <w:pPr>
        <w:pStyle w:val="Bezodstpw"/>
        <w:pBdr>
          <w:top w:val="single" w:sz="4" w:space="1" w:color="auto"/>
          <w:left w:val="single" w:sz="4" w:space="4" w:color="auto"/>
          <w:bottom w:val="single" w:sz="4" w:space="1" w:color="auto"/>
          <w:right w:val="single" w:sz="4" w:space="4" w:color="auto"/>
        </w:pBdr>
        <w:jc w:val="center"/>
      </w:pPr>
      <w:r>
        <w:t xml:space="preserve">Wykres do przemyślenia – refleksje </w:t>
      </w:r>
    </w:p>
    <w:p w:rsidR="00F05467" w:rsidRDefault="00F05467" w:rsidP="00F05467">
      <w:pPr>
        <w:pStyle w:val="Bezodstpw"/>
        <w:jc w:val="both"/>
      </w:pPr>
    </w:p>
    <w:p w:rsidR="00F05467" w:rsidRDefault="00F05467" w:rsidP="00F05467">
      <w:pPr>
        <w:pStyle w:val="Bezodstpw"/>
        <w:jc w:val="both"/>
      </w:pPr>
      <w:r>
        <w:t xml:space="preserve">W pierwszym numerze ,,Raportu Tygodniowego” z 8 września 2014 roku pojawiły się wykresy akcji czterech spółek. Były to wykresy akcji następujących spółek: </w:t>
      </w:r>
    </w:p>
    <w:p w:rsidR="00F05467" w:rsidRDefault="00F05467" w:rsidP="00F05467">
      <w:pPr>
        <w:pStyle w:val="Bezodstpw"/>
        <w:jc w:val="both"/>
      </w:pPr>
    </w:p>
    <w:p w:rsidR="00F05467" w:rsidRDefault="00F05467" w:rsidP="00F05467">
      <w:pPr>
        <w:pStyle w:val="Bezodstpw"/>
        <w:numPr>
          <w:ilvl w:val="0"/>
          <w:numId w:val="1"/>
        </w:numPr>
        <w:jc w:val="both"/>
      </w:pPr>
      <w:proofErr w:type="spellStart"/>
      <w:r>
        <w:t>Immobile</w:t>
      </w:r>
      <w:proofErr w:type="spellEnd"/>
    </w:p>
    <w:p w:rsidR="00F05467" w:rsidRDefault="00F05467" w:rsidP="00F05467">
      <w:pPr>
        <w:pStyle w:val="Bezodstpw"/>
        <w:numPr>
          <w:ilvl w:val="0"/>
          <w:numId w:val="1"/>
        </w:numPr>
        <w:jc w:val="both"/>
      </w:pPr>
      <w:r>
        <w:t>Lena</w:t>
      </w:r>
    </w:p>
    <w:p w:rsidR="00F05467" w:rsidRDefault="00F05467" w:rsidP="00F05467">
      <w:pPr>
        <w:pStyle w:val="Bezodstpw"/>
        <w:numPr>
          <w:ilvl w:val="0"/>
          <w:numId w:val="1"/>
        </w:numPr>
        <w:jc w:val="both"/>
      </w:pPr>
      <w:proofErr w:type="spellStart"/>
      <w:r>
        <w:t>Netmedia</w:t>
      </w:r>
      <w:proofErr w:type="spellEnd"/>
      <w:r>
        <w:t xml:space="preserve"> </w:t>
      </w:r>
    </w:p>
    <w:p w:rsidR="00F05467" w:rsidRDefault="00F05467" w:rsidP="00F05467">
      <w:pPr>
        <w:pStyle w:val="Bezodstpw"/>
        <w:numPr>
          <w:ilvl w:val="0"/>
          <w:numId w:val="1"/>
        </w:numPr>
        <w:jc w:val="both"/>
      </w:pPr>
      <w:r>
        <w:t>Rafako</w:t>
      </w:r>
    </w:p>
    <w:p w:rsidR="00F05467" w:rsidRDefault="00F05467" w:rsidP="00F05467">
      <w:pPr>
        <w:pStyle w:val="Bezodstpw"/>
        <w:jc w:val="both"/>
      </w:pPr>
    </w:p>
    <w:p w:rsidR="00F05467" w:rsidRDefault="00F05467" w:rsidP="00F05467">
      <w:pPr>
        <w:pStyle w:val="Bezodstpw"/>
        <w:jc w:val="both"/>
      </w:pPr>
      <w:r>
        <w:t xml:space="preserve">Kryterium pojawienia się wykresu akcji danej spółki w tej rubryce jest </w:t>
      </w:r>
      <w:r w:rsidRPr="0053119C">
        <w:rPr>
          <w:b/>
        </w:rPr>
        <w:t>wybicie z formacji podwójnego dna</w:t>
      </w:r>
      <w:r>
        <w:t xml:space="preserve">. </w:t>
      </w:r>
    </w:p>
    <w:p w:rsidR="00F05467" w:rsidRDefault="00F05467" w:rsidP="00F05467">
      <w:pPr>
        <w:pStyle w:val="Bezodstpw"/>
        <w:jc w:val="both"/>
      </w:pPr>
    </w:p>
    <w:p w:rsidR="00F05467" w:rsidRDefault="00F05467" w:rsidP="00F05467">
      <w:pPr>
        <w:pStyle w:val="Bezodstpw"/>
        <w:jc w:val="both"/>
      </w:pPr>
      <w:r>
        <w:t xml:space="preserve">Tabela: Procentowa zmiana cen akcji czterech spółek, których akcje zostały wymienione w pierwszym numerze ,,Raportu Tygodniowego” z 8 września 2014 roku w rubryce ,,Wykres do przemyślenia” w okresie od 5 września do 14 listopada 2014 roku oraz procentowa zmiana indeksu WIG 20 w tym okresie. </w:t>
      </w:r>
    </w:p>
    <w:tbl>
      <w:tblPr>
        <w:tblStyle w:val="Tabela-Siatka"/>
        <w:tblW w:w="0" w:type="auto"/>
        <w:tblLook w:val="04A0"/>
      </w:tblPr>
      <w:tblGrid>
        <w:gridCol w:w="3402"/>
        <w:gridCol w:w="2302"/>
        <w:gridCol w:w="2303"/>
        <w:gridCol w:w="1134"/>
      </w:tblGrid>
      <w:tr w:rsidR="00F05467" w:rsidTr="006D29B1">
        <w:tc>
          <w:tcPr>
            <w:tcW w:w="3402" w:type="dxa"/>
          </w:tcPr>
          <w:p w:rsidR="00F05467" w:rsidRDefault="00F05467" w:rsidP="006D29B1">
            <w:pPr>
              <w:pStyle w:val="Bezodstpw"/>
              <w:jc w:val="center"/>
            </w:pPr>
            <w:r>
              <w:t>Instrument finansowy</w:t>
            </w:r>
          </w:p>
        </w:tc>
        <w:tc>
          <w:tcPr>
            <w:tcW w:w="2302" w:type="dxa"/>
          </w:tcPr>
          <w:p w:rsidR="00F05467" w:rsidRDefault="00F05467" w:rsidP="006D29B1">
            <w:pPr>
              <w:pStyle w:val="Bezodstpw"/>
              <w:jc w:val="center"/>
            </w:pPr>
            <w:r>
              <w:t>Poziom – 05.09.2014</w:t>
            </w:r>
          </w:p>
        </w:tc>
        <w:tc>
          <w:tcPr>
            <w:tcW w:w="2303" w:type="dxa"/>
          </w:tcPr>
          <w:p w:rsidR="00F05467" w:rsidRDefault="00F05467" w:rsidP="006D29B1">
            <w:pPr>
              <w:pStyle w:val="Bezodstpw"/>
              <w:jc w:val="center"/>
            </w:pPr>
            <w:r>
              <w:t>Poziom – 14.11.2014</w:t>
            </w:r>
          </w:p>
        </w:tc>
        <w:tc>
          <w:tcPr>
            <w:tcW w:w="1134" w:type="dxa"/>
          </w:tcPr>
          <w:p w:rsidR="00F05467" w:rsidRDefault="00F05467" w:rsidP="006D29B1">
            <w:pPr>
              <w:pStyle w:val="Bezodstpw"/>
              <w:jc w:val="center"/>
            </w:pPr>
            <w:r>
              <w:t>Zmiana (w %)</w:t>
            </w:r>
          </w:p>
        </w:tc>
      </w:tr>
      <w:tr w:rsidR="00F05467" w:rsidTr="006D29B1">
        <w:tc>
          <w:tcPr>
            <w:tcW w:w="3402" w:type="dxa"/>
          </w:tcPr>
          <w:p w:rsidR="00F05467" w:rsidRDefault="00F05467" w:rsidP="006D29B1">
            <w:pPr>
              <w:pStyle w:val="Bezodstpw"/>
              <w:jc w:val="center"/>
            </w:pPr>
            <w:r>
              <w:t xml:space="preserve">Akcja spółki </w:t>
            </w:r>
            <w:proofErr w:type="spellStart"/>
            <w:r>
              <w:t>Immobile</w:t>
            </w:r>
            <w:proofErr w:type="spellEnd"/>
          </w:p>
        </w:tc>
        <w:tc>
          <w:tcPr>
            <w:tcW w:w="2302" w:type="dxa"/>
          </w:tcPr>
          <w:p w:rsidR="00F05467" w:rsidRDefault="00F05467" w:rsidP="006D29B1">
            <w:pPr>
              <w:pStyle w:val="Bezodstpw"/>
              <w:jc w:val="center"/>
            </w:pPr>
            <w:r>
              <w:t>2,04 zł.</w:t>
            </w:r>
          </w:p>
        </w:tc>
        <w:tc>
          <w:tcPr>
            <w:tcW w:w="2303" w:type="dxa"/>
          </w:tcPr>
          <w:p w:rsidR="00F05467" w:rsidRDefault="00F05467" w:rsidP="006D29B1">
            <w:pPr>
              <w:pStyle w:val="Bezodstpw"/>
              <w:jc w:val="center"/>
            </w:pPr>
            <w:r>
              <w:t>2,35 zł.</w:t>
            </w:r>
          </w:p>
        </w:tc>
        <w:tc>
          <w:tcPr>
            <w:tcW w:w="1134" w:type="dxa"/>
          </w:tcPr>
          <w:p w:rsidR="00F05467" w:rsidRDefault="00F05467" w:rsidP="006D29B1">
            <w:pPr>
              <w:pStyle w:val="Bezodstpw"/>
              <w:jc w:val="center"/>
            </w:pPr>
            <w:r>
              <w:t xml:space="preserve">  +15,2 %</w:t>
            </w:r>
          </w:p>
        </w:tc>
      </w:tr>
      <w:tr w:rsidR="00F05467" w:rsidTr="006D29B1">
        <w:tc>
          <w:tcPr>
            <w:tcW w:w="3402" w:type="dxa"/>
          </w:tcPr>
          <w:p w:rsidR="00F05467" w:rsidRDefault="00F05467" w:rsidP="006D29B1">
            <w:pPr>
              <w:pStyle w:val="Bezodstpw"/>
              <w:jc w:val="center"/>
            </w:pPr>
            <w:r>
              <w:t>Akcja spółki Lena</w:t>
            </w:r>
          </w:p>
        </w:tc>
        <w:tc>
          <w:tcPr>
            <w:tcW w:w="2302" w:type="dxa"/>
          </w:tcPr>
          <w:p w:rsidR="00F05467" w:rsidRDefault="00F05467" w:rsidP="006D29B1">
            <w:pPr>
              <w:pStyle w:val="Bezodstpw"/>
              <w:jc w:val="center"/>
            </w:pPr>
            <w:r>
              <w:t xml:space="preserve">3,99 zł. </w:t>
            </w:r>
          </w:p>
        </w:tc>
        <w:tc>
          <w:tcPr>
            <w:tcW w:w="2303" w:type="dxa"/>
          </w:tcPr>
          <w:p w:rsidR="00F05467" w:rsidRDefault="00F05467" w:rsidP="006D29B1">
            <w:pPr>
              <w:pStyle w:val="Bezodstpw"/>
              <w:jc w:val="center"/>
            </w:pPr>
            <w:r>
              <w:t>4,03 zł.</w:t>
            </w:r>
          </w:p>
        </w:tc>
        <w:tc>
          <w:tcPr>
            <w:tcW w:w="1134" w:type="dxa"/>
          </w:tcPr>
          <w:p w:rsidR="00F05467" w:rsidRDefault="00F05467" w:rsidP="006D29B1">
            <w:pPr>
              <w:pStyle w:val="Bezodstpw"/>
              <w:jc w:val="center"/>
            </w:pPr>
            <w:r>
              <w:t xml:space="preserve">   + 1,0 %</w:t>
            </w:r>
          </w:p>
        </w:tc>
      </w:tr>
      <w:tr w:rsidR="00F05467" w:rsidTr="006D29B1">
        <w:tc>
          <w:tcPr>
            <w:tcW w:w="3402" w:type="dxa"/>
          </w:tcPr>
          <w:p w:rsidR="00F05467" w:rsidRDefault="00F05467" w:rsidP="006D29B1">
            <w:pPr>
              <w:pStyle w:val="Bezodstpw"/>
              <w:jc w:val="center"/>
            </w:pPr>
            <w:r>
              <w:t xml:space="preserve">Akcja spółki  </w:t>
            </w:r>
            <w:proofErr w:type="spellStart"/>
            <w:r>
              <w:t>Netmedia</w:t>
            </w:r>
            <w:proofErr w:type="spellEnd"/>
          </w:p>
        </w:tc>
        <w:tc>
          <w:tcPr>
            <w:tcW w:w="2302" w:type="dxa"/>
          </w:tcPr>
          <w:p w:rsidR="00F05467" w:rsidRDefault="00F05467" w:rsidP="006D29B1">
            <w:pPr>
              <w:pStyle w:val="Bezodstpw"/>
              <w:jc w:val="center"/>
            </w:pPr>
            <w:r>
              <w:t xml:space="preserve">3,63 zł. </w:t>
            </w:r>
          </w:p>
        </w:tc>
        <w:tc>
          <w:tcPr>
            <w:tcW w:w="2303" w:type="dxa"/>
          </w:tcPr>
          <w:p w:rsidR="00F05467" w:rsidRDefault="00F05467" w:rsidP="006D29B1">
            <w:pPr>
              <w:pStyle w:val="Bezodstpw"/>
              <w:jc w:val="center"/>
            </w:pPr>
            <w:r>
              <w:t>3,46 zł.</w:t>
            </w:r>
          </w:p>
        </w:tc>
        <w:tc>
          <w:tcPr>
            <w:tcW w:w="1134" w:type="dxa"/>
          </w:tcPr>
          <w:p w:rsidR="00F05467" w:rsidRDefault="00F05467" w:rsidP="006D29B1">
            <w:pPr>
              <w:pStyle w:val="Bezodstpw"/>
              <w:jc w:val="center"/>
            </w:pPr>
            <w:r>
              <w:t xml:space="preserve">    -4,7 %</w:t>
            </w:r>
          </w:p>
        </w:tc>
      </w:tr>
      <w:tr w:rsidR="00F05467" w:rsidTr="006D29B1">
        <w:tc>
          <w:tcPr>
            <w:tcW w:w="3402" w:type="dxa"/>
          </w:tcPr>
          <w:p w:rsidR="00F05467" w:rsidRDefault="00F05467" w:rsidP="006D29B1">
            <w:pPr>
              <w:pStyle w:val="Bezodstpw"/>
              <w:jc w:val="center"/>
            </w:pPr>
            <w:r>
              <w:t>Akcja spółki Rafako</w:t>
            </w:r>
          </w:p>
        </w:tc>
        <w:tc>
          <w:tcPr>
            <w:tcW w:w="2302" w:type="dxa"/>
            <w:tcBorders>
              <w:bottom w:val="single" w:sz="4" w:space="0" w:color="auto"/>
            </w:tcBorders>
          </w:tcPr>
          <w:p w:rsidR="00F05467" w:rsidRDefault="00F05467" w:rsidP="006D29B1">
            <w:pPr>
              <w:pStyle w:val="Bezodstpw"/>
              <w:jc w:val="center"/>
            </w:pPr>
            <w:r>
              <w:t xml:space="preserve">4,25 zł. </w:t>
            </w:r>
          </w:p>
        </w:tc>
        <w:tc>
          <w:tcPr>
            <w:tcW w:w="2303" w:type="dxa"/>
            <w:tcBorders>
              <w:bottom w:val="single" w:sz="4" w:space="0" w:color="auto"/>
            </w:tcBorders>
          </w:tcPr>
          <w:p w:rsidR="00F05467" w:rsidRDefault="00F05467" w:rsidP="006D29B1">
            <w:pPr>
              <w:pStyle w:val="Bezodstpw"/>
              <w:jc w:val="center"/>
            </w:pPr>
            <w:r>
              <w:t>5,82 zł.</w:t>
            </w:r>
          </w:p>
        </w:tc>
        <w:tc>
          <w:tcPr>
            <w:tcW w:w="1134" w:type="dxa"/>
          </w:tcPr>
          <w:p w:rsidR="00F05467" w:rsidRDefault="00F05467" w:rsidP="006D29B1">
            <w:pPr>
              <w:pStyle w:val="Bezodstpw"/>
              <w:jc w:val="center"/>
            </w:pPr>
            <w:r>
              <w:t>+36,9 %</w:t>
            </w:r>
          </w:p>
        </w:tc>
      </w:tr>
      <w:tr w:rsidR="00F05467" w:rsidTr="006D29B1">
        <w:tc>
          <w:tcPr>
            <w:tcW w:w="3402" w:type="dxa"/>
          </w:tcPr>
          <w:p w:rsidR="00F05467" w:rsidRPr="008F668F" w:rsidRDefault="00F05467" w:rsidP="006D29B1">
            <w:pPr>
              <w:pStyle w:val="Bezodstpw"/>
              <w:jc w:val="center"/>
              <w:rPr>
                <w:b/>
                <w:color w:val="FF0000"/>
              </w:rPr>
            </w:pPr>
            <w:r w:rsidRPr="008F668F">
              <w:rPr>
                <w:b/>
                <w:color w:val="FF0000"/>
              </w:rPr>
              <w:t>Średnio</w:t>
            </w:r>
          </w:p>
        </w:tc>
        <w:tc>
          <w:tcPr>
            <w:tcW w:w="2302" w:type="dxa"/>
            <w:tcBorders>
              <w:right w:val="nil"/>
            </w:tcBorders>
          </w:tcPr>
          <w:p w:rsidR="00F05467" w:rsidRPr="008F668F" w:rsidRDefault="00F05467" w:rsidP="006D29B1">
            <w:pPr>
              <w:pStyle w:val="Bezodstpw"/>
              <w:jc w:val="center"/>
              <w:rPr>
                <w:b/>
                <w:color w:val="FF0000"/>
              </w:rPr>
            </w:pPr>
          </w:p>
        </w:tc>
        <w:tc>
          <w:tcPr>
            <w:tcW w:w="2303" w:type="dxa"/>
            <w:tcBorders>
              <w:left w:val="nil"/>
            </w:tcBorders>
          </w:tcPr>
          <w:p w:rsidR="00F05467" w:rsidRPr="008F668F" w:rsidRDefault="00F05467" w:rsidP="006D29B1">
            <w:pPr>
              <w:pStyle w:val="Bezodstpw"/>
              <w:jc w:val="center"/>
              <w:rPr>
                <w:b/>
                <w:color w:val="FF0000"/>
              </w:rPr>
            </w:pPr>
          </w:p>
        </w:tc>
        <w:tc>
          <w:tcPr>
            <w:tcW w:w="1134" w:type="dxa"/>
          </w:tcPr>
          <w:p w:rsidR="00F05467" w:rsidRPr="008F668F" w:rsidRDefault="00F05467" w:rsidP="006D29B1">
            <w:pPr>
              <w:pStyle w:val="Bezodstpw"/>
              <w:jc w:val="center"/>
              <w:rPr>
                <w:b/>
                <w:color w:val="FF0000"/>
              </w:rPr>
            </w:pPr>
            <w:r>
              <w:rPr>
                <w:b/>
                <w:color w:val="FF0000"/>
              </w:rPr>
              <w:t xml:space="preserve"> +12,1 %</w:t>
            </w:r>
          </w:p>
        </w:tc>
      </w:tr>
      <w:tr w:rsidR="00F05467" w:rsidTr="006D29B1">
        <w:tc>
          <w:tcPr>
            <w:tcW w:w="3402" w:type="dxa"/>
          </w:tcPr>
          <w:p w:rsidR="00F05467" w:rsidRDefault="00F05467" w:rsidP="006D29B1">
            <w:pPr>
              <w:pStyle w:val="Bezodstpw"/>
              <w:jc w:val="center"/>
            </w:pPr>
            <w:r>
              <w:t>WIG 20</w:t>
            </w:r>
          </w:p>
        </w:tc>
        <w:tc>
          <w:tcPr>
            <w:tcW w:w="2302" w:type="dxa"/>
          </w:tcPr>
          <w:p w:rsidR="00F05467" w:rsidRDefault="00F05467" w:rsidP="006D29B1">
            <w:pPr>
              <w:pStyle w:val="Bezodstpw"/>
              <w:jc w:val="center"/>
            </w:pPr>
            <w:r>
              <w:t xml:space="preserve">2 541,42 pkt. </w:t>
            </w:r>
          </w:p>
        </w:tc>
        <w:tc>
          <w:tcPr>
            <w:tcW w:w="2303" w:type="dxa"/>
          </w:tcPr>
          <w:p w:rsidR="00F05467" w:rsidRDefault="00F05467" w:rsidP="006D29B1">
            <w:pPr>
              <w:pStyle w:val="Bezodstpw"/>
              <w:jc w:val="center"/>
            </w:pPr>
            <w:r>
              <w:t>2 418,40 pkt.</w:t>
            </w:r>
          </w:p>
        </w:tc>
        <w:tc>
          <w:tcPr>
            <w:tcW w:w="1134" w:type="dxa"/>
          </w:tcPr>
          <w:p w:rsidR="00F05467" w:rsidRDefault="00F05467" w:rsidP="006D29B1">
            <w:pPr>
              <w:pStyle w:val="Bezodstpw"/>
              <w:jc w:val="center"/>
            </w:pPr>
            <w:r>
              <w:t xml:space="preserve">  -4,8 %</w:t>
            </w:r>
          </w:p>
        </w:tc>
      </w:tr>
    </w:tbl>
    <w:p w:rsidR="00F05467" w:rsidRDefault="00F05467" w:rsidP="00F05467">
      <w:pPr>
        <w:pStyle w:val="Bezodstpw"/>
        <w:jc w:val="both"/>
      </w:pPr>
      <w:r>
        <w:t xml:space="preserve">Tabela: Procentowa zmiana ceny akcji spółki, której akcje zostały wymienione w drugim numerze ,,Raportu Tygodniowego” z 15 września 2014 roku w rubryce ,,Wykres do przemyślenia” w okresie od 12 września do 14 listopada 2014 roku oraz procentowa zmiana indeksu WIG 20 w tym okresie. </w:t>
      </w:r>
    </w:p>
    <w:tbl>
      <w:tblPr>
        <w:tblStyle w:val="Tabela-Siatka"/>
        <w:tblW w:w="0" w:type="auto"/>
        <w:tblLook w:val="04A0"/>
      </w:tblPr>
      <w:tblGrid>
        <w:gridCol w:w="3402"/>
        <w:gridCol w:w="2302"/>
        <w:gridCol w:w="2303"/>
        <w:gridCol w:w="1134"/>
      </w:tblGrid>
      <w:tr w:rsidR="00F05467" w:rsidTr="006D29B1">
        <w:tc>
          <w:tcPr>
            <w:tcW w:w="3402" w:type="dxa"/>
          </w:tcPr>
          <w:p w:rsidR="00F05467" w:rsidRDefault="00F05467" w:rsidP="006D29B1">
            <w:pPr>
              <w:pStyle w:val="Bezodstpw"/>
              <w:jc w:val="center"/>
            </w:pPr>
            <w:r>
              <w:t>Instrument finansowy</w:t>
            </w:r>
          </w:p>
        </w:tc>
        <w:tc>
          <w:tcPr>
            <w:tcW w:w="2302" w:type="dxa"/>
          </w:tcPr>
          <w:p w:rsidR="00F05467" w:rsidRDefault="00F05467" w:rsidP="006D29B1">
            <w:pPr>
              <w:pStyle w:val="Bezodstpw"/>
              <w:jc w:val="center"/>
            </w:pPr>
            <w:r>
              <w:t>Poziom – 12.09.2014</w:t>
            </w:r>
          </w:p>
        </w:tc>
        <w:tc>
          <w:tcPr>
            <w:tcW w:w="2303" w:type="dxa"/>
          </w:tcPr>
          <w:p w:rsidR="00F05467" w:rsidRDefault="00F05467" w:rsidP="006D29B1">
            <w:pPr>
              <w:pStyle w:val="Bezodstpw"/>
              <w:jc w:val="center"/>
            </w:pPr>
            <w:r>
              <w:t>Poziom – 14.11.2014</w:t>
            </w:r>
          </w:p>
        </w:tc>
        <w:tc>
          <w:tcPr>
            <w:tcW w:w="1134" w:type="dxa"/>
          </w:tcPr>
          <w:p w:rsidR="00F05467" w:rsidRDefault="00F05467" w:rsidP="006D29B1">
            <w:pPr>
              <w:pStyle w:val="Bezodstpw"/>
              <w:jc w:val="center"/>
            </w:pPr>
            <w:r>
              <w:t>Zmiana (w %)</w:t>
            </w:r>
          </w:p>
        </w:tc>
      </w:tr>
      <w:tr w:rsidR="00F05467" w:rsidTr="006D29B1">
        <w:tc>
          <w:tcPr>
            <w:tcW w:w="3402" w:type="dxa"/>
          </w:tcPr>
          <w:p w:rsidR="00F05467" w:rsidRDefault="00F05467" w:rsidP="006D29B1">
            <w:pPr>
              <w:pStyle w:val="Bezodstpw"/>
              <w:jc w:val="center"/>
            </w:pPr>
            <w:r>
              <w:t>Akcja spółki Boryszew</w:t>
            </w:r>
          </w:p>
        </w:tc>
        <w:tc>
          <w:tcPr>
            <w:tcW w:w="2302" w:type="dxa"/>
          </w:tcPr>
          <w:p w:rsidR="00F05467" w:rsidRDefault="00F05467" w:rsidP="006D29B1">
            <w:pPr>
              <w:pStyle w:val="Bezodstpw"/>
              <w:jc w:val="center"/>
            </w:pPr>
            <w:r>
              <w:t>6,50 zł.</w:t>
            </w:r>
          </w:p>
        </w:tc>
        <w:tc>
          <w:tcPr>
            <w:tcW w:w="2303" w:type="dxa"/>
          </w:tcPr>
          <w:p w:rsidR="00F05467" w:rsidRDefault="00F05467" w:rsidP="006D29B1">
            <w:pPr>
              <w:pStyle w:val="Bezodstpw"/>
              <w:jc w:val="center"/>
            </w:pPr>
            <w:r>
              <w:t xml:space="preserve">6,40 zł. </w:t>
            </w:r>
          </w:p>
        </w:tc>
        <w:tc>
          <w:tcPr>
            <w:tcW w:w="1134" w:type="dxa"/>
          </w:tcPr>
          <w:p w:rsidR="00F05467" w:rsidRDefault="00F05467" w:rsidP="006D29B1">
            <w:pPr>
              <w:pStyle w:val="Bezodstpw"/>
              <w:jc w:val="center"/>
            </w:pPr>
            <w:r>
              <w:t xml:space="preserve">  -1,5 %</w:t>
            </w:r>
          </w:p>
        </w:tc>
      </w:tr>
      <w:tr w:rsidR="00F05467" w:rsidRPr="008F668F" w:rsidTr="006D29B1">
        <w:tc>
          <w:tcPr>
            <w:tcW w:w="3402" w:type="dxa"/>
          </w:tcPr>
          <w:p w:rsidR="00F05467" w:rsidRPr="008F668F" w:rsidRDefault="00F05467" w:rsidP="006D29B1">
            <w:pPr>
              <w:pStyle w:val="Bezodstpw"/>
              <w:jc w:val="center"/>
              <w:rPr>
                <w:b/>
                <w:color w:val="FF0000"/>
              </w:rPr>
            </w:pPr>
            <w:r w:rsidRPr="008F668F">
              <w:rPr>
                <w:b/>
                <w:color w:val="FF0000"/>
              </w:rPr>
              <w:t>Średnio</w:t>
            </w:r>
          </w:p>
        </w:tc>
        <w:tc>
          <w:tcPr>
            <w:tcW w:w="2302" w:type="dxa"/>
            <w:tcBorders>
              <w:right w:val="nil"/>
            </w:tcBorders>
          </w:tcPr>
          <w:p w:rsidR="00F05467" w:rsidRPr="008F668F" w:rsidRDefault="00F05467" w:rsidP="006D29B1">
            <w:pPr>
              <w:pStyle w:val="Bezodstpw"/>
              <w:jc w:val="center"/>
              <w:rPr>
                <w:b/>
                <w:color w:val="FF0000"/>
              </w:rPr>
            </w:pPr>
          </w:p>
        </w:tc>
        <w:tc>
          <w:tcPr>
            <w:tcW w:w="2303" w:type="dxa"/>
            <w:tcBorders>
              <w:left w:val="nil"/>
            </w:tcBorders>
          </w:tcPr>
          <w:p w:rsidR="00F05467" w:rsidRPr="008F668F" w:rsidRDefault="00F05467" w:rsidP="006D29B1">
            <w:pPr>
              <w:pStyle w:val="Bezodstpw"/>
              <w:jc w:val="center"/>
              <w:rPr>
                <w:b/>
                <w:color w:val="FF0000"/>
              </w:rPr>
            </w:pPr>
          </w:p>
        </w:tc>
        <w:tc>
          <w:tcPr>
            <w:tcW w:w="1134" w:type="dxa"/>
          </w:tcPr>
          <w:p w:rsidR="00F05467" w:rsidRPr="008F668F" w:rsidRDefault="00F05467" w:rsidP="006D29B1">
            <w:pPr>
              <w:pStyle w:val="Bezodstpw"/>
              <w:jc w:val="center"/>
              <w:rPr>
                <w:b/>
                <w:color w:val="FF0000"/>
              </w:rPr>
            </w:pPr>
            <w:r>
              <w:rPr>
                <w:b/>
                <w:color w:val="FF0000"/>
              </w:rPr>
              <w:t xml:space="preserve">  -1,5 %</w:t>
            </w:r>
          </w:p>
        </w:tc>
      </w:tr>
      <w:tr w:rsidR="00F05467" w:rsidTr="006D29B1">
        <w:tc>
          <w:tcPr>
            <w:tcW w:w="3402" w:type="dxa"/>
          </w:tcPr>
          <w:p w:rsidR="00F05467" w:rsidRDefault="00F05467" w:rsidP="006D29B1">
            <w:pPr>
              <w:pStyle w:val="Bezodstpw"/>
              <w:jc w:val="center"/>
            </w:pPr>
            <w:r>
              <w:t>WIG 20</w:t>
            </w:r>
          </w:p>
        </w:tc>
        <w:tc>
          <w:tcPr>
            <w:tcW w:w="2302" w:type="dxa"/>
          </w:tcPr>
          <w:p w:rsidR="00F05467" w:rsidRDefault="00F05467" w:rsidP="006D29B1">
            <w:pPr>
              <w:pStyle w:val="Bezodstpw"/>
              <w:jc w:val="center"/>
            </w:pPr>
            <w:r>
              <w:t xml:space="preserve">2 497,38 pkt. </w:t>
            </w:r>
          </w:p>
        </w:tc>
        <w:tc>
          <w:tcPr>
            <w:tcW w:w="2303" w:type="dxa"/>
          </w:tcPr>
          <w:p w:rsidR="00F05467" w:rsidRDefault="00F05467" w:rsidP="006D29B1">
            <w:pPr>
              <w:pStyle w:val="Bezodstpw"/>
              <w:jc w:val="center"/>
            </w:pPr>
            <w:r>
              <w:t>2 418,40 pkt.</w:t>
            </w:r>
          </w:p>
        </w:tc>
        <w:tc>
          <w:tcPr>
            <w:tcW w:w="1134" w:type="dxa"/>
          </w:tcPr>
          <w:p w:rsidR="00F05467" w:rsidRDefault="00F05467" w:rsidP="006D29B1">
            <w:pPr>
              <w:pStyle w:val="Bezodstpw"/>
              <w:jc w:val="center"/>
            </w:pPr>
            <w:r>
              <w:t xml:space="preserve"> -3,2 %</w:t>
            </w:r>
          </w:p>
        </w:tc>
      </w:tr>
    </w:tbl>
    <w:p w:rsidR="00F05467" w:rsidRDefault="00F05467" w:rsidP="00F05467">
      <w:pPr>
        <w:pStyle w:val="Bezodstpw"/>
        <w:jc w:val="both"/>
      </w:pPr>
      <w:r>
        <w:lastRenderedPageBreak/>
        <w:t xml:space="preserve">Tabela: Procentowa zmiana ceny akcji spółki, której akcje zostały umieszczone 16 września na stronie internetowej </w:t>
      </w:r>
      <w:hyperlink r:id="rId11" w:history="1">
        <w:r w:rsidRPr="003C5ED1">
          <w:rPr>
            <w:rStyle w:val="Hipercze"/>
          </w:rPr>
          <w:t>www.analizy-rynkowe.pl</w:t>
        </w:r>
      </w:hyperlink>
      <w:r>
        <w:t xml:space="preserve"> w rubryce  ,,Wykres do przemyślenia” w okresie od 15 września do 14 listopada 2014 roku oraz procentowa zmiana indeksu WIG 20 w tym okresie. </w:t>
      </w:r>
    </w:p>
    <w:tbl>
      <w:tblPr>
        <w:tblStyle w:val="Tabela-Siatka"/>
        <w:tblW w:w="0" w:type="auto"/>
        <w:tblLook w:val="04A0"/>
      </w:tblPr>
      <w:tblGrid>
        <w:gridCol w:w="3402"/>
        <w:gridCol w:w="2302"/>
        <w:gridCol w:w="2303"/>
        <w:gridCol w:w="1134"/>
      </w:tblGrid>
      <w:tr w:rsidR="00F05467" w:rsidTr="006D29B1">
        <w:tc>
          <w:tcPr>
            <w:tcW w:w="3402" w:type="dxa"/>
          </w:tcPr>
          <w:p w:rsidR="00F05467" w:rsidRDefault="00F05467" w:rsidP="006D29B1">
            <w:pPr>
              <w:pStyle w:val="Bezodstpw"/>
              <w:jc w:val="center"/>
            </w:pPr>
            <w:r>
              <w:t>Instrument finansowy</w:t>
            </w:r>
          </w:p>
        </w:tc>
        <w:tc>
          <w:tcPr>
            <w:tcW w:w="2302" w:type="dxa"/>
          </w:tcPr>
          <w:p w:rsidR="00F05467" w:rsidRDefault="00F05467" w:rsidP="006D29B1">
            <w:pPr>
              <w:pStyle w:val="Bezodstpw"/>
              <w:jc w:val="center"/>
            </w:pPr>
            <w:r>
              <w:t>Poziom – 15.09.2014</w:t>
            </w:r>
          </w:p>
        </w:tc>
        <w:tc>
          <w:tcPr>
            <w:tcW w:w="2303" w:type="dxa"/>
          </w:tcPr>
          <w:p w:rsidR="00F05467" w:rsidRDefault="00F05467" w:rsidP="006D29B1">
            <w:pPr>
              <w:pStyle w:val="Bezodstpw"/>
              <w:jc w:val="center"/>
            </w:pPr>
            <w:r>
              <w:t>Poziom – 14.11.2014</w:t>
            </w:r>
          </w:p>
        </w:tc>
        <w:tc>
          <w:tcPr>
            <w:tcW w:w="1134" w:type="dxa"/>
          </w:tcPr>
          <w:p w:rsidR="00F05467" w:rsidRDefault="00F05467" w:rsidP="006D29B1">
            <w:pPr>
              <w:pStyle w:val="Bezodstpw"/>
              <w:jc w:val="center"/>
            </w:pPr>
            <w:r>
              <w:t>Zmiana (w %)</w:t>
            </w:r>
          </w:p>
        </w:tc>
      </w:tr>
      <w:tr w:rsidR="00F05467" w:rsidTr="006D29B1">
        <w:tc>
          <w:tcPr>
            <w:tcW w:w="3402" w:type="dxa"/>
          </w:tcPr>
          <w:p w:rsidR="00F05467" w:rsidRDefault="00F05467" w:rsidP="006D29B1">
            <w:pPr>
              <w:pStyle w:val="Bezodstpw"/>
              <w:jc w:val="center"/>
            </w:pPr>
            <w:r>
              <w:t xml:space="preserve">Akcja spółki </w:t>
            </w:r>
            <w:proofErr w:type="spellStart"/>
            <w:r>
              <w:t>Erbud</w:t>
            </w:r>
            <w:proofErr w:type="spellEnd"/>
          </w:p>
        </w:tc>
        <w:tc>
          <w:tcPr>
            <w:tcW w:w="2302" w:type="dxa"/>
          </w:tcPr>
          <w:p w:rsidR="00F05467" w:rsidRDefault="00F05467" w:rsidP="006D29B1">
            <w:pPr>
              <w:pStyle w:val="Bezodstpw"/>
              <w:jc w:val="center"/>
            </w:pPr>
            <w:r>
              <w:t>26,5 zł.</w:t>
            </w:r>
          </w:p>
        </w:tc>
        <w:tc>
          <w:tcPr>
            <w:tcW w:w="2303" w:type="dxa"/>
          </w:tcPr>
          <w:p w:rsidR="00F05467" w:rsidRDefault="00F05467" w:rsidP="006D29B1">
            <w:pPr>
              <w:pStyle w:val="Bezodstpw"/>
              <w:jc w:val="center"/>
            </w:pPr>
            <w:r>
              <w:t>26,11 zł.</w:t>
            </w:r>
          </w:p>
        </w:tc>
        <w:tc>
          <w:tcPr>
            <w:tcW w:w="1134" w:type="dxa"/>
          </w:tcPr>
          <w:p w:rsidR="00F05467" w:rsidRDefault="00F05467" w:rsidP="006D29B1">
            <w:pPr>
              <w:pStyle w:val="Bezodstpw"/>
              <w:jc w:val="center"/>
            </w:pPr>
            <w:r>
              <w:t xml:space="preserve"> -1,5 %</w:t>
            </w:r>
          </w:p>
        </w:tc>
      </w:tr>
      <w:tr w:rsidR="00F05467" w:rsidRPr="008F668F" w:rsidTr="006D29B1">
        <w:tc>
          <w:tcPr>
            <w:tcW w:w="3402" w:type="dxa"/>
          </w:tcPr>
          <w:p w:rsidR="00F05467" w:rsidRPr="008F668F" w:rsidRDefault="00F05467" w:rsidP="006D29B1">
            <w:pPr>
              <w:pStyle w:val="Bezodstpw"/>
              <w:jc w:val="center"/>
              <w:rPr>
                <w:b/>
                <w:color w:val="FF0000"/>
              </w:rPr>
            </w:pPr>
            <w:r w:rsidRPr="008F668F">
              <w:rPr>
                <w:b/>
                <w:color w:val="FF0000"/>
              </w:rPr>
              <w:t>Średnio</w:t>
            </w:r>
          </w:p>
        </w:tc>
        <w:tc>
          <w:tcPr>
            <w:tcW w:w="2302" w:type="dxa"/>
            <w:tcBorders>
              <w:right w:val="nil"/>
            </w:tcBorders>
          </w:tcPr>
          <w:p w:rsidR="00F05467" w:rsidRPr="008F668F" w:rsidRDefault="00F05467" w:rsidP="006D29B1">
            <w:pPr>
              <w:pStyle w:val="Bezodstpw"/>
              <w:jc w:val="center"/>
              <w:rPr>
                <w:b/>
                <w:color w:val="FF0000"/>
              </w:rPr>
            </w:pPr>
          </w:p>
        </w:tc>
        <w:tc>
          <w:tcPr>
            <w:tcW w:w="2303" w:type="dxa"/>
            <w:tcBorders>
              <w:left w:val="nil"/>
            </w:tcBorders>
          </w:tcPr>
          <w:p w:rsidR="00F05467" w:rsidRPr="008F668F" w:rsidRDefault="00F05467" w:rsidP="006D29B1">
            <w:pPr>
              <w:pStyle w:val="Bezodstpw"/>
              <w:jc w:val="center"/>
              <w:rPr>
                <w:b/>
                <w:color w:val="FF0000"/>
              </w:rPr>
            </w:pPr>
          </w:p>
        </w:tc>
        <w:tc>
          <w:tcPr>
            <w:tcW w:w="1134" w:type="dxa"/>
          </w:tcPr>
          <w:p w:rsidR="00F05467" w:rsidRPr="008F668F" w:rsidRDefault="00F05467" w:rsidP="006D29B1">
            <w:pPr>
              <w:pStyle w:val="Bezodstpw"/>
              <w:jc w:val="center"/>
              <w:rPr>
                <w:b/>
                <w:color w:val="FF0000"/>
              </w:rPr>
            </w:pPr>
            <w:r>
              <w:rPr>
                <w:b/>
                <w:color w:val="FF0000"/>
              </w:rPr>
              <w:t xml:space="preserve"> -1,5 %</w:t>
            </w:r>
          </w:p>
        </w:tc>
      </w:tr>
      <w:tr w:rsidR="00F05467" w:rsidTr="006D29B1">
        <w:tc>
          <w:tcPr>
            <w:tcW w:w="3402" w:type="dxa"/>
          </w:tcPr>
          <w:p w:rsidR="00F05467" w:rsidRDefault="00F05467" w:rsidP="006D29B1">
            <w:pPr>
              <w:pStyle w:val="Bezodstpw"/>
              <w:jc w:val="center"/>
            </w:pPr>
            <w:r>
              <w:t>WIG 20</w:t>
            </w:r>
          </w:p>
        </w:tc>
        <w:tc>
          <w:tcPr>
            <w:tcW w:w="2302" w:type="dxa"/>
          </w:tcPr>
          <w:p w:rsidR="00F05467" w:rsidRDefault="00F05467" w:rsidP="006D29B1">
            <w:pPr>
              <w:pStyle w:val="Bezodstpw"/>
              <w:jc w:val="center"/>
            </w:pPr>
            <w:r>
              <w:t xml:space="preserve">2 489,77 pkt. </w:t>
            </w:r>
          </w:p>
        </w:tc>
        <w:tc>
          <w:tcPr>
            <w:tcW w:w="2303" w:type="dxa"/>
          </w:tcPr>
          <w:p w:rsidR="00F05467" w:rsidRDefault="00F05467" w:rsidP="006D29B1">
            <w:pPr>
              <w:pStyle w:val="Bezodstpw"/>
              <w:jc w:val="center"/>
            </w:pPr>
            <w:r>
              <w:t>2 418,40 pkt.</w:t>
            </w:r>
          </w:p>
        </w:tc>
        <w:tc>
          <w:tcPr>
            <w:tcW w:w="1134" w:type="dxa"/>
          </w:tcPr>
          <w:p w:rsidR="00F05467" w:rsidRDefault="00F05467" w:rsidP="006D29B1">
            <w:pPr>
              <w:pStyle w:val="Bezodstpw"/>
              <w:jc w:val="center"/>
            </w:pPr>
            <w:r>
              <w:t>-2,9 %</w:t>
            </w:r>
          </w:p>
        </w:tc>
      </w:tr>
    </w:tbl>
    <w:p w:rsidR="00F05467" w:rsidRDefault="00F05467" w:rsidP="00F05467">
      <w:pPr>
        <w:pStyle w:val="Bezodstpw"/>
        <w:jc w:val="both"/>
      </w:pPr>
      <w:r>
        <w:t xml:space="preserve">Tabela: Procentowa zmiana ceny akcji spółki, której akcje zostały wymienione w trzecim numerze ,,Raportu Tygodniowego” z 22 września 2014 roku w rubryce ,,Wykres do przemyślenia” w okresie od 19 września do 14 listopada 2014 roku oraz procentowa zmiana indeksu WIG 20 w tym okresie. </w:t>
      </w:r>
    </w:p>
    <w:tbl>
      <w:tblPr>
        <w:tblStyle w:val="Tabela-Siatka"/>
        <w:tblW w:w="0" w:type="auto"/>
        <w:tblLook w:val="04A0"/>
      </w:tblPr>
      <w:tblGrid>
        <w:gridCol w:w="3402"/>
        <w:gridCol w:w="2302"/>
        <w:gridCol w:w="2303"/>
        <w:gridCol w:w="1134"/>
      </w:tblGrid>
      <w:tr w:rsidR="00F05467" w:rsidTr="006D29B1">
        <w:tc>
          <w:tcPr>
            <w:tcW w:w="3402" w:type="dxa"/>
          </w:tcPr>
          <w:p w:rsidR="00F05467" w:rsidRDefault="00F05467" w:rsidP="006D29B1">
            <w:pPr>
              <w:pStyle w:val="Bezodstpw"/>
              <w:jc w:val="center"/>
            </w:pPr>
            <w:r>
              <w:t>Instrument finansowy</w:t>
            </w:r>
          </w:p>
        </w:tc>
        <w:tc>
          <w:tcPr>
            <w:tcW w:w="2302" w:type="dxa"/>
          </w:tcPr>
          <w:p w:rsidR="00F05467" w:rsidRDefault="00F05467" w:rsidP="006D29B1">
            <w:pPr>
              <w:pStyle w:val="Bezodstpw"/>
              <w:jc w:val="center"/>
            </w:pPr>
            <w:r>
              <w:t>Poziom – 19.09.2014</w:t>
            </w:r>
          </w:p>
        </w:tc>
        <w:tc>
          <w:tcPr>
            <w:tcW w:w="2303" w:type="dxa"/>
          </w:tcPr>
          <w:p w:rsidR="00F05467" w:rsidRDefault="00F05467" w:rsidP="006D29B1">
            <w:pPr>
              <w:pStyle w:val="Bezodstpw"/>
              <w:jc w:val="center"/>
            </w:pPr>
            <w:r>
              <w:t>Poziom – 14.11.2014</w:t>
            </w:r>
          </w:p>
        </w:tc>
        <w:tc>
          <w:tcPr>
            <w:tcW w:w="1134" w:type="dxa"/>
          </w:tcPr>
          <w:p w:rsidR="00F05467" w:rsidRDefault="00F05467" w:rsidP="006D29B1">
            <w:pPr>
              <w:pStyle w:val="Bezodstpw"/>
              <w:jc w:val="center"/>
            </w:pPr>
            <w:r>
              <w:t>Zmiana (w %)</w:t>
            </w:r>
          </w:p>
        </w:tc>
      </w:tr>
      <w:tr w:rsidR="00F05467" w:rsidTr="006D29B1">
        <w:tc>
          <w:tcPr>
            <w:tcW w:w="3402" w:type="dxa"/>
          </w:tcPr>
          <w:p w:rsidR="00F05467" w:rsidRDefault="00F05467" w:rsidP="006D29B1">
            <w:pPr>
              <w:pStyle w:val="Bezodstpw"/>
              <w:jc w:val="center"/>
            </w:pPr>
            <w:r>
              <w:t>Akcja spółki IF Capital</w:t>
            </w:r>
          </w:p>
        </w:tc>
        <w:tc>
          <w:tcPr>
            <w:tcW w:w="2302" w:type="dxa"/>
          </w:tcPr>
          <w:p w:rsidR="00F05467" w:rsidRDefault="00F05467" w:rsidP="006D29B1">
            <w:pPr>
              <w:pStyle w:val="Bezodstpw"/>
              <w:jc w:val="center"/>
            </w:pPr>
            <w:r>
              <w:t>1,32 zł.</w:t>
            </w:r>
          </w:p>
        </w:tc>
        <w:tc>
          <w:tcPr>
            <w:tcW w:w="2303" w:type="dxa"/>
          </w:tcPr>
          <w:p w:rsidR="00F05467" w:rsidRDefault="00F05467" w:rsidP="006D29B1">
            <w:pPr>
              <w:pStyle w:val="Bezodstpw"/>
              <w:jc w:val="center"/>
            </w:pPr>
            <w:r>
              <w:t>1,30 zł.</w:t>
            </w:r>
          </w:p>
        </w:tc>
        <w:tc>
          <w:tcPr>
            <w:tcW w:w="1134" w:type="dxa"/>
          </w:tcPr>
          <w:p w:rsidR="00F05467" w:rsidRDefault="00F05467" w:rsidP="006D29B1">
            <w:pPr>
              <w:pStyle w:val="Bezodstpw"/>
              <w:jc w:val="center"/>
            </w:pPr>
            <w:r>
              <w:t>-1,5 %</w:t>
            </w:r>
          </w:p>
        </w:tc>
      </w:tr>
      <w:tr w:rsidR="00F05467" w:rsidRPr="008F668F" w:rsidTr="006D29B1">
        <w:tc>
          <w:tcPr>
            <w:tcW w:w="3402" w:type="dxa"/>
          </w:tcPr>
          <w:p w:rsidR="00F05467" w:rsidRPr="008F668F" w:rsidRDefault="00F05467" w:rsidP="006D29B1">
            <w:pPr>
              <w:pStyle w:val="Bezodstpw"/>
              <w:jc w:val="center"/>
              <w:rPr>
                <w:b/>
                <w:color w:val="FF0000"/>
              </w:rPr>
            </w:pPr>
            <w:r w:rsidRPr="008F668F">
              <w:rPr>
                <w:b/>
                <w:color w:val="FF0000"/>
              </w:rPr>
              <w:t>Średnio</w:t>
            </w:r>
          </w:p>
        </w:tc>
        <w:tc>
          <w:tcPr>
            <w:tcW w:w="2302" w:type="dxa"/>
            <w:tcBorders>
              <w:right w:val="nil"/>
            </w:tcBorders>
          </w:tcPr>
          <w:p w:rsidR="00F05467" w:rsidRPr="008F668F" w:rsidRDefault="00F05467" w:rsidP="006D29B1">
            <w:pPr>
              <w:pStyle w:val="Bezodstpw"/>
              <w:jc w:val="center"/>
              <w:rPr>
                <w:b/>
                <w:color w:val="FF0000"/>
              </w:rPr>
            </w:pPr>
          </w:p>
        </w:tc>
        <w:tc>
          <w:tcPr>
            <w:tcW w:w="2303" w:type="dxa"/>
            <w:tcBorders>
              <w:left w:val="nil"/>
            </w:tcBorders>
          </w:tcPr>
          <w:p w:rsidR="00F05467" w:rsidRPr="008F668F" w:rsidRDefault="00F05467" w:rsidP="006D29B1">
            <w:pPr>
              <w:pStyle w:val="Bezodstpw"/>
              <w:jc w:val="center"/>
              <w:rPr>
                <w:b/>
                <w:color w:val="FF0000"/>
              </w:rPr>
            </w:pPr>
          </w:p>
        </w:tc>
        <w:tc>
          <w:tcPr>
            <w:tcW w:w="1134" w:type="dxa"/>
          </w:tcPr>
          <w:p w:rsidR="00F05467" w:rsidRPr="008F668F" w:rsidRDefault="00F05467" w:rsidP="006D29B1">
            <w:pPr>
              <w:pStyle w:val="Bezodstpw"/>
              <w:jc w:val="center"/>
              <w:rPr>
                <w:b/>
                <w:color w:val="FF0000"/>
              </w:rPr>
            </w:pPr>
            <w:r>
              <w:rPr>
                <w:b/>
                <w:color w:val="FF0000"/>
              </w:rPr>
              <w:t>-1,5 %</w:t>
            </w:r>
          </w:p>
        </w:tc>
      </w:tr>
      <w:tr w:rsidR="00F05467" w:rsidTr="006D29B1">
        <w:tc>
          <w:tcPr>
            <w:tcW w:w="3402" w:type="dxa"/>
          </w:tcPr>
          <w:p w:rsidR="00F05467" w:rsidRDefault="00F05467" w:rsidP="006D29B1">
            <w:pPr>
              <w:pStyle w:val="Bezodstpw"/>
              <w:jc w:val="center"/>
            </w:pPr>
            <w:r>
              <w:t>WIG 20</w:t>
            </w:r>
          </w:p>
        </w:tc>
        <w:tc>
          <w:tcPr>
            <w:tcW w:w="2302" w:type="dxa"/>
          </w:tcPr>
          <w:p w:rsidR="00F05467" w:rsidRDefault="00F05467" w:rsidP="006D29B1">
            <w:pPr>
              <w:pStyle w:val="Bezodstpw"/>
              <w:jc w:val="center"/>
            </w:pPr>
            <w:r>
              <w:t xml:space="preserve">2 497,38 pkt. </w:t>
            </w:r>
          </w:p>
        </w:tc>
        <w:tc>
          <w:tcPr>
            <w:tcW w:w="2303" w:type="dxa"/>
          </w:tcPr>
          <w:p w:rsidR="00F05467" w:rsidRDefault="00F05467" w:rsidP="006D29B1">
            <w:pPr>
              <w:pStyle w:val="Bezodstpw"/>
              <w:jc w:val="center"/>
            </w:pPr>
            <w:r>
              <w:t>2 418,40 pkt.</w:t>
            </w:r>
          </w:p>
        </w:tc>
        <w:tc>
          <w:tcPr>
            <w:tcW w:w="1134" w:type="dxa"/>
          </w:tcPr>
          <w:p w:rsidR="00F05467" w:rsidRDefault="00F05467" w:rsidP="006D29B1">
            <w:pPr>
              <w:pStyle w:val="Bezodstpw"/>
              <w:jc w:val="center"/>
            </w:pPr>
            <w:r>
              <w:t>-3,2 %</w:t>
            </w:r>
          </w:p>
        </w:tc>
      </w:tr>
    </w:tbl>
    <w:p w:rsidR="00F05467" w:rsidRDefault="00F05467" w:rsidP="00F05467">
      <w:pPr>
        <w:pStyle w:val="Bezodstpw"/>
        <w:jc w:val="both"/>
      </w:pPr>
      <w:r>
        <w:t xml:space="preserve">Tabela: Procentowa zmiana ceny akcji spółki, której akcje zostały umieszczone 25 września na stronie internetowej </w:t>
      </w:r>
      <w:hyperlink r:id="rId12" w:history="1">
        <w:r w:rsidRPr="003C5ED1">
          <w:rPr>
            <w:rStyle w:val="Hipercze"/>
          </w:rPr>
          <w:t>www.analizy-rynkowe.pl</w:t>
        </w:r>
      </w:hyperlink>
      <w:r>
        <w:t xml:space="preserve"> w rubryce  ,,Wykres do przemyślenia” w okresie od 24 września do 14 listopada 2014 roku oraz procentowa zmiana indeksu WIG 20 w tym okresie. </w:t>
      </w:r>
    </w:p>
    <w:p w:rsidR="00F05467" w:rsidRDefault="00F05467" w:rsidP="00F05467">
      <w:pPr>
        <w:pStyle w:val="Bezodstpw"/>
        <w:jc w:val="both"/>
      </w:pPr>
    </w:p>
    <w:tbl>
      <w:tblPr>
        <w:tblStyle w:val="Tabela-Siatka"/>
        <w:tblW w:w="0" w:type="auto"/>
        <w:tblLook w:val="04A0"/>
      </w:tblPr>
      <w:tblGrid>
        <w:gridCol w:w="3402"/>
        <w:gridCol w:w="2302"/>
        <w:gridCol w:w="2303"/>
        <w:gridCol w:w="1134"/>
      </w:tblGrid>
      <w:tr w:rsidR="00F05467" w:rsidTr="006D29B1">
        <w:tc>
          <w:tcPr>
            <w:tcW w:w="3402" w:type="dxa"/>
          </w:tcPr>
          <w:p w:rsidR="00F05467" w:rsidRDefault="00F05467" w:rsidP="006D29B1">
            <w:pPr>
              <w:pStyle w:val="Bezodstpw"/>
              <w:jc w:val="center"/>
            </w:pPr>
            <w:r>
              <w:t>Instrument finansowy</w:t>
            </w:r>
          </w:p>
        </w:tc>
        <w:tc>
          <w:tcPr>
            <w:tcW w:w="2302" w:type="dxa"/>
          </w:tcPr>
          <w:p w:rsidR="00F05467" w:rsidRDefault="00F05467" w:rsidP="006D29B1">
            <w:pPr>
              <w:pStyle w:val="Bezodstpw"/>
              <w:jc w:val="center"/>
            </w:pPr>
            <w:r>
              <w:t>Poziom – 24.09.2014</w:t>
            </w:r>
          </w:p>
        </w:tc>
        <w:tc>
          <w:tcPr>
            <w:tcW w:w="2303" w:type="dxa"/>
          </w:tcPr>
          <w:p w:rsidR="00F05467" w:rsidRDefault="00F05467" w:rsidP="006D29B1">
            <w:pPr>
              <w:pStyle w:val="Bezodstpw"/>
              <w:jc w:val="center"/>
            </w:pPr>
            <w:r>
              <w:t>Poziom – 14.11.2014</w:t>
            </w:r>
          </w:p>
        </w:tc>
        <w:tc>
          <w:tcPr>
            <w:tcW w:w="1134" w:type="dxa"/>
          </w:tcPr>
          <w:p w:rsidR="00F05467" w:rsidRDefault="00F05467" w:rsidP="006D29B1">
            <w:pPr>
              <w:pStyle w:val="Bezodstpw"/>
              <w:jc w:val="center"/>
            </w:pPr>
            <w:r>
              <w:t>Zmiana (w %)</w:t>
            </w:r>
          </w:p>
        </w:tc>
      </w:tr>
      <w:tr w:rsidR="00F05467" w:rsidTr="006D29B1">
        <w:tc>
          <w:tcPr>
            <w:tcW w:w="3402" w:type="dxa"/>
          </w:tcPr>
          <w:p w:rsidR="00F05467" w:rsidRDefault="00F05467" w:rsidP="006D29B1">
            <w:pPr>
              <w:pStyle w:val="Bezodstpw"/>
              <w:jc w:val="center"/>
            </w:pPr>
            <w:r>
              <w:t>Akcja spółki Capital Partners</w:t>
            </w:r>
          </w:p>
        </w:tc>
        <w:tc>
          <w:tcPr>
            <w:tcW w:w="2302" w:type="dxa"/>
          </w:tcPr>
          <w:p w:rsidR="00F05467" w:rsidRDefault="00F05467" w:rsidP="006D29B1">
            <w:pPr>
              <w:pStyle w:val="Bezodstpw"/>
              <w:jc w:val="center"/>
            </w:pPr>
            <w:r>
              <w:t>1,85 zł.</w:t>
            </w:r>
          </w:p>
        </w:tc>
        <w:tc>
          <w:tcPr>
            <w:tcW w:w="2303" w:type="dxa"/>
          </w:tcPr>
          <w:p w:rsidR="00F05467" w:rsidRDefault="00F05467" w:rsidP="006D29B1">
            <w:pPr>
              <w:pStyle w:val="Bezodstpw"/>
              <w:jc w:val="center"/>
            </w:pPr>
            <w:r>
              <w:t>2,15 zł.</w:t>
            </w:r>
          </w:p>
        </w:tc>
        <w:tc>
          <w:tcPr>
            <w:tcW w:w="1134" w:type="dxa"/>
          </w:tcPr>
          <w:p w:rsidR="00F05467" w:rsidRDefault="00F05467" w:rsidP="006D29B1">
            <w:pPr>
              <w:pStyle w:val="Bezodstpw"/>
              <w:jc w:val="center"/>
            </w:pPr>
            <w:r>
              <w:t>+16,2 %</w:t>
            </w:r>
          </w:p>
        </w:tc>
      </w:tr>
      <w:tr w:rsidR="00F05467" w:rsidRPr="008F668F" w:rsidTr="006D29B1">
        <w:tc>
          <w:tcPr>
            <w:tcW w:w="3402" w:type="dxa"/>
          </w:tcPr>
          <w:p w:rsidR="00F05467" w:rsidRPr="008F668F" w:rsidRDefault="00F05467" w:rsidP="006D29B1">
            <w:pPr>
              <w:pStyle w:val="Bezodstpw"/>
              <w:jc w:val="center"/>
              <w:rPr>
                <w:b/>
                <w:color w:val="FF0000"/>
              </w:rPr>
            </w:pPr>
            <w:r w:rsidRPr="008F668F">
              <w:rPr>
                <w:b/>
                <w:color w:val="FF0000"/>
              </w:rPr>
              <w:t>Średnio</w:t>
            </w:r>
          </w:p>
        </w:tc>
        <w:tc>
          <w:tcPr>
            <w:tcW w:w="2302" w:type="dxa"/>
            <w:tcBorders>
              <w:right w:val="nil"/>
            </w:tcBorders>
          </w:tcPr>
          <w:p w:rsidR="00F05467" w:rsidRPr="008F668F" w:rsidRDefault="00F05467" w:rsidP="006D29B1">
            <w:pPr>
              <w:pStyle w:val="Bezodstpw"/>
              <w:jc w:val="center"/>
              <w:rPr>
                <w:b/>
                <w:color w:val="FF0000"/>
              </w:rPr>
            </w:pPr>
          </w:p>
        </w:tc>
        <w:tc>
          <w:tcPr>
            <w:tcW w:w="2303" w:type="dxa"/>
            <w:tcBorders>
              <w:left w:val="nil"/>
            </w:tcBorders>
          </w:tcPr>
          <w:p w:rsidR="00F05467" w:rsidRPr="008F668F" w:rsidRDefault="00F05467" w:rsidP="006D29B1">
            <w:pPr>
              <w:pStyle w:val="Bezodstpw"/>
              <w:jc w:val="center"/>
              <w:rPr>
                <w:b/>
                <w:color w:val="FF0000"/>
              </w:rPr>
            </w:pPr>
          </w:p>
        </w:tc>
        <w:tc>
          <w:tcPr>
            <w:tcW w:w="1134" w:type="dxa"/>
          </w:tcPr>
          <w:p w:rsidR="00F05467" w:rsidRPr="008F668F" w:rsidRDefault="00F05467" w:rsidP="006D29B1">
            <w:pPr>
              <w:pStyle w:val="Bezodstpw"/>
              <w:jc w:val="center"/>
              <w:rPr>
                <w:b/>
                <w:color w:val="FF0000"/>
              </w:rPr>
            </w:pPr>
            <w:r>
              <w:rPr>
                <w:b/>
                <w:color w:val="FF0000"/>
              </w:rPr>
              <w:t>+16,2 %</w:t>
            </w:r>
          </w:p>
        </w:tc>
      </w:tr>
      <w:tr w:rsidR="00F05467" w:rsidTr="006D29B1">
        <w:tc>
          <w:tcPr>
            <w:tcW w:w="3402" w:type="dxa"/>
          </w:tcPr>
          <w:p w:rsidR="00F05467" w:rsidRDefault="00F05467" w:rsidP="006D29B1">
            <w:pPr>
              <w:pStyle w:val="Bezodstpw"/>
              <w:jc w:val="center"/>
            </w:pPr>
            <w:r>
              <w:t>WIG 20</w:t>
            </w:r>
          </w:p>
        </w:tc>
        <w:tc>
          <w:tcPr>
            <w:tcW w:w="2302" w:type="dxa"/>
          </w:tcPr>
          <w:p w:rsidR="00F05467" w:rsidRDefault="00F05467" w:rsidP="006D29B1">
            <w:pPr>
              <w:pStyle w:val="Bezodstpw"/>
              <w:jc w:val="center"/>
            </w:pPr>
            <w:r>
              <w:t xml:space="preserve">2 489,77 pkt. </w:t>
            </w:r>
          </w:p>
        </w:tc>
        <w:tc>
          <w:tcPr>
            <w:tcW w:w="2303" w:type="dxa"/>
          </w:tcPr>
          <w:p w:rsidR="00F05467" w:rsidRDefault="00F05467" w:rsidP="006D29B1">
            <w:pPr>
              <w:pStyle w:val="Bezodstpw"/>
              <w:jc w:val="center"/>
            </w:pPr>
            <w:r>
              <w:t>2 418,40 pkt.</w:t>
            </w:r>
          </w:p>
        </w:tc>
        <w:tc>
          <w:tcPr>
            <w:tcW w:w="1134" w:type="dxa"/>
          </w:tcPr>
          <w:p w:rsidR="00F05467" w:rsidRDefault="00F05467" w:rsidP="006D29B1">
            <w:pPr>
              <w:pStyle w:val="Bezodstpw"/>
              <w:jc w:val="center"/>
            </w:pPr>
            <w:r>
              <w:t>-2,9 %</w:t>
            </w:r>
          </w:p>
        </w:tc>
      </w:tr>
    </w:tbl>
    <w:p w:rsidR="00F05467" w:rsidRDefault="00F05467" w:rsidP="00F05467">
      <w:pPr>
        <w:pStyle w:val="Bezodstpw"/>
        <w:jc w:val="both"/>
      </w:pPr>
    </w:p>
    <w:p w:rsidR="00F05467" w:rsidRDefault="00F05467" w:rsidP="00F05467">
      <w:pPr>
        <w:pStyle w:val="Bezodstpw"/>
        <w:jc w:val="both"/>
      </w:pPr>
      <w:r>
        <w:t xml:space="preserve">Tabela: Procentowa zmiana cen akcji trzech spółek, których akcje zostały wymienione w czwartym numerze ,,Raportu Tygodniowego” z 29 września 2014 roku w rubryce ,,Wykres do przemyślenia” w okresie od 26 września do 14 listopada 2014 roku oraz procentowa zmiana indeksu WIG 20 w tym okresie. </w:t>
      </w:r>
    </w:p>
    <w:tbl>
      <w:tblPr>
        <w:tblStyle w:val="Tabela-Siatka"/>
        <w:tblW w:w="0" w:type="auto"/>
        <w:tblLook w:val="04A0"/>
      </w:tblPr>
      <w:tblGrid>
        <w:gridCol w:w="3402"/>
        <w:gridCol w:w="2302"/>
        <w:gridCol w:w="2303"/>
        <w:gridCol w:w="1134"/>
      </w:tblGrid>
      <w:tr w:rsidR="00F05467" w:rsidTr="006D29B1">
        <w:tc>
          <w:tcPr>
            <w:tcW w:w="3402" w:type="dxa"/>
          </w:tcPr>
          <w:p w:rsidR="00F05467" w:rsidRDefault="00F05467" w:rsidP="006D29B1">
            <w:pPr>
              <w:pStyle w:val="Bezodstpw"/>
              <w:jc w:val="center"/>
            </w:pPr>
            <w:r>
              <w:t>Instrument finansowy</w:t>
            </w:r>
          </w:p>
        </w:tc>
        <w:tc>
          <w:tcPr>
            <w:tcW w:w="2302" w:type="dxa"/>
          </w:tcPr>
          <w:p w:rsidR="00F05467" w:rsidRDefault="00F05467" w:rsidP="006D29B1">
            <w:pPr>
              <w:pStyle w:val="Bezodstpw"/>
              <w:jc w:val="center"/>
            </w:pPr>
            <w:r>
              <w:t>Poziom – 26.09.2014</w:t>
            </w:r>
          </w:p>
        </w:tc>
        <w:tc>
          <w:tcPr>
            <w:tcW w:w="2303" w:type="dxa"/>
          </w:tcPr>
          <w:p w:rsidR="00F05467" w:rsidRDefault="00F05467" w:rsidP="006D29B1">
            <w:pPr>
              <w:pStyle w:val="Bezodstpw"/>
              <w:jc w:val="center"/>
            </w:pPr>
            <w:r>
              <w:t>Poziom – 14.11.2014</w:t>
            </w:r>
          </w:p>
        </w:tc>
        <w:tc>
          <w:tcPr>
            <w:tcW w:w="1134" w:type="dxa"/>
          </w:tcPr>
          <w:p w:rsidR="00F05467" w:rsidRDefault="00F05467" w:rsidP="006D29B1">
            <w:pPr>
              <w:pStyle w:val="Bezodstpw"/>
              <w:jc w:val="center"/>
            </w:pPr>
            <w:r>
              <w:t>Zmiana (w %)</w:t>
            </w:r>
          </w:p>
        </w:tc>
      </w:tr>
      <w:tr w:rsidR="00F05467" w:rsidTr="006D29B1">
        <w:tc>
          <w:tcPr>
            <w:tcW w:w="3402" w:type="dxa"/>
          </w:tcPr>
          <w:p w:rsidR="00F05467" w:rsidRDefault="00F05467" w:rsidP="006D29B1">
            <w:pPr>
              <w:pStyle w:val="Bezodstpw"/>
              <w:jc w:val="center"/>
            </w:pPr>
            <w:r>
              <w:t xml:space="preserve">Akcja spółki </w:t>
            </w:r>
            <w:proofErr w:type="spellStart"/>
            <w:r>
              <w:t>Asseco</w:t>
            </w:r>
            <w:proofErr w:type="spellEnd"/>
            <w:r>
              <w:t xml:space="preserve"> Poland </w:t>
            </w:r>
          </w:p>
        </w:tc>
        <w:tc>
          <w:tcPr>
            <w:tcW w:w="2302" w:type="dxa"/>
          </w:tcPr>
          <w:p w:rsidR="00F05467" w:rsidRDefault="00F05467" w:rsidP="006D29B1">
            <w:pPr>
              <w:pStyle w:val="Bezodstpw"/>
              <w:jc w:val="center"/>
            </w:pPr>
            <w:r>
              <w:t xml:space="preserve">45,64 zł. </w:t>
            </w:r>
          </w:p>
        </w:tc>
        <w:tc>
          <w:tcPr>
            <w:tcW w:w="2303" w:type="dxa"/>
          </w:tcPr>
          <w:p w:rsidR="00F05467" w:rsidRDefault="00F05467" w:rsidP="006D29B1">
            <w:pPr>
              <w:pStyle w:val="Bezodstpw"/>
              <w:jc w:val="center"/>
            </w:pPr>
            <w:r>
              <w:t>50,50 zł.</w:t>
            </w:r>
          </w:p>
        </w:tc>
        <w:tc>
          <w:tcPr>
            <w:tcW w:w="1134" w:type="dxa"/>
          </w:tcPr>
          <w:p w:rsidR="00F05467" w:rsidRDefault="00F05467" w:rsidP="006D29B1">
            <w:pPr>
              <w:pStyle w:val="Bezodstpw"/>
              <w:jc w:val="center"/>
            </w:pPr>
            <w:r>
              <w:t xml:space="preserve"> + 10,6 %</w:t>
            </w:r>
          </w:p>
        </w:tc>
      </w:tr>
      <w:tr w:rsidR="00F05467" w:rsidTr="006D29B1">
        <w:tc>
          <w:tcPr>
            <w:tcW w:w="3402" w:type="dxa"/>
          </w:tcPr>
          <w:p w:rsidR="00F05467" w:rsidRDefault="00F05467" w:rsidP="006D29B1">
            <w:pPr>
              <w:pStyle w:val="Bezodstpw"/>
              <w:jc w:val="center"/>
            </w:pPr>
            <w:r>
              <w:t>Akcja spółki  CD Projekt</w:t>
            </w:r>
          </w:p>
        </w:tc>
        <w:tc>
          <w:tcPr>
            <w:tcW w:w="2302" w:type="dxa"/>
          </w:tcPr>
          <w:p w:rsidR="00F05467" w:rsidRDefault="00F05467" w:rsidP="006D29B1">
            <w:pPr>
              <w:pStyle w:val="Bezodstpw"/>
              <w:jc w:val="center"/>
            </w:pPr>
            <w:r>
              <w:t xml:space="preserve">16,59 zł. </w:t>
            </w:r>
          </w:p>
        </w:tc>
        <w:tc>
          <w:tcPr>
            <w:tcW w:w="2303" w:type="dxa"/>
          </w:tcPr>
          <w:p w:rsidR="00F05467" w:rsidRDefault="00F05467" w:rsidP="006D29B1">
            <w:pPr>
              <w:pStyle w:val="Bezodstpw"/>
              <w:jc w:val="center"/>
            </w:pPr>
            <w:r>
              <w:t>16,44 zł.</w:t>
            </w:r>
          </w:p>
        </w:tc>
        <w:tc>
          <w:tcPr>
            <w:tcW w:w="1134" w:type="dxa"/>
          </w:tcPr>
          <w:p w:rsidR="00F05467" w:rsidRDefault="00F05467" w:rsidP="006D29B1">
            <w:pPr>
              <w:pStyle w:val="Bezodstpw"/>
              <w:jc w:val="center"/>
            </w:pPr>
            <w:r>
              <w:t>- 0,9 %</w:t>
            </w:r>
          </w:p>
        </w:tc>
      </w:tr>
      <w:tr w:rsidR="00F05467" w:rsidTr="006D29B1">
        <w:tc>
          <w:tcPr>
            <w:tcW w:w="3402" w:type="dxa"/>
          </w:tcPr>
          <w:p w:rsidR="00F05467" w:rsidRDefault="00F05467" w:rsidP="006D29B1">
            <w:pPr>
              <w:pStyle w:val="Bezodstpw"/>
              <w:jc w:val="center"/>
            </w:pPr>
            <w:r>
              <w:t xml:space="preserve">Akcja spółki </w:t>
            </w:r>
            <w:proofErr w:type="spellStart"/>
            <w:r>
              <w:t>Sygnity</w:t>
            </w:r>
            <w:proofErr w:type="spellEnd"/>
            <w:r>
              <w:t xml:space="preserve"> </w:t>
            </w:r>
          </w:p>
        </w:tc>
        <w:tc>
          <w:tcPr>
            <w:tcW w:w="2302" w:type="dxa"/>
            <w:tcBorders>
              <w:bottom w:val="single" w:sz="4" w:space="0" w:color="auto"/>
            </w:tcBorders>
          </w:tcPr>
          <w:p w:rsidR="00F05467" w:rsidRDefault="00F05467" w:rsidP="006D29B1">
            <w:pPr>
              <w:pStyle w:val="Bezodstpw"/>
              <w:jc w:val="center"/>
            </w:pPr>
            <w:r>
              <w:t>17,60 zł.</w:t>
            </w:r>
          </w:p>
        </w:tc>
        <w:tc>
          <w:tcPr>
            <w:tcW w:w="2303" w:type="dxa"/>
            <w:tcBorders>
              <w:bottom w:val="single" w:sz="4" w:space="0" w:color="auto"/>
            </w:tcBorders>
          </w:tcPr>
          <w:p w:rsidR="00F05467" w:rsidRDefault="00F05467" w:rsidP="006D29B1">
            <w:pPr>
              <w:pStyle w:val="Bezodstpw"/>
              <w:jc w:val="center"/>
            </w:pPr>
            <w:r>
              <w:t>16,13 zł.</w:t>
            </w:r>
          </w:p>
        </w:tc>
        <w:tc>
          <w:tcPr>
            <w:tcW w:w="1134" w:type="dxa"/>
          </w:tcPr>
          <w:p w:rsidR="00F05467" w:rsidRDefault="00F05467" w:rsidP="006D29B1">
            <w:pPr>
              <w:pStyle w:val="Bezodstpw"/>
              <w:jc w:val="center"/>
            </w:pPr>
            <w:r>
              <w:t>- 8,4 %</w:t>
            </w:r>
          </w:p>
        </w:tc>
      </w:tr>
      <w:tr w:rsidR="00F05467" w:rsidTr="006D29B1">
        <w:tc>
          <w:tcPr>
            <w:tcW w:w="3402" w:type="dxa"/>
          </w:tcPr>
          <w:p w:rsidR="00F05467" w:rsidRPr="008F668F" w:rsidRDefault="00F05467" w:rsidP="006D29B1">
            <w:pPr>
              <w:pStyle w:val="Bezodstpw"/>
              <w:jc w:val="center"/>
              <w:rPr>
                <w:b/>
                <w:color w:val="FF0000"/>
              </w:rPr>
            </w:pPr>
            <w:r w:rsidRPr="008F668F">
              <w:rPr>
                <w:b/>
                <w:color w:val="FF0000"/>
              </w:rPr>
              <w:t>Średnio</w:t>
            </w:r>
          </w:p>
        </w:tc>
        <w:tc>
          <w:tcPr>
            <w:tcW w:w="2302" w:type="dxa"/>
            <w:tcBorders>
              <w:right w:val="nil"/>
            </w:tcBorders>
          </w:tcPr>
          <w:p w:rsidR="00F05467" w:rsidRPr="008F668F" w:rsidRDefault="00F05467" w:rsidP="006D29B1">
            <w:pPr>
              <w:pStyle w:val="Bezodstpw"/>
              <w:jc w:val="center"/>
              <w:rPr>
                <w:b/>
                <w:color w:val="FF0000"/>
              </w:rPr>
            </w:pPr>
          </w:p>
        </w:tc>
        <w:tc>
          <w:tcPr>
            <w:tcW w:w="2303" w:type="dxa"/>
            <w:tcBorders>
              <w:left w:val="nil"/>
            </w:tcBorders>
          </w:tcPr>
          <w:p w:rsidR="00F05467" w:rsidRPr="008F668F" w:rsidRDefault="00F05467" w:rsidP="006D29B1">
            <w:pPr>
              <w:pStyle w:val="Bezodstpw"/>
              <w:jc w:val="center"/>
              <w:rPr>
                <w:b/>
                <w:color w:val="FF0000"/>
              </w:rPr>
            </w:pPr>
          </w:p>
        </w:tc>
        <w:tc>
          <w:tcPr>
            <w:tcW w:w="1134" w:type="dxa"/>
          </w:tcPr>
          <w:p w:rsidR="00F05467" w:rsidRPr="008F668F" w:rsidRDefault="00F05467" w:rsidP="006D29B1">
            <w:pPr>
              <w:pStyle w:val="Bezodstpw"/>
              <w:jc w:val="center"/>
              <w:rPr>
                <w:b/>
                <w:color w:val="FF0000"/>
              </w:rPr>
            </w:pPr>
            <w:r>
              <w:rPr>
                <w:b/>
                <w:color w:val="FF0000"/>
              </w:rPr>
              <w:t xml:space="preserve"> +0,5 %</w:t>
            </w:r>
          </w:p>
        </w:tc>
      </w:tr>
      <w:tr w:rsidR="00F05467" w:rsidTr="006D29B1">
        <w:tc>
          <w:tcPr>
            <w:tcW w:w="3402" w:type="dxa"/>
          </w:tcPr>
          <w:p w:rsidR="00F05467" w:rsidRDefault="00F05467" w:rsidP="006D29B1">
            <w:pPr>
              <w:pStyle w:val="Bezodstpw"/>
              <w:jc w:val="center"/>
            </w:pPr>
            <w:r>
              <w:t>WIG 20</w:t>
            </w:r>
          </w:p>
        </w:tc>
        <w:tc>
          <w:tcPr>
            <w:tcW w:w="2302" w:type="dxa"/>
          </w:tcPr>
          <w:p w:rsidR="00F05467" w:rsidRDefault="00F05467" w:rsidP="006D29B1">
            <w:pPr>
              <w:pStyle w:val="Bezodstpw"/>
              <w:jc w:val="center"/>
            </w:pPr>
            <w:r>
              <w:t xml:space="preserve">2484,02 pkt. </w:t>
            </w:r>
          </w:p>
        </w:tc>
        <w:tc>
          <w:tcPr>
            <w:tcW w:w="2303" w:type="dxa"/>
          </w:tcPr>
          <w:p w:rsidR="00F05467" w:rsidRDefault="00F05467" w:rsidP="006D29B1">
            <w:pPr>
              <w:pStyle w:val="Bezodstpw"/>
              <w:jc w:val="center"/>
            </w:pPr>
            <w:r>
              <w:t>2 418,40 pkt.</w:t>
            </w:r>
          </w:p>
        </w:tc>
        <w:tc>
          <w:tcPr>
            <w:tcW w:w="1134" w:type="dxa"/>
          </w:tcPr>
          <w:p w:rsidR="00F05467" w:rsidRDefault="00F05467" w:rsidP="006D29B1">
            <w:pPr>
              <w:pStyle w:val="Bezodstpw"/>
              <w:jc w:val="center"/>
            </w:pPr>
            <w:r>
              <w:t xml:space="preserve">  -2,6 %</w:t>
            </w:r>
          </w:p>
        </w:tc>
      </w:tr>
    </w:tbl>
    <w:p w:rsidR="00F05467" w:rsidRDefault="00F05467" w:rsidP="00F05467">
      <w:pPr>
        <w:pStyle w:val="Bezodstpw"/>
        <w:jc w:val="both"/>
      </w:pPr>
    </w:p>
    <w:p w:rsidR="006067C4" w:rsidRDefault="006067C4" w:rsidP="00F05467">
      <w:pPr>
        <w:pStyle w:val="Bezodstpw"/>
        <w:jc w:val="both"/>
      </w:pPr>
    </w:p>
    <w:p w:rsidR="006067C4" w:rsidRDefault="006067C4" w:rsidP="00F05467">
      <w:pPr>
        <w:pStyle w:val="Bezodstpw"/>
        <w:jc w:val="both"/>
      </w:pPr>
    </w:p>
    <w:p w:rsidR="00F05467" w:rsidRDefault="00F05467" w:rsidP="00F05467">
      <w:pPr>
        <w:pStyle w:val="Bezodstpw"/>
        <w:jc w:val="both"/>
      </w:pPr>
      <w:r>
        <w:t xml:space="preserve">Procentowa zmiana ceny akcji spółki, której akcje zostały wymienione w piątym numerze ,,Raportu Tygodniowego” z 6 października 2014 roku w rubryce ,,Wykres do przemyślenia” w okresie od 3 października do 14 listopada 2014 roku oraz procentowa zmiana indeksu WIG 20 w tym okresie. </w:t>
      </w:r>
    </w:p>
    <w:p w:rsidR="00F05467" w:rsidRDefault="00F05467" w:rsidP="00F05467">
      <w:pPr>
        <w:pStyle w:val="Bezodstpw"/>
        <w:jc w:val="both"/>
      </w:pPr>
    </w:p>
    <w:tbl>
      <w:tblPr>
        <w:tblStyle w:val="Tabela-Siatka"/>
        <w:tblW w:w="0" w:type="auto"/>
        <w:tblLook w:val="04A0"/>
      </w:tblPr>
      <w:tblGrid>
        <w:gridCol w:w="3402"/>
        <w:gridCol w:w="2302"/>
        <w:gridCol w:w="2303"/>
        <w:gridCol w:w="1134"/>
      </w:tblGrid>
      <w:tr w:rsidR="00F05467" w:rsidTr="006D29B1">
        <w:tc>
          <w:tcPr>
            <w:tcW w:w="3402" w:type="dxa"/>
          </w:tcPr>
          <w:p w:rsidR="00F05467" w:rsidRDefault="00F05467" w:rsidP="006D29B1">
            <w:pPr>
              <w:pStyle w:val="Bezodstpw"/>
              <w:jc w:val="center"/>
            </w:pPr>
            <w:r>
              <w:t>Instrument finansowy</w:t>
            </w:r>
          </w:p>
        </w:tc>
        <w:tc>
          <w:tcPr>
            <w:tcW w:w="2302" w:type="dxa"/>
          </w:tcPr>
          <w:p w:rsidR="00F05467" w:rsidRDefault="00F05467" w:rsidP="006D29B1">
            <w:pPr>
              <w:pStyle w:val="Bezodstpw"/>
              <w:jc w:val="center"/>
            </w:pPr>
            <w:r>
              <w:t>Poziom – 03.10.2014</w:t>
            </w:r>
          </w:p>
        </w:tc>
        <w:tc>
          <w:tcPr>
            <w:tcW w:w="2303" w:type="dxa"/>
          </w:tcPr>
          <w:p w:rsidR="00F05467" w:rsidRDefault="00F05467" w:rsidP="006D29B1">
            <w:pPr>
              <w:pStyle w:val="Bezodstpw"/>
              <w:jc w:val="center"/>
            </w:pPr>
            <w:r>
              <w:t>Poziom – 14.11.2014</w:t>
            </w:r>
          </w:p>
        </w:tc>
        <w:tc>
          <w:tcPr>
            <w:tcW w:w="1134" w:type="dxa"/>
          </w:tcPr>
          <w:p w:rsidR="00F05467" w:rsidRDefault="00F05467" w:rsidP="006D29B1">
            <w:pPr>
              <w:pStyle w:val="Bezodstpw"/>
              <w:jc w:val="center"/>
            </w:pPr>
            <w:r>
              <w:t>Zmiana (w %)</w:t>
            </w:r>
          </w:p>
        </w:tc>
      </w:tr>
      <w:tr w:rsidR="00F05467" w:rsidTr="006D29B1">
        <w:tc>
          <w:tcPr>
            <w:tcW w:w="3402" w:type="dxa"/>
          </w:tcPr>
          <w:p w:rsidR="00F05467" w:rsidRDefault="00F05467" w:rsidP="006D29B1">
            <w:pPr>
              <w:pStyle w:val="Bezodstpw"/>
              <w:jc w:val="center"/>
            </w:pPr>
            <w:r>
              <w:t>Akcja spółki Stalprodukt</w:t>
            </w:r>
          </w:p>
        </w:tc>
        <w:tc>
          <w:tcPr>
            <w:tcW w:w="2302" w:type="dxa"/>
          </w:tcPr>
          <w:p w:rsidR="00F05467" w:rsidRDefault="00F05467" w:rsidP="006D29B1">
            <w:pPr>
              <w:pStyle w:val="Bezodstpw"/>
              <w:jc w:val="center"/>
            </w:pPr>
            <w:r>
              <w:t>244,10 zł.</w:t>
            </w:r>
          </w:p>
        </w:tc>
        <w:tc>
          <w:tcPr>
            <w:tcW w:w="2303" w:type="dxa"/>
          </w:tcPr>
          <w:p w:rsidR="00F05467" w:rsidRDefault="00F05467" w:rsidP="006D29B1">
            <w:pPr>
              <w:pStyle w:val="Bezodstpw"/>
              <w:jc w:val="center"/>
            </w:pPr>
            <w:r>
              <w:t>297,00 zł.</w:t>
            </w:r>
          </w:p>
        </w:tc>
        <w:tc>
          <w:tcPr>
            <w:tcW w:w="1134" w:type="dxa"/>
          </w:tcPr>
          <w:p w:rsidR="00F05467" w:rsidRDefault="00F05467" w:rsidP="006D29B1">
            <w:pPr>
              <w:pStyle w:val="Bezodstpw"/>
              <w:jc w:val="center"/>
            </w:pPr>
            <w:r>
              <w:t>+21,7 %</w:t>
            </w:r>
          </w:p>
        </w:tc>
      </w:tr>
      <w:tr w:rsidR="00F05467" w:rsidRPr="008F668F" w:rsidTr="006D29B1">
        <w:tc>
          <w:tcPr>
            <w:tcW w:w="3402" w:type="dxa"/>
          </w:tcPr>
          <w:p w:rsidR="00F05467" w:rsidRPr="008F668F" w:rsidRDefault="00F05467" w:rsidP="006D29B1">
            <w:pPr>
              <w:pStyle w:val="Bezodstpw"/>
              <w:jc w:val="center"/>
              <w:rPr>
                <w:b/>
                <w:color w:val="FF0000"/>
              </w:rPr>
            </w:pPr>
            <w:r w:rsidRPr="008F668F">
              <w:rPr>
                <w:b/>
                <w:color w:val="FF0000"/>
              </w:rPr>
              <w:t>Średnio</w:t>
            </w:r>
          </w:p>
        </w:tc>
        <w:tc>
          <w:tcPr>
            <w:tcW w:w="2302" w:type="dxa"/>
            <w:tcBorders>
              <w:right w:val="nil"/>
            </w:tcBorders>
          </w:tcPr>
          <w:p w:rsidR="00F05467" w:rsidRPr="008F668F" w:rsidRDefault="00F05467" w:rsidP="006D29B1">
            <w:pPr>
              <w:pStyle w:val="Bezodstpw"/>
              <w:jc w:val="center"/>
              <w:rPr>
                <w:b/>
                <w:color w:val="FF0000"/>
              </w:rPr>
            </w:pPr>
          </w:p>
        </w:tc>
        <w:tc>
          <w:tcPr>
            <w:tcW w:w="2303" w:type="dxa"/>
            <w:tcBorders>
              <w:left w:val="nil"/>
            </w:tcBorders>
          </w:tcPr>
          <w:p w:rsidR="00F05467" w:rsidRPr="008F668F" w:rsidRDefault="00F05467" w:rsidP="006D29B1">
            <w:pPr>
              <w:pStyle w:val="Bezodstpw"/>
              <w:jc w:val="center"/>
              <w:rPr>
                <w:b/>
                <w:color w:val="FF0000"/>
              </w:rPr>
            </w:pPr>
          </w:p>
        </w:tc>
        <w:tc>
          <w:tcPr>
            <w:tcW w:w="1134" w:type="dxa"/>
          </w:tcPr>
          <w:p w:rsidR="00F05467" w:rsidRPr="008F668F" w:rsidRDefault="00F05467" w:rsidP="006D29B1">
            <w:pPr>
              <w:pStyle w:val="Bezodstpw"/>
              <w:jc w:val="center"/>
              <w:rPr>
                <w:b/>
                <w:color w:val="FF0000"/>
              </w:rPr>
            </w:pPr>
            <w:r>
              <w:rPr>
                <w:b/>
                <w:color w:val="FF0000"/>
              </w:rPr>
              <w:t>+21,7 %</w:t>
            </w:r>
          </w:p>
        </w:tc>
      </w:tr>
      <w:tr w:rsidR="00F05467" w:rsidTr="006D29B1">
        <w:tc>
          <w:tcPr>
            <w:tcW w:w="3402" w:type="dxa"/>
          </w:tcPr>
          <w:p w:rsidR="00F05467" w:rsidRDefault="00F05467" w:rsidP="006D29B1">
            <w:pPr>
              <w:pStyle w:val="Bezodstpw"/>
              <w:jc w:val="center"/>
            </w:pPr>
            <w:r>
              <w:t>WIG 20</w:t>
            </w:r>
          </w:p>
        </w:tc>
        <w:tc>
          <w:tcPr>
            <w:tcW w:w="2302" w:type="dxa"/>
          </w:tcPr>
          <w:p w:rsidR="00F05467" w:rsidRDefault="00F05467" w:rsidP="006D29B1">
            <w:pPr>
              <w:pStyle w:val="Bezodstpw"/>
              <w:jc w:val="center"/>
            </w:pPr>
            <w:r>
              <w:t xml:space="preserve">2 444,06 pkt. </w:t>
            </w:r>
          </w:p>
        </w:tc>
        <w:tc>
          <w:tcPr>
            <w:tcW w:w="2303" w:type="dxa"/>
          </w:tcPr>
          <w:p w:rsidR="00F05467" w:rsidRDefault="00F05467" w:rsidP="006D29B1">
            <w:pPr>
              <w:pStyle w:val="Bezodstpw"/>
              <w:jc w:val="center"/>
            </w:pPr>
            <w:r>
              <w:t>2 418,40 pkt.</w:t>
            </w:r>
          </w:p>
        </w:tc>
        <w:tc>
          <w:tcPr>
            <w:tcW w:w="1134" w:type="dxa"/>
          </w:tcPr>
          <w:p w:rsidR="00F05467" w:rsidRDefault="00F05467" w:rsidP="006D29B1">
            <w:pPr>
              <w:pStyle w:val="Bezodstpw"/>
              <w:jc w:val="center"/>
            </w:pPr>
            <w:r>
              <w:t xml:space="preserve">  -1,0 %</w:t>
            </w:r>
          </w:p>
        </w:tc>
      </w:tr>
    </w:tbl>
    <w:p w:rsidR="00F05467" w:rsidRDefault="00F05467" w:rsidP="00F05467">
      <w:pPr>
        <w:pStyle w:val="Bezodstpw"/>
        <w:jc w:val="both"/>
        <w:rPr>
          <w:b/>
          <w:color w:val="FF0000"/>
        </w:rPr>
      </w:pPr>
    </w:p>
    <w:p w:rsidR="00F05467" w:rsidRDefault="00F05467" w:rsidP="00F05467">
      <w:pPr>
        <w:pStyle w:val="Bezodstpw"/>
        <w:jc w:val="both"/>
      </w:pPr>
      <w:r>
        <w:lastRenderedPageBreak/>
        <w:t xml:space="preserve">Tabela: Procentowa zmiana ceny akcji spółki, której akcje zostały wymienione w szóstym numerze ,,Raportu Tygodniowego” z 20 października 2014 roku w rubryce ,,Wykres do przemyślenia” w okresie od 17 września do 14 listopada 2014 roku oraz procentowa zmiana indeksu WIG 20 w tym okresie. </w:t>
      </w:r>
    </w:p>
    <w:tbl>
      <w:tblPr>
        <w:tblStyle w:val="Tabela-Siatka"/>
        <w:tblW w:w="0" w:type="auto"/>
        <w:tblLook w:val="04A0"/>
      </w:tblPr>
      <w:tblGrid>
        <w:gridCol w:w="3402"/>
        <w:gridCol w:w="2302"/>
        <w:gridCol w:w="2303"/>
        <w:gridCol w:w="1134"/>
      </w:tblGrid>
      <w:tr w:rsidR="00F05467" w:rsidTr="006D29B1">
        <w:tc>
          <w:tcPr>
            <w:tcW w:w="3402" w:type="dxa"/>
          </w:tcPr>
          <w:p w:rsidR="00F05467" w:rsidRDefault="00F05467" w:rsidP="006D29B1">
            <w:pPr>
              <w:pStyle w:val="Bezodstpw"/>
              <w:jc w:val="center"/>
            </w:pPr>
            <w:r>
              <w:t>Instrument finansowy</w:t>
            </w:r>
          </w:p>
        </w:tc>
        <w:tc>
          <w:tcPr>
            <w:tcW w:w="2302" w:type="dxa"/>
          </w:tcPr>
          <w:p w:rsidR="00F05467" w:rsidRDefault="00F05467" w:rsidP="006D29B1">
            <w:pPr>
              <w:pStyle w:val="Bezodstpw"/>
              <w:jc w:val="center"/>
            </w:pPr>
            <w:r>
              <w:t>Poziom – 17.10.2014</w:t>
            </w:r>
          </w:p>
        </w:tc>
        <w:tc>
          <w:tcPr>
            <w:tcW w:w="2303" w:type="dxa"/>
          </w:tcPr>
          <w:p w:rsidR="00F05467" w:rsidRDefault="00F05467" w:rsidP="006D29B1">
            <w:pPr>
              <w:pStyle w:val="Bezodstpw"/>
              <w:jc w:val="center"/>
            </w:pPr>
            <w:r>
              <w:t>Poziom – 14.11.2014</w:t>
            </w:r>
          </w:p>
        </w:tc>
        <w:tc>
          <w:tcPr>
            <w:tcW w:w="1134" w:type="dxa"/>
          </w:tcPr>
          <w:p w:rsidR="00F05467" w:rsidRDefault="00F05467" w:rsidP="006D29B1">
            <w:pPr>
              <w:pStyle w:val="Bezodstpw"/>
              <w:jc w:val="center"/>
            </w:pPr>
            <w:r>
              <w:t>Zmiana (w %)</w:t>
            </w:r>
          </w:p>
        </w:tc>
      </w:tr>
      <w:tr w:rsidR="00F05467" w:rsidTr="006D29B1">
        <w:tc>
          <w:tcPr>
            <w:tcW w:w="3402" w:type="dxa"/>
          </w:tcPr>
          <w:p w:rsidR="00F05467" w:rsidRDefault="00F05467" w:rsidP="006D29B1">
            <w:pPr>
              <w:pStyle w:val="Bezodstpw"/>
              <w:jc w:val="center"/>
            </w:pPr>
            <w:r>
              <w:t xml:space="preserve">Akcja spółki </w:t>
            </w:r>
            <w:proofErr w:type="spellStart"/>
            <w:r>
              <w:t>Tauron</w:t>
            </w:r>
            <w:proofErr w:type="spellEnd"/>
            <w:r>
              <w:t xml:space="preserve"> Polska Energia</w:t>
            </w:r>
          </w:p>
        </w:tc>
        <w:tc>
          <w:tcPr>
            <w:tcW w:w="2302" w:type="dxa"/>
          </w:tcPr>
          <w:p w:rsidR="00F05467" w:rsidRDefault="00F05467" w:rsidP="006D29B1">
            <w:pPr>
              <w:pStyle w:val="Bezodstpw"/>
              <w:jc w:val="center"/>
            </w:pPr>
            <w:r>
              <w:t>5,21 zł.</w:t>
            </w:r>
          </w:p>
        </w:tc>
        <w:tc>
          <w:tcPr>
            <w:tcW w:w="2303" w:type="dxa"/>
          </w:tcPr>
          <w:p w:rsidR="00F05467" w:rsidRDefault="00F05467" w:rsidP="006D29B1">
            <w:pPr>
              <w:pStyle w:val="Bezodstpw"/>
              <w:jc w:val="center"/>
            </w:pPr>
            <w:r>
              <w:t xml:space="preserve">5,32 zł. </w:t>
            </w:r>
          </w:p>
        </w:tc>
        <w:tc>
          <w:tcPr>
            <w:tcW w:w="1134" w:type="dxa"/>
          </w:tcPr>
          <w:p w:rsidR="00F05467" w:rsidRDefault="00F05467" w:rsidP="006D29B1">
            <w:pPr>
              <w:pStyle w:val="Bezodstpw"/>
              <w:jc w:val="center"/>
            </w:pPr>
            <w:r>
              <w:t xml:space="preserve">  +2,1 %</w:t>
            </w:r>
          </w:p>
        </w:tc>
      </w:tr>
      <w:tr w:rsidR="00F05467" w:rsidRPr="008F668F" w:rsidTr="006D29B1">
        <w:tc>
          <w:tcPr>
            <w:tcW w:w="3402" w:type="dxa"/>
          </w:tcPr>
          <w:p w:rsidR="00F05467" w:rsidRPr="008F668F" w:rsidRDefault="00F05467" w:rsidP="006D29B1">
            <w:pPr>
              <w:pStyle w:val="Bezodstpw"/>
              <w:jc w:val="center"/>
              <w:rPr>
                <w:b/>
                <w:color w:val="FF0000"/>
              </w:rPr>
            </w:pPr>
            <w:r w:rsidRPr="008F668F">
              <w:rPr>
                <w:b/>
                <w:color w:val="FF0000"/>
              </w:rPr>
              <w:t>Średnio</w:t>
            </w:r>
          </w:p>
        </w:tc>
        <w:tc>
          <w:tcPr>
            <w:tcW w:w="2302" w:type="dxa"/>
            <w:tcBorders>
              <w:right w:val="nil"/>
            </w:tcBorders>
          </w:tcPr>
          <w:p w:rsidR="00F05467" w:rsidRPr="008F668F" w:rsidRDefault="00F05467" w:rsidP="006D29B1">
            <w:pPr>
              <w:pStyle w:val="Bezodstpw"/>
              <w:jc w:val="center"/>
              <w:rPr>
                <w:b/>
                <w:color w:val="FF0000"/>
              </w:rPr>
            </w:pPr>
          </w:p>
        </w:tc>
        <w:tc>
          <w:tcPr>
            <w:tcW w:w="2303" w:type="dxa"/>
            <w:tcBorders>
              <w:left w:val="nil"/>
            </w:tcBorders>
          </w:tcPr>
          <w:p w:rsidR="00F05467" w:rsidRPr="008F668F" w:rsidRDefault="00F05467" w:rsidP="006D29B1">
            <w:pPr>
              <w:pStyle w:val="Bezodstpw"/>
              <w:jc w:val="center"/>
              <w:rPr>
                <w:b/>
                <w:color w:val="FF0000"/>
              </w:rPr>
            </w:pPr>
          </w:p>
        </w:tc>
        <w:tc>
          <w:tcPr>
            <w:tcW w:w="1134" w:type="dxa"/>
          </w:tcPr>
          <w:p w:rsidR="00F05467" w:rsidRPr="008F668F" w:rsidRDefault="00F05467" w:rsidP="006D29B1">
            <w:pPr>
              <w:pStyle w:val="Bezodstpw"/>
              <w:jc w:val="center"/>
              <w:rPr>
                <w:b/>
                <w:color w:val="FF0000"/>
              </w:rPr>
            </w:pPr>
            <w:r>
              <w:rPr>
                <w:b/>
                <w:color w:val="FF0000"/>
              </w:rPr>
              <w:t xml:space="preserve">  +2,1 %</w:t>
            </w:r>
          </w:p>
        </w:tc>
      </w:tr>
      <w:tr w:rsidR="00F05467" w:rsidTr="006D29B1">
        <w:tc>
          <w:tcPr>
            <w:tcW w:w="3402" w:type="dxa"/>
          </w:tcPr>
          <w:p w:rsidR="00F05467" w:rsidRDefault="00F05467" w:rsidP="006D29B1">
            <w:pPr>
              <w:pStyle w:val="Bezodstpw"/>
              <w:jc w:val="center"/>
            </w:pPr>
            <w:r>
              <w:t>WIG 20</w:t>
            </w:r>
          </w:p>
        </w:tc>
        <w:tc>
          <w:tcPr>
            <w:tcW w:w="2302" w:type="dxa"/>
          </w:tcPr>
          <w:p w:rsidR="00F05467" w:rsidRDefault="00F05467" w:rsidP="006D29B1">
            <w:pPr>
              <w:pStyle w:val="Bezodstpw"/>
              <w:jc w:val="center"/>
            </w:pPr>
            <w:r>
              <w:t xml:space="preserve">2 401,13 pkt. </w:t>
            </w:r>
          </w:p>
        </w:tc>
        <w:tc>
          <w:tcPr>
            <w:tcW w:w="2303" w:type="dxa"/>
          </w:tcPr>
          <w:p w:rsidR="00F05467" w:rsidRDefault="00F05467" w:rsidP="006D29B1">
            <w:pPr>
              <w:pStyle w:val="Bezodstpw"/>
              <w:jc w:val="center"/>
            </w:pPr>
            <w:r>
              <w:t>2 418,40 pkt.</w:t>
            </w:r>
          </w:p>
        </w:tc>
        <w:tc>
          <w:tcPr>
            <w:tcW w:w="1134" w:type="dxa"/>
          </w:tcPr>
          <w:p w:rsidR="00F05467" w:rsidRDefault="00F05467" w:rsidP="006D29B1">
            <w:pPr>
              <w:pStyle w:val="Bezodstpw"/>
              <w:jc w:val="center"/>
            </w:pPr>
            <w:r>
              <w:t xml:space="preserve">  +0,7 %</w:t>
            </w:r>
          </w:p>
        </w:tc>
      </w:tr>
    </w:tbl>
    <w:p w:rsidR="00F05467" w:rsidRDefault="00F05467" w:rsidP="00F05467">
      <w:pPr>
        <w:pStyle w:val="Bezodstpw"/>
        <w:jc w:val="both"/>
      </w:pPr>
      <w:r>
        <w:t xml:space="preserve">Tabela: Procentowa zmiana ceny akcji spółki, której akcje zostały umieszczone 22 października na stronie internetowej </w:t>
      </w:r>
      <w:hyperlink r:id="rId13" w:history="1">
        <w:r w:rsidRPr="003C5ED1">
          <w:rPr>
            <w:rStyle w:val="Hipercze"/>
          </w:rPr>
          <w:t>www.analizy-rynkowe.pl</w:t>
        </w:r>
      </w:hyperlink>
      <w:r>
        <w:t xml:space="preserve"> w rubryce  ,,Wykres do przemyślenia” w okresie od 21 października do 14 listopada 2014 roku oraz procentowa zmiana indeksu WIG 20 w tym okresie. </w:t>
      </w:r>
    </w:p>
    <w:p w:rsidR="00F05467" w:rsidRDefault="00F05467" w:rsidP="00F05467">
      <w:pPr>
        <w:pStyle w:val="Bezodstpw"/>
        <w:jc w:val="both"/>
      </w:pPr>
    </w:p>
    <w:tbl>
      <w:tblPr>
        <w:tblStyle w:val="Tabela-Siatka"/>
        <w:tblW w:w="0" w:type="auto"/>
        <w:tblLook w:val="04A0"/>
      </w:tblPr>
      <w:tblGrid>
        <w:gridCol w:w="3402"/>
        <w:gridCol w:w="2302"/>
        <w:gridCol w:w="2303"/>
        <w:gridCol w:w="1134"/>
      </w:tblGrid>
      <w:tr w:rsidR="00F05467" w:rsidTr="006D29B1">
        <w:tc>
          <w:tcPr>
            <w:tcW w:w="3402" w:type="dxa"/>
          </w:tcPr>
          <w:p w:rsidR="00F05467" w:rsidRDefault="00F05467" w:rsidP="006D29B1">
            <w:pPr>
              <w:pStyle w:val="Bezodstpw"/>
              <w:jc w:val="center"/>
            </w:pPr>
            <w:r>
              <w:t>Instrument finansowy</w:t>
            </w:r>
          </w:p>
        </w:tc>
        <w:tc>
          <w:tcPr>
            <w:tcW w:w="2302" w:type="dxa"/>
          </w:tcPr>
          <w:p w:rsidR="00F05467" w:rsidRDefault="00F05467" w:rsidP="006D29B1">
            <w:pPr>
              <w:pStyle w:val="Bezodstpw"/>
              <w:jc w:val="center"/>
            </w:pPr>
            <w:r>
              <w:t>Poziom – 21.10.2014</w:t>
            </w:r>
          </w:p>
        </w:tc>
        <w:tc>
          <w:tcPr>
            <w:tcW w:w="2303" w:type="dxa"/>
          </w:tcPr>
          <w:p w:rsidR="00F05467" w:rsidRDefault="00F05467" w:rsidP="006D29B1">
            <w:pPr>
              <w:pStyle w:val="Bezodstpw"/>
              <w:jc w:val="center"/>
            </w:pPr>
            <w:r>
              <w:t>Poziom – 14.11.2014</w:t>
            </w:r>
          </w:p>
        </w:tc>
        <w:tc>
          <w:tcPr>
            <w:tcW w:w="1134" w:type="dxa"/>
          </w:tcPr>
          <w:p w:rsidR="00F05467" w:rsidRDefault="00F05467" w:rsidP="006D29B1">
            <w:pPr>
              <w:pStyle w:val="Bezodstpw"/>
              <w:jc w:val="center"/>
            </w:pPr>
            <w:r>
              <w:t>Zmiana (w %)</w:t>
            </w:r>
          </w:p>
        </w:tc>
      </w:tr>
      <w:tr w:rsidR="00F05467" w:rsidTr="006D29B1">
        <w:tc>
          <w:tcPr>
            <w:tcW w:w="3402" w:type="dxa"/>
          </w:tcPr>
          <w:p w:rsidR="00F05467" w:rsidRDefault="00F05467" w:rsidP="006D29B1">
            <w:pPr>
              <w:pStyle w:val="Bezodstpw"/>
              <w:jc w:val="center"/>
            </w:pPr>
            <w:r>
              <w:t xml:space="preserve">Akcja spółki </w:t>
            </w:r>
            <w:proofErr w:type="spellStart"/>
            <w:r>
              <w:t>Elektrotim</w:t>
            </w:r>
            <w:proofErr w:type="spellEnd"/>
            <w:r>
              <w:t xml:space="preserve"> </w:t>
            </w:r>
          </w:p>
        </w:tc>
        <w:tc>
          <w:tcPr>
            <w:tcW w:w="2302" w:type="dxa"/>
            <w:tcBorders>
              <w:bottom w:val="single" w:sz="4" w:space="0" w:color="auto"/>
            </w:tcBorders>
          </w:tcPr>
          <w:p w:rsidR="00F05467" w:rsidRDefault="00F05467" w:rsidP="006D29B1">
            <w:pPr>
              <w:pStyle w:val="Bezodstpw"/>
              <w:jc w:val="center"/>
            </w:pPr>
            <w:r>
              <w:t>8,70 zł.</w:t>
            </w:r>
          </w:p>
        </w:tc>
        <w:tc>
          <w:tcPr>
            <w:tcW w:w="2303" w:type="dxa"/>
            <w:tcBorders>
              <w:bottom w:val="single" w:sz="4" w:space="0" w:color="auto"/>
            </w:tcBorders>
          </w:tcPr>
          <w:p w:rsidR="00F05467" w:rsidRDefault="00F05467" w:rsidP="006D29B1">
            <w:pPr>
              <w:pStyle w:val="Bezodstpw"/>
              <w:jc w:val="center"/>
            </w:pPr>
            <w:r>
              <w:t>9,20 zł.</w:t>
            </w:r>
          </w:p>
        </w:tc>
        <w:tc>
          <w:tcPr>
            <w:tcW w:w="1134" w:type="dxa"/>
          </w:tcPr>
          <w:p w:rsidR="00F05467" w:rsidRDefault="00F05467" w:rsidP="006D29B1">
            <w:pPr>
              <w:pStyle w:val="Bezodstpw"/>
              <w:jc w:val="center"/>
            </w:pPr>
            <w:r>
              <w:t>+ 5,7 %</w:t>
            </w:r>
          </w:p>
        </w:tc>
      </w:tr>
      <w:tr w:rsidR="00F05467" w:rsidRPr="008F668F" w:rsidTr="006D29B1">
        <w:tc>
          <w:tcPr>
            <w:tcW w:w="3402" w:type="dxa"/>
          </w:tcPr>
          <w:p w:rsidR="00F05467" w:rsidRPr="008F668F" w:rsidRDefault="00F05467" w:rsidP="006D29B1">
            <w:pPr>
              <w:pStyle w:val="Bezodstpw"/>
              <w:jc w:val="center"/>
              <w:rPr>
                <w:b/>
                <w:color w:val="FF0000"/>
              </w:rPr>
            </w:pPr>
            <w:r>
              <w:t>Akcja spółki Relpol</w:t>
            </w:r>
          </w:p>
        </w:tc>
        <w:tc>
          <w:tcPr>
            <w:tcW w:w="2302" w:type="dxa"/>
            <w:tcBorders>
              <w:right w:val="single" w:sz="4" w:space="0" w:color="auto"/>
            </w:tcBorders>
          </w:tcPr>
          <w:p w:rsidR="00F05467" w:rsidRPr="00A556F3" w:rsidRDefault="00F05467" w:rsidP="006D29B1">
            <w:pPr>
              <w:pStyle w:val="Bezodstpw"/>
              <w:jc w:val="center"/>
              <w:rPr>
                <w:color w:val="000000" w:themeColor="text1"/>
              </w:rPr>
            </w:pPr>
            <w:r w:rsidRPr="00A556F3">
              <w:rPr>
                <w:color w:val="000000" w:themeColor="text1"/>
              </w:rPr>
              <w:t xml:space="preserve">6,93 zł. </w:t>
            </w:r>
          </w:p>
        </w:tc>
        <w:tc>
          <w:tcPr>
            <w:tcW w:w="2303" w:type="dxa"/>
            <w:tcBorders>
              <w:left w:val="single" w:sz="4" w:space="0" w:color="auto"/>
            </w:tcBorders>
          </w:tcPr>
          <w:p w:rsidR="00F05467" w:rsidRPr="00A556F3" w:rsidRDefault="00F05467" w:rsidP="006D29B1">
            <w:pPr>
              <w:pStyle w:val="Bezodstpw"/>
              <w:jc w:val="center"/>
              <w:rPr>
                <w:color w:val="000000" w:themeColor="text1"/>
              </w:rPr>
            </w:pPr>
            <w:r>
              <w:rPr>
                <w:color w:val="000000" w:themeColor="text1"/>
              </w:rPr>
              <w:t xml:space="preserve">6,77 zł. </w:t>
            </w:r>
          </w:p>
        </w:tc>
        <w:tc>
          <w:tcPr>
            <w:tcW w:w="1134" w:type="dxa"/>
          </w:tcPr>
          <w:p w:rsidR="00F05467" w:rsidRPr="00A556F3" w:rsidRDefault="00F05467" w:rsidP="006D29B1">
            <w:pPr>
              <w:pStyle w:val="Bezodstpw"/>
              <w:jc w:val="center"/>
              <w:rPr>
                <w:color w:val="000000" w:themeColor="text1"/>
              </w:rPr>
            </w:pPr>
            <w:r>
              <w:rPr>
                <w:color w:val="000000" w:themeColor="text1"/>
              </w:rPr>
              <w:t>-2,3</w:t>
            </w:r>
            <w:r w:rsidRPr="00A556F3">
              <w:rPr>
                <w:color w:val="000000" w:themeColor="text1"/>
              </w:rPr>
              <w:t xml:space="preserve"> %</w:t>
            </w:r>
          </w:p>
        </w:tc>
      </w:tr>
      <w:tr w:rsidR="00F05467" w:rsidTr="006D29B1">
        <w:tc>
          <w:tcPr>
            <w:tcW w:w="3402" w:type="dxa"/>
          </w:tcPr>
          <w:p w:rsidR="00F05467" w:rsidRPr="00A556F3" w:rsidRDefault="00F05467" w:rsidP="006D29B1">
            <w:pPr>
              <w:pStyle w:val="Bezodstpw"/>
              <w:jc w:val="center"/>
              <w:rPr>
                <w:b/>
                <w:color w:val="FF0000"/>
              </w:rPr>
            </w:pPr>
            <w:r w:rsidRPr="00A556F3">
              <w:rPr>
                <w:b/>
                <w:color w:val="FF0000"/>
              </w:rPr>
              <w:t>Średnio</w:t>
            </w:r>
          </w:p>
        </w:tc>
        <w:tc>
          <w:tcPr>
            <w:tcW w:w="2302" w:type="dxa"/>
          </w:tcPr>
          <w:p w:rsidR="00F05467" w:rsidRDefault="00F05467" w:rsidP="006D29B1">
            <w:pPr>
              <w:pStyle w:val="Bezodstpw"/>
              <w:jc w:val="center"/>
            </w:pPr>
          </w:p>
        </w:tc>
        <w:tc>
          <w:tcPr>
            <w:tcW w:w="2303" w:type="dxa"/>
          </w:tcPr>
          <w:p w:rsidR="00F05467" w:rsidRDefault="00F05467" w:rsidP="006D29B1">
            <w:pPr>
              <w:pStyle w:val="Bezodstpw"/>
              <w:jc w:val="center"/>
            </w:pPr>
          </w:p>
        </w:tc>
        <w:tc>
          <w:tcPr>
            <w:tcW w:w="1134" w:type="dxa"/>
          </w:tcPr>
          <w:p w:rsidR="00F05467" w:rsidRPr="00581996" w:rsidRDefault="00F05467" w:rsidP="006D29B1">
            <w:pPr>
              <w:pStyle w:val="Bezodstpw"/>
              <w:jc w:val="center"/>
              <w:rPr>
                <w:b/>
                <w:color w:val="FF0000"/>
              </w:rPr>
            </w:pPr>
            <w:r w:rsidRPr="00581996">
              <w:rPr>
                <w:b/>
                <w:color w:val="FF0000"/>
              </w:rPr>
              <w:t xml:space="preserve">+ </w:t>
            </w:r>
            <w:r>
              <w:rPr>
                <w:b/>
                <w:color w:val="FF0000"/>
              </w:rPr>
              <w:t>1</w:t>
            </w:r>
            <w:r w:rsidRPr="00581996">
              <w:rPr>
                <w:b/>
                <w:color w:val="FF0000"/>
              </w:rPr>
              <w:t>,</w:t>
            </w:r>
            <w:r>
              <w:rPr>
                <w:b/>
                <w:color w:val="FF0000"/>
              </w:rPr>
              <w:t>7</w:t>
            </w:r>
            <w:r w:rsidRPr="00581996">
              <w:rPr>
                <w:b/>
                <w:color w:val="FF0000"/>
              </w:rPr>
              <w:t xml:space="preserve"> % </w:t>
            </w:r>
          </w:p>
        </w:tc>
      </w:tr>
      <w:tr w:rsidR="00F05467" w:rsidTr="006D29B1">
        <w:tc>
          <w:tcPr>
            <w:tcW w:w="3402" w:type="dxa"/>
          </w:tcPr>
          <w:p w:rsidR="00F05467" w:rsidRDefault="00F05467" w:rsidP="006D29B1">
            <w:pPr>
              <w:pStyle w:val="Bezodstpw"/>
              <w:jc w:val="center"/>
            </w:pPr>
            <w:r>
              <w:t>WIG 20</w:t>
            </w:r>
          </w:p>
        </w:tc>
        <w:tc>
          <w:tcPr>
            <w:tcW w:w="2302" w:type="dxa"/>
          </w:tcPr>
          <w:p w:rsidR="00F05467" w:rsidRDefault="00F05467" w:rsidP="006D29B1">
            <w:pPr>
              <w:pStyle w:val="Bezodstpw"/>
              <w:jc w:val="center"/>
            </w:pPr>
            <w:r>
              <w:t xml:space="preserve">2 423,29,77 pkt. </w:t>
            </w:r>
          </w:p>
        </w:tc>
        <w:tc>
          <w:tcPr>
            <w:tcW w:w="2303" w:type="dxa"/>
          </w:tcPr>
          <w:p w:rsidR="00F05467" w:rsidRDefault="00F05467" w:rsidP="006D29B1">
            <w:pPr>
              <w:pStyle w:val="Bezodstpw"/>
              <w:jc w:val="center"/>
            </w:pPr>
            <w:r>
              <w:t>2 418,40 pkt.</w:t>
            </w:r>
          </w:p>
        </w:tc>
        <w:tc>
          <w:tcPr>
            <w:tcW w:w="1134" w:type="dxa"/>
          </w:tcPr>
          <w:p w:rsidR="00F05467" w:rsidRDefault="00F05467" w:rsidP="006D29B1">
            <w:pPr>
              <w:pStyle w:val="Bezodstpw"/>
              <w:jc w:val="center"/>
            </w:pPr>
            <w:r>
              <w:t xml:space="preserve"> -0,2 % </w:t>
            </w:r>
          </w:p>
        </w:tc>
      </w:tr>
    </w:tbl>
    <w:p w:rsidR="00F05467" w:rsidRDefault="00F05467" w:rsidP="00F05467">
      <w:pPr>
        <w:pStyle w:val="Bezodstpw"/>
        <w:jc w:val="both"/>
      </w:pPr>
      <w:r>
        <w:t xml:space="preserve">Tabela: Procentowa zmiana ceny akcji spółki, której akcje zostały wymienione w siódmym numerze ,,Raportu Tygodniowego” z 27 października 2014 roku w rubryce ,,Wykres do przemyślenia” w okresie od 24 października do 14 listopada 2014 roku oraz procentowa zmiana indeksu WIG 20 w tym okresie. </w:t>
      </w:r>
    </w:p>
    <w:tbl>
      <w:tblPr>
        <w:tblStyle w:val="Tabela-Siatka"/>
        <w:tblW w:w="0" w:type="auto"/>
        <w:tblLook w:val="04A0"/>
      </w:tblPr>
      <w:tblGrid>
        <w:gridCol w:w="3402"/>
        <w:gridCol w:w="2302"/>
        <w:gridCol w:w="2303"/>
        <w:gridCol w:w="1134"/>
      </w:tblGrid>
      <w:tr w:rsidR="00F05467" w:rsidTr="006D29B1">
        <w:tc>
          <w:tcPr>
            <w:tcW w:w="3402" w:type="dxa"/>
          </w:tcPr>
          <w:p w:rsidR="00F05467" w:rsidRDefault="00F05467" w:rsidP="006D29B1">
            <w:pPr>
              <w:pStyle w:val="Bezodstpw"/>
              <w:jc w:val="center"/>
            </w:pPr>
            <w:r>
              <w:t>Instrument finansowy</w:t>
            </w:r>
          </w:p>
        </w:tc>
        <w:tc>
          <w:tcPr>
            <w:tcW w:w="2302" w:type="dxa"/>
          </w:tcPr>
          <w:p w:rsidR="00F05467" w:rsidRDefault="00F05467" w:rsidP="006D29B1">
            <w:pPr>
              <w:pStyle w:val="Bezodstpw"/>
              <w:jc w:val="center"/>
            </w:pPr>
            <w:r>
              <w:t>Poziom – 24.10.2014</w:t>
            </w:r>
          </w:p>
        </w:tc>
        <w:tc>
          <w:tcPr>
            <w:tcW w:w="2303" w:type="dxa"/>
          </w:tcPr>
          <w:p w:rsidR="00F05467" w:rsidRDefault="00F05467" w:rsidP="006D29B1">
            <w:pPr>
              <w:pStyle w:val="Bezodstpw"/>
              <w:jc w:val="center"/>
            </w:pPr>
            <w:r>
              <w:t>Poziom – 14.11.2014</w:t>
            </w:r>
          </w:p>
        </w:tc>
        <w:tc>
          <w:tcPr>
            <w:tcW w:w="1134" w:type="dxa"/>
          </w:tcPr>
          <w:p w:rsidR="00F05467" w:rsidRDefault="00F05467" w:rsidP="006D29B1">
            <w:pPr>
              <w:pStyle w:val="Bezodstpw"/>
              <w:jc w:val="center"/>
            </w:pPr>
            <w:r>
              <w:t>Zmiana (w %)</w:t>
            </w:r>
          </w:p>
        </w:tc>
      </w:tr>
      <w:tr w:rsidR="00F05467" w:rsidTr="006D29B1">
        <w:tc>
          <w:tcPr>
            <w:tcW w:w="3402" w:type="dxa"/>
          </w:tcPr>
          <w:p w:rsidR="00F05467" w:rsidRDefault="00F05467" w:rsidP="006D29B1">
            <w:pPr>
              <w:pStyle w:val="Bezodstpw"/>
              <w:jc w:val="center"/>
            </w:pPr>
            <w:r>
              <w:t xml:space="preserve">Akcja spółki </w:t>
            </w:r>
            <w:proofErr w:type="spellStart"/>
            <w:r>
              <w:t>Tesgas</w:t>
            </w:r>
            <w:proofErr w:type="spellEnd"/>
            <w:r>
              <w:t xml:space="preserve"> </w:t>
            </w:r>
          </w:p>
        </w:tc>
        <w:tc>
          <w:tcPr>
            <w:tcW w:w="2302" w:type="dxa"/>
          </w:tcPr>
          <w:p w:rsidR="00F05467" w:rsidRDefault="00F05467" w:rsidP="006D29B1">
            <w:pPr>
              <w:pStyle w:val="Bezodstpw"/>
              <w:jc w:val="center"/>
            </w:pPr>
            <w:r>
              <w:t>4,32 zł.</w:t>
            </w:r>
          </w:p>
        </w:tc>
        <w:tc>
          <w:tcPr>
            <w:tcW w:w="2303" w:type="dxa"/>
          </w:tcPr>
          <w:p w:rsidR="00F05467" w:rsidRDefault="00F05467" w:rsidP="006D29B1">
            <w:pPr>
              <w:pStyle w:val="Bezodstpw"/>
              <w:jc w:val="center"/>
            </w:pPr>
            <w:r>
              <w:t xml:space="preserve">4,07 zł. </w:t>
            </w:r>
          </w:p>
        </w:tc>
        <w:tc>
          <w:tcPr>
            <w:tcW w:w="1134" w:type="dxa"/>
          </w:tcPr>
          <w:p w:rsidR="00F05467" w:rsidRDefault="00F05467" w:rsidP="006D29B1">
            <w:pPr>
              <w:pStyle w:val="Bezodstpw"/>
              <w:jc w:val="center"/>
            </w:pPr>
            <w:r>
              <w:t xml:space="preserve">  -5,8 %</w:t>
            </w:r>
          </w:p>
        </w:tc>
      </w:tr>
      <w:tr w:rsidR="00F05467" w:rsidRPr="008F668F" w:rsidTr="006D29B1">
        <w:tc>
          <w:tcPr>
            <w:tcW w:w="3402" w:type="dxa"/>
          </w:tcPr>
          <w:p w:rsidR="00F05467" w:rsidRPr="008F668F" w:rsidRDefault="00F05467" w:rsidP="006D29B1">
            <w:pPr>
              <w:pStyle w:val="Bezodstpw"/>
              <w:jc w:val="center"/>
              <w:rPr>
                <w:b/>
                <w:color w:val="FF0000"/>
              </w:rPr>
            </w:pPr>
            <w:r w:rsidRPr="008F668F">
              <w:rPr>
                <w:b/>
                <w:color w:val="FF0000"/>
              </w:rPr>
              <w:t>Średnio</w:t>
            </w:r>
          </w:p>
        </w:tc>
        <w:tc>
          <w:tcPr>
            <w:tcW w:w="2302" w:type="dxa"/>
            <w:tcBorders>
              <w:right w:val="nil"/>
            </w:tcBorders>
          </w:tcPr>
          <w:p w:rsidR="00F05467" w:rsidRPr="008F668F" w:rsidRDefault="00F05467" w:rsidP="006D29B1">
            <w:pPr>
              <w:pStyle w:val="Bezodstpw"/>
              <w:jc w:val="center"/>
              <w:rPr>
                <w:b/>
                <w:color w:val="FF0000"/>
              </w:rPr>
            </w:pPr>
          </w:p>
        </w:tc>
        <w:tc>
          <w:tcPr>
            <w:tcW w:w="2303" w:type="dxa"/>
            <w:tcBorders>
              <w:left w:val="nil"/>
            </w:tcBorders>
          </w:tcPr>
          <w:p w:rsidR="00F05467" w:rsidRPr="008F668F" w:rsidRDefault="00F05467" w:rsidP="006D29B1">
            <w:pPr>
              <w:pStyle w:val="Bezodstpw"/>
              <w:jc w:val="center"/>
              <w:rPr>
                <w:b/>
                <w:color w:val="FF0000"/>
              </w:rPr>
            </w:pPr>
          </w:p>
        </w:tc>
        <w:tc>
          <w:tcPr>
            <w:tcW w:w="1134" w:type="dxa"/>
          </w:tcPr>
          <w:p w:rsidR="00F05467" w:rsidRPr="008F668F" w:rsidRDefault="00F05467" w:rsidP="006D29B1">
            <w:pPr>
              <w:pStyle w:val="Bezodstpw"/>
              <w:jc w:val="center"/>
              <w:rPr>
                <w:b/>
                <w:color w:val="FF0000"/>
              </w:rPr>
            </w:pPr>
            <w:r>
              <w:rPr>
                <w:b/>
                <w:color w:val="FF0000"/>
              </w:rPr>
              <w:t xml:space="preserve">  -5,8 %</w:t>
            </w:r>
          </w:p>
        </w:tc>
      </w:tr>
      <w:tr w:rsidR="00F05467" w:rsidTr="006D29B1">
        <w:tc>
          <w:tcPr>
            <w:tcW w:w="3402" w:type="dxa"/>
          </w:tcPr>
          <w:p w:rsidR="00F05467" w:rsidRDefault="00F05467" w:rsidP="006D29B1">
            <w:pPr>
              <w:pStyle w:val="Bezodstpw"/>
              <w:jc w:val="center"/>
            </w:pPr>
            <w:r>
              <w:t>WIG 20</w:t>
            </w:r>
          </w:p>
        </w:tc>
        <w:tc>
          <w:tcPr>
            <w:tcW w:w="2302" w:type="dxa"/>
          </w:tcPr>
          <w:p w:rsidR="00F05467" w:rsidRDefault="00F05467" w:rsidP="006D29B1">
            <w:pPr>
              <w:pStyle w:val="Bezodstpw"/>
              <w:jc w:val="center"/>
            </w:pPr>
            <w:r>
              <w:t xml:space="preserve">2 401,13 pkt. </w:t>
            </w:r>
          </w:p>
        </w:tc>
        <w:tc>
          <w:tcPr>
            <w:tcW w:w="2303" w:type="dxa"/>
          </w:tcPr>
          <w:p w:rsidR="00F05467" w:rsidRDefault="00F05467" w:rsidP="006D29B1">
            <w:pPr>
              <w:pStyle w:val="Bezodstpw"/>
              <w:jc w:val="center"/>
            </w:pPr>
            <w:r>
              <w:t>2 418,40 pkt.</w:t>
            </w:r>
          </w:p>
        </w:tc>
        <w:tc>
          <w:tcPr>
            <w:tcW w:w="1134" w:type="dxa"/>
          </w:tcPr>
          <w:p w:rsidR="00F05467" w:rsidRDefault="00F05467" w:rsidP="006D29B1">
            <w:pPr>
              <w:pStyle w:val="Bezodstpw"/>
              <w:jc w:val="center"/>
            </w:pPr>
            <w:r>
              <w:t xml:space="preserve">  -0,3 %</w:t>
            </w:r>
          </w:p>
        </w:tc>
      </w:tr>
    </w:tbl>
    <w:p w:rsidR="00F05467" w:rsidRDefault="00F05467" w:rsidP="00F05467">
      <w:pPr>
        <w:pStyle w:val="Bezodstpw"/>
        <w:jc w:val="both"/>
      </w:pPr>
    </w:p>
    <w:p w:rsidR="00F05467" w:rsidRDefault="00F05467" w:rsidP="00F05467">
      <w:pPr>
        <w:pStyle w:val="Bezodstpw"/>
        <w:jc w:val="both"/>
      </w:pPr>
      <w:r>
        <w:t xml:space="preserve">Tabela: Procentowa zmiana ceny akcji spółki, której akcje zostały wymienione w numerze ,,Raportu Tygodniowego” z 3 listopada 2014 roku w rubryce ,,Wykres do przemyślenia” w okresie od 31 października 2014 roku do 14 listopada 2014 roku oraz procentowa zmiana indeksu WIG 20 w tym okresie. </w:t>
      </w:r>
    </w:p>
    <w:tbl>
      <w:tblPr>
        <w:tblStyle w:val="Tabela-Siatka"/>
        <w:tblW w:w="0" w:type="auto"/>
        <w:tblLook w:val="04A0"/>
      </w:tblPr>
      <w:tblGrid>
        <w:gridCol w:w="3402"/>
        <w:gridCol w:w="2302"/>
        <w:gridCol w:w="2303"/>
        <w:gridCol w:w="1134"/>
      </w:tblGrid>
      <w:tr w:rsidR="00F05467" w:rsidTr="006D29B1">
        <w:tc>
          <w:tcPr>
            <w:tcW w:w="3402" w:type="dxa"/>
          </w:tcPr>
          <w:p w:rsidR="00F05467" w:rsidRDefault="00F05467" w:rsidP="006D29B1">
            <w:pPr>
              <w:pStyle w:val="Bezodstpw"/>
              <w:jc w:val="center"/>
            </w:pPr>
            <w:r>
              <w:t>Instrument finansowy</w:t>
            </w:r>
          </w:p>
        </w:tc>
        <w:tc>
          <w:tcPr>
            <w:tcW w:w="2302" w:type="dxa"/>
          </w:tcPr>
          <w:p w:rsidR="00F05467" w:rsidRDefault="00F05467" w:rsidP="006D29B1">
            <w:pPr>
              <w:pStyle w:val="Bezodstpw"/>
              <w:jc w:val="center"/>
            </w:pPr>
            <w:r>
              <w:t>Poziom – 31.10.2014</w:t>
            </w:r>
          </w:p>
        </w:tc>
        <w:tc>
          <w:tcPr>
            <w:tcW w:w="2303" w:type="dxa"/>
          </w:tcPr>
          <w:p w:rsidR="00F05467" w:rsidRDefault="00F05467" w:rsidP="006D29B1">
            <w:pPr>
              <w:pStyle w:val="Bezodstpw"/>
              <w:jc w:val="center"/>
            </w:pPr>
            <w:r>
              <w:t>Poziom – 14.11.2014</w:t>
            </w:r>
          </w:p>
        </w:tc>
        <w:tc>
          <w:tcPr>
            <w:tcW w:w="1134" w:type="dxa"/>
          </w:tcPr>
          <w:p w:rsidR="00F05467" w:rsidRDefault="00F05467" w:rsidP="006D29B1">
            <w:pPr>
              <w:pStyle w:val="Bezodstpw"/>
              <w:jc w:val="center"/>
            </w:pPr>
            <w:r>
              <w:t>Zmiana (w %)</w:t>
            </w:r>
          </w:p>
        </w:tc>
      </w:tr>
      <w:tr w:rsidR="00F05467" w:rsidTr="006D29B1">
        <w:tc>
          <w:tcPr>
            <w:tcW w:w="3402" w:type="dxa"/>
          </w:tcPr>
          <w:p w:rsidR="00F05467" w:rsidRDefault="00F05467" w:rsidP="006D29B1">
            <w:pPr>
              <w:pStyle w:val="Bezodstpw"/>
              <w:jc w:val="center"/>
            </w:pPr>
            <w:r>
              <w:t>Akcja spółki Enea</w:t>
            </w:r>
          </w:p>
        </w:tc>
        <w:tc>
          <w:tcPr>
            <w:tcW w:w="2302" w:type="dxa"/>
          </w:tcPr>
          <w:p w:rsidR="00F05467" w:rsidRDefault="00F05467" w:rsidP="006D29B1">
            <w:pPr>
              <w:pStyle w:val="Bezodstpw"/>
              <w:jc w:val="center"/>
            </w:pPr>
            <w:r>
              <w:t>16,00 zł.</w:t>
            </w:r>
          </w:p>
        </w:tc>
        <w:tc>
          <w:tcPr>
            <w:tcW w:w="2303" w:type="dxa"/>
          </w:tcPr>
          <w:p w:rsidR="00F05467" w:rsidRDefault="00F05467" w:rsidP="006D29B1">
            <w:pPr>
              <w:pStyle w:val="Bezodstpw"/>
              <w:jc w:val="center"/>
            </w:pPr>
            <w:r>
              <w:t xml:space="preserve">16,25 zł. </w:t>
            </w:r>
          </w:p>
        </w:tc>
        <w:tc>
          <w:tcPr>
            <w:tcW w:w="1134" w:type="dxa"/>
          </w:tcPr>
          <w:p w:rsidR="00F05467" w:rsidRDefault="00F05467" w:rsidP="006D29B1">
            <w:pPr>
              <w:pStyle w:val="Bezodstpw"/>
              <w:jc w:val="center"/>
            </w:pPr>
            <w:r>
              <w:t xml:space="preserve">  +6,5 %</w:t>
            </w:r>
          </w:p>
        </w:tc>
      </w:tr>
      <w:tr w:rsidR="00F05467" w:rsidRPr="008F668F" w:rsidTr="006D29B1">
        <w:tc>
          <w:tcPr>
            <w:tcW w:w="3402" w:type="dxa"/>
          </w:tcPr>
          <w:p w:rsidR="00F05467" w:rsidRPr="008F668F" w:rsidRDefault="00F05467" w:rsidP="006D29B1">
            <w:pPr>
              <w:pStyle w:val="Bezodstpw"/>
              <w:jc w:val="center"/>
              <w:rPr>
                <w:b/>
                <w:color w:val="FF0000"/>
              </w:rPr>
            </w:pPr>
            <w:r w:rsidRPr="008F668F">
              <w:rPr>
                <w:b/>
                <w:color w:val="FF0000"/>
              </w:rPr>
              <w:t>Średnio</w:t>
            </w:r>
          </w:p>
        </w:tc>
        <w:tc>
          <w:tcPr>
            <w:tcW w:w="2302" w:type="dxa"/>
            <w:tcBorders>
              <w:right w:val="nil"/>
            </w:tcBorders>
          </w:tcPr>
          <w:p w:rsidR="00F05467" w:rsidRPr="008F668F" w:rsidRDefault="00F05467" w:rsidP="006D29B1">
            <w:pPr>
              <w:pStyle w:val="Bezodstpw"/>
              <w:jc w:val="center"/>
              <w:rPr>
                <w:b/>
                <w:color w:val="FF0000"/>
              </w:rPr>
            </w:pPr>
          </w:p>
        </w:tc>
        <w:tc>
          <w:tcPr>
            <w:tcW w:w="2303" w:type="dxa"/>
            <w:tcBorders>
              <w:left w:val="nil"/>
            </w:tcBorders>
          </w:tcPr>
          <w:p w:rsidR="00F05467" w:rsidRPr="008F668F" w:rsidRDefault="00F05467" w:rsidP="006D29B1">
            <w:pPr>
              <w:pStyle w:val="Bezodstpw"/>
              <w:jc w:val="center"/>
              <w:rPr>
                <w:b/>
                <w:color w:val="FF0000"/>
              </w:rPr>
            </w:pPr>
          </w:p>
        </w:tc>
        <w:tc>
          <w:tcPr>
            <w:tcW w:w="1134" w:type="dxa"/>
          </w:tcPr>
          <w:p w:rsidR="00F05467" w:rsidRPr="008F668F" w:rsidRDefault="00F05467" w:rsidP="006D29B1">
            <w:pPr>
              <w:pStyle w:val="Bezodstpw"/>
              <w:jc w:val="center"/>
              <w:rPr>
                <w:b/>
                <w:color w:val="FF0000"/>
              </w:rPr>
            </w:pPr>
            <w:r>
              <w:rPr>
                <w:b/>
                <w:color w:val="FF0000"/>
              </w:rPr>
              <w:t xml:space="preserve">  +6,5 %</w:t>
            </w:r>
          </w:p>
        </w:tc>
      </w:tr>
      <w:tr w:rsidR="00F05467" w:rsidTr="006D29B1">
        <w:tc>
          <w:tcPr>
            <w:tcW w:w="3402" w:type="dxa"/>
          </w:tcPr>
          <w:p w:rsidR="00F05467" w:rsidRDefault="00F05467" w:rsidP="006D29B1">
            <w:pPr>
              <w:pStyle w:val="Bezodstpw"/>
              <w:jc w:val="center"/>
            </w:pPr>
            <w:r>
              <w:t>WIG 20</w:t>
            </w:r>
          </w:p>
        </w:tc>
        <w:tc>
          <w:tcPr>
            <w:tcW w:w="2302" w:type="dxa"/>
          </w:tcPr>
          <w:p w:rsidR="00F05467" w:rsidRDefault="00F05467" w:rsidP="006D29B1">
            <w:pPr>
              <w:pStyle w:val="Bezodstpw"/>
              <w:jc w:val="center"/>
            </w:pPr>
            <w:r>
              <w:t xml:space="preserve">2 463,68 pkt. </w:t>
            </w:r>
          </w:p>
        </w:tc>
        <w:tc>
          <w:tcPr>
            <w:tcW w:w="2303" w:type="dxa"/>
          </w:tcPr>
          <w:p w:rsidR="00F05467" w:rsidRDefault="00F05467" w:rsidP="006D29B1">
            <w:pPr>
              <w:pStyle w:val="Bezodstpw"/>
              <w:jc w:val="center"/>
            </w:pPr>
            <w:r>
              <w:t>2 418,40 pkt.</w:t>
            </w:r>
          </w:p>
        </w:tc>
        <w:tc>
          <w:tcPr>
            <w:tcW w:w="1134" w:type="dxa"/>
          </w:tcPr>
          <w:p w:rsidR="00F05467" w:rsidRDefault="00F05467" w:rsidP="006D29B1">
            <w:pPr>
              <w:pStyle w:val="Bezodstpw"/>
              <w:jc w:val="center"/>
            </w:pPr>
            <w:r>
              <w:t xml:space="preserve">  -1,8 %</w:t>
            </w:r>
          </w:p>
        </w:tc>
      </w:tr>
    </w:tbl>
    <w:p w:rsidR="00F05467" w:rsidRDefault="00F05467" w:rsidP="00F05467">
      <w:pPr>
        <w:pStyle w:val="Bezodstpw"/>
        <w:jc w:val="both"/>
      </w:pPr>
    </w:p>
    <w:p w:rsidR="006067C4" w:rsidRDefault="00F05467" w:rsidP="00F05467">
      <w:pPr>
        <w:pStyle w:val="Bezodstpw"/>
        <w:jc w:val="both"/>
      </w:pPr>
      <w:r>
        <w:t xml:space="preserve">Warto zauważyć, że </w:t>
      </w:r>
      <w:r w:rsidRPr="003D7CD1">
        <w:rPr>
          <w:b/>
        </w:rPr>
        <w:t>spośród 1</w:t>
      </w:r>
      <w:r>
        <w:rPr>
          <w:b/>
        </w:rPr>
        <w:t>7</w:t>
      </w:r>
      <w:r w:rsidRPr="003D7CD1">
        <w:rPr>
          <w:b/>
        </w:rPr>
        <w:t xml:space="preserve"> spółek, których akcje zakwalifikowane zostały do rubryki ,,Wykres do przemyślenia”</w:t>
      </w:r>
      <w:r>
        <w:t xml:space="preserve"> (gdyż wybiły się już z formacji podwójnego dna) </w:t>
      </w:r>
      <w:r w:rsidRPr="003D7CD1">
        <w:rPr>
          <w:b/>
        </w:rPr>
        <w:t>kursy akcji 1</w:t>
      </w:r>
      <w:r>
        <w:rPr>
          <w:b/>
        </w:rPr>
        <w:t>5</w:t>
      </w:r>
      <w:r w:rsidRPr="003D7CD1">
        <w:rPr>
          <w:b/>
        </w:rPr>
        <w:t xml:space="preserve"> spółek</w:t>
      </w:r>
      <w:r>
        <w:t xml:space="preserve"> od momentu owego zakwalifikowania do tej rubryki do dnia 14 listopada 2014 roku zachowywały się </w:t>
      </w:r>
      <w:r w:rsidRPr="003D7CD1">
        <w:rPr>
          <w:b/>
          <w:u w:val="single"/>
        </w:rPr>
        <w:t>lepiej</w:t>
      </w:r>
      <w:r>
        <w:t xml:space="preserve"> od indeksu WIG20, </w:t>
      </w:r>
      <w:r w:rsidRPr="003D7CD1">
        <w:rPr>
          <w:b/>
        </w:rPr>
        <w:t xml:space="preserve">a </w:t>
      </w:r>
      <w:r>
        <w:rPr>
          <w:b/>
        </w:rPr>
        <w:t>2</w:t>
      </w:r>
      <w:r w:rsidRPr="003D7CD1">
        <w:rPr>
          <w:b/>
        </w:rPr>
        <w:t xml:space="preserve"> </w:t>
      </w:r>
      <w:r w:rsidRPr="003D7CD1">
        <w:rPr>
          <w:b/>
          <w:u w:val="single"/>
        </w:rPr>
        <w:t>gorzej.</w:t>
      </w:r>
      <w:r>
        <w:t xml:space="preserve"> </w:t>
      </w:r>
    </w:p>
    <w:p w:rsidR="006067C4" w:rsidRDefault="006067C4" w:rsidP="00F05467">
      <w:pPr>
        <w:pStyle w:val="Bezodstpw"/>
        <w:jc w:val="both"/>
      </w:pPr>
    </w:p>
    <w:p w:rsidR="00F05467" w:rsidRDefault="00F05467" w:rsidP="00F05467">
      <w:pPr>
        <w:pStyle w:val="Bezodstpw"/>
        <w:jc w:val="both"/>
      </w:pPr>
      <w:r>
        <w:t xml:space="preserve">To pokazuje, że kursy akcji po wybiciu z formacji podwójnego zazwyczaj zachowywały się relatywnie mocno (szczególnie Rafako, Stalprodukt, Capital Partners oraz </w:t>
      </w:r>
      <w:proofErr w:type="spellStart"/>
      <w:r>
        <w:t>Immobile</w:t>
      </w:r>
      <w:proofErr w:type="spellEnd"/>
      <w:r>
        <w:t>), aczkolwiek były przykłady relatywnej słabości (</w:t>
      </w:r>
      <w:proofErr w:type="spellStart"/>
      <w:r>
        <w:t>Sygnity</w:t>
      </w:r>
      <w:proofErr w:type="spellEnd"/>
      <w:r>
        <w:t xml:space="preserve">, </w:t>
      </w:r>
      <w:proofErr w:type="spellStart"/>
      <w:r>
        <w:t>Tesgas</w:t>
      </w:r>
      <w:proofErr w:type="spellEnd"/>
      <w:r>
        <w:t>)</w:t>
      </w:r>
    </w:p>
    <w:p w:rsidR="00F05467" w:rsidRDefault="00F05467" w:rsidP="00F05467">
      <w:pPr>
        <w:pStyle w:val="Bezodstpw"/>
        <w:jc w:val="both"/>
      </w:pPr>
    </w:p>
    <w:p w:rsidR="00F05467" w:rsidRDefault="007A5500" w:rsidP="00F05467">
      <w:pPr>
        <w:pStyle w:val="Bezodstpw"/>
        <w:jc w:val="both"/>
      </w:pPr>
      <w:r>
        <w:t>7</w:t>
      </w:r>
    </w:p>
    <w:p w:rsidR="00F05467" w:rsidRDefault="00F05467" w:rsidP="00F05467">
      <w:pPr>
        <w:pStyle w:val="Bezodstpw"/>
        <w:jc w:val="both"/>
      </w:pPr>
    </w:p>
    <w:p w:rsidR="006067C4" w:rsidRDefault="006067C4" w:rsidP="00F05467">
      <w:pPr>
        <w:pStyle w:val="Bezodstpw"/>
        <w:jc w:val="both"/>
      </w:pPr>
    </w:p>
    <w:p w:rsidR="00F05467" w:rsidRDefault="00F05467" w:rsidP="00F05467">
      <w:pPr>
        <w:pStyle w:val="Bezodstpw"/>
        <w:jc w:val="both"/>
        <w:rPr>
          <w:b/>
        </w:rPr>
      </w:pPr>
      <w:r w:rsidRPr="00684436">
        <w:rPr>
          <w:b/>
        </w:rPr>
        <w:lastRenderedPageBreak/>
        <w:t xml:space="preserve">Wnioski końcowe </w:t>
      </w:r>
    </w:p>
    <w:p w:rsidR="00F05467" w:rsidRDefault="00F05467" w:rsidP="00F05467">
      <w:pPr>
        <w:pStyle w:val="Bezodstpw"/>
        <w:jc w:val="both"/>
        <w:rPr>
          <w:b/>
        </w:rPr>
      </w:pPr>
    </w:p>
    <w:p w:rsidR="00F05467" w:rsidRDefault="00F05467" w:rsidP="00F05467">
      <w:pPr>
        <w:pStyle w:val="Bezodstpw"/>
        <w:numPr>
          <w:ilvl w:val="0"/>
          <w:numId w:val="1"/>
        </w:numPr>
        <w:jc w:val="both"/>
      </w:pPr>
      <w:r w:rsidRPr="00FB3F9D">
        <w:rPr>
          <w:b/>
        </w:rPr>
        <w:t>Kurs dolara (w złotych)</w:t>
      </w:r>
      <w:r w:rsidRPr="00ED5598">
        <w:t xml:space="preserve"> </w:t>
      </w:r>
      <w:r>
        <w:t xml:space="preserve">osiągnął poziom </w:t>
      </w:r>
      <w:r w:rsidRPr="00FB3F9D">
        <w:rPr>
          <w:b/>
        </w:rPr>
        <w:t>długoterminowej spadkowej linii trendu</w:t>
      </w:r>
      <w:r w:rsidRPr="00ED5598">
        <w:t xml:space="preserve"> poprowadzonej przez szczyty z lutego 2009 roku oraz czerwca 2012 roku. Linia ta stanowi bardzo ważny opór. </w:t>
      </w:r>
      <w:r>
        <w:t xml:space="preserve">W tej sytuacji </w:t>
      </w:r>
      <w:r w:rsidRPr="00863762">
        <w:rPr>
          <w:b/>
          <w:u w:val="single"/>
        </w:rPr>
        <w:t>w najbliższych tygodniach można oczekiwać spadków kursu dolara amerykańskiego (w złotych).</w:t>
      </w:r>
      <w:r>
        <w:rPr>
          <w:b/>
          <w:u w:val="single"/>
        </w:rPr>
        <w:t xml:space="preserve"> </w:t>
      </w:r>
      <w:r w:rsidRPr="00ED5598">
        <w:t xml:space="preserve">Z kolei </w:t>
      </w:r>
      <w:r w:rsidRPr="00FB3F9D">
        <w:rPr>
          <w:b/>
        </w:rPr>
        <w:t>kurs euro (w złotych)</w:t>
      </w:r>
      <w:r w:rsidRPr="00ED5598">
        <w:t xml:space="preserve"> znajduje się </w:t>
      </w:r>
      <w:r w:rsidRPr="00FB3F9D">
        <w:rPr>
          <w:b/>
        </w:rPr>
        <w:t xml:space="preserve">poniżej długoterminowej spadkowej linii trendu </w:t>
      </w:r>
      <w:r w:rsidRPr="00ED5598">
        <w:t xml:space="preserve">poprowadzonej przez szczyty z lutego 2009 roku oraz grudnia 2011 roku. Linia ta stanowi bardzo ważny opór. W chwili obecnej przebiega ona na poziomie </w:t>
      </w:r>
      <w:r w:rsidRPr="00FB3F9D">
        <w:rPr>
          <w:b/>
          <w:color w:val="FF0000"/>
        </w:rPr>
        <w:t>4,26</w:t>
      </w:r>
      <w:r>
        <w:rPr>
          <w:b/>
          <w:color w:val="FF0000"/>
        </w:rPr>
        <w:t>3</w:t>
      </w:r>
      <w:r w:rsidRPr="00FB3F9D">
        <w:rPr>
          <w:b/>
          <w:color w:val="FF0000"/>
        </w:rPr>
        <w:t>0</w:t>
      </w:r>
      <w:r w:rsidRPr="00ED5598">
        <w:t xml:space="preserve">.  </w:t>
      </w:r>
    </w:p>
    <w:p w:rsidR="00F05467" w:rsidRDefault="00F05467" w:rsidP="00F05467">
      <w:pPr>
        <w:pStyle w:val="Bezodstpw"/>
        <w:ind w:left="720"/>
        <w:jc w:val="both"/>
      </w:pPr>
    </w:p>
    <w:p w:rsidR="00F05467" w:rsidRDefault="00F05467" w:rsidP="00F05467">
      <w:pPr>
        <w:pStyle w:val="Bezodstpw"/>
        <w:numPr>
          <w:ilvl w:val="0"/>
          <w:numId w:val="1"/>
        </w:numPr>
        <w:jc w:val="both"/>
      </w:pPr>
      <w:r w:rsidRPr="00982E77">
        <w:t>Analizując wykres indeksu WIG 20 w horyzoncie długoterminowym można dostrzec trwający kilkanaście miesięcy okres konsolidacji. Sądzę, że jesteśmy przed bardzo silnym wybiciem z konsolidacji. Uważam, że szereg argumentów przemawia za tym, że będzie to silne wybicie w górę.</w:t>
      </w:r>
      <w:r>
        <w:t xml:space="preserve"> </w:t>
      </w:r>
      <w:r w:rsidRPr="00ED5598">
        <w:t xml:space="preserve">Przemawiają za tym: </w:t>
      </w:r>
      <w:r>
        <w:t xml:space="preserve">rozpoczęcie na początku listopada </w:t>
      </w:r>
      <w:r w:rsidRPr="00E701C8">
        <w:rPr>
          <w:b/>
          <w:color w:val="FF0000"/>
        </w:rPr>
        <w:t>najbardziej korzystnej dla posiadaczy akcji fazy amerykańskiego cyklu prezydenckiego</w:t>
      </w:r>
      <w:r w:rsidRPr="00E701C8">
        <w:rPr>
          <w:color w:val="FF0000"/>
        </w:rPr>
        <w:t>,</w:t>
      </w:r>
      <w:r w:rsidRPr="00ED5598">
        <w:t xml:space="preserve"> brak przewartościowania polskich akcji z punktu widzenia wskaźnika C/WK, łagodna polityka pieniężna w wielu krajach, spadek cen surowców, który wraz z umocnienie dolara w euro działa antyinflacyjnie i sprzyja temu, aby amerykański bank centralny wciąż utrzymywał stopy procentowe na bardzo niskim poziomie. </w:t>
      </w:r>
    </w:p>
    <w:p w:rsidR="00F05467" w:rsidRDefault="00F05467" w:rsidP="00F05467">
      <w:pPr>
        <w:pStyle w:val="Bezodstpw"/>
        <w:ind w:left="720"/>
        <w:jc w:val="both"/>
      </w:pPr>
    </w:p>
    <w:p w:rsidR="00F05467" w:rsidRDefault="00F05467" w:rsidP="00F05467">
      <w:pPr>
        <w:pStyle w:val="Bezodstpw"/>
        <w:numPr>
          <w:ilvl w:val="0"/>
          <w:numId w:val="1"/>
        </w:numPr>
        <w:jc w:val="both"/>
      </w:pPr>
      <w:r w:rsidRPr="00E701C8">
        <w:rPr>
          <w:b/>
          <w:color w:val="FF0000"/>
        </w:rPr>
        <w:t>Indeks surowcowy CRB</w:t>
      </w:r>
      <w:r>
        <w:t xml:space="preserve"> </w:t>
      </w:r>
      <w:r w:rsidRPr="00E701C8">
        <w:rPr>
          <w:b/>
          <w:u w:val="single"/>
        </w:rPr>
        <w:t>zbliżył się do wzrostowej linii trendu</w:t>
      </w:r>
      <w:r>
        <w:t xml:space="preserve"> poprowadzonej przez </w:t>
      </w:r>
      <w:proofErr w:type="spellStart"/>
      <w:r>
        <w:t>przez</w:t>
      </w:r>
      <w:proofErr w:type="spellEnd"/>
      <w:r>
        <w:t xml:space="preserve"> dołki  z lutego 1999 roku oraz marca 2009 roku. Jednocześnie indeks ten znalazł się </w:t>
      </w:r>
      <w:r w:rsidRPr="00E701C8">
        <w:rPr>
          <w:b/>
          <w:u w:val="single"/>
        </w:rPr>
        <w:t>w okolicach bardzo silnego wsparcia</w:t>
      </w:r>
      <w:r>
        <w:t xml:space="preserve"> z czerwca 2012 roku. Z tego powodu </w:t>
      </w:r>
      <w:r w:rsidRPr="00E701C8">
        <w:rPr>
          <w:b/>
          <w:color w:val="FF0000"/>
        </w:rPr>
        <w:t>można oczekiwać wzrostów cen surowców w najbliższych miesiącach</w:t>
      </w:r>
      <w:r>
        <w:t>, co powinno sprzyjać wzrostom indeksów na rynkach wschodzących, w tym i na polskim rynku akcji</w:t>
      </w:r>
    </w:p>
    <w:p w:rsidR="00F05467" w:rsidRDefault="00F05467" w:rsidP="00F05467">
      <w:pPr>
        <w:pStyle w:val="Bezodstpw"/>
        <w:ind w:left="720"/>
        <w:jc w:val="both"/>
      </w:pPr>
    </w:p>
    <w:p w:rsidR="00F05467" w:rsidRDefault="00F05467" w:rsidP="00F05467">
      <w:pPr>
        <w:pStyle w:val="Bezodstpw"/>
        <w:numPr>
          <w:ilvl w:val="0"/>
          <w:numId w:val="1"/>
        </w:numPr>
        <w:jc w:val="both"/>
      </w:pPr>
      <w:r>
        <w:t xml:space="preserve">Akcje spółek na </w:t>
      </w:r>
      <w:r w:rsidRPr="00E701C8">
        <w:rPr>
          <w:b/>
        </w:rPr>
        <w:t>rynkach wschodzących</w:t>
      </w:r>
      <w:r>
        <w:t xml:space="preserve"> notowane są przy poziomach wskaźników wyceny rynku kapitałowego </w:t>
      </w:r>
      <w:r w:rsidRPr="00E701C8">
        <w:rPr>
          <w:b/>
        </w:rPr>
        <w:t>(C/Z, C/WK) na wyraźnie niższym poziomie, niż akcje spółek na rynkach dojrzałych</w:t>
      </w:r>
      <w:r>
        <w:t xml:space="preserve">. Przykładowo, gdyby </w:t>
      </w:r>
      <w:r w:rsidRPr="006067C4">
        <w:rPr>
          <w:b/>
          <w:color w:val="FF0000"/>
        </w:rPr>
        <w:t>indeks akcji rynków wschodzących</w:t>
      </w:r>
      <w:r>
        <w:t xml:space="preserve"> miał być notowany na poziomie wskaźnika Cena / Zysk netto typowym dla indeksu rynków dojrzałych (czyli dla indeksu ogólnoświatowego) </w:t>
      </w:r>
      <w:r w:rsidRPr="00E701C8">
        <w:rPr>
          <w:b/>
          <w:color w:val="FF0000"/>
        </w:rPr>
        <w:t>powinien kształtować się obecnie na poziomie aż o 40,9 % wyższym niż poziom bieżący</w:t>
      </w:r>
      <w:r>
        <w:t xml:space="preserve">. Z kolei,  gdyby indeks akcji rynków wschodzących miał być notowany na poziomie wskaźnika Cena / Wartość Księgowa typowym dla indeksu rynków dojrzałych (czyli dla indeksu ogólnoświatowego) </w:t>
      </w:r>
      <w:r w:rsidRPr="00E701C8">
        <w:rPr>
          <w:b/>
          <w:color w:val="FF0000"/>
        </w:rPr>
        <w:t>powinien kształtować się obecnie na poziomie aż o 41,6 % wyższym niż poziom bieżący.</w:t>
      </w:r>
      <w:r>
        <w:t xml:space="preserve"> </w:t>
      </w:r>
    </w:p>
    <w:p w:rsidR="00F05467" w:rsidRDefault="00F05467" w:rsidP="00F05467">
      <w:pPr>
        <w:pStyle w:val="Bezodstpw"/>
        <w:ind w:left="720"/>
        <w:jc w:val="both"/>
      </w:pPr>
    </w:p>
    <w:p w:rsidR="00F05467" w:rsidRDefault="00F05467" w:rsidP="00F05467">
      <w:pPr>
        <w:pStyle w:val="Bezodstpw"/>
        <w:jc w:val="both"/>
      </w:pPr>
      <w:r>
        <w:t xml:space="preserve">Opracował: </w:t>
      </w:r>
      <w:r w:rsidRPr="00AA453E">
        <w:t>Sławomir Kłusek</w:t>
      </w:r>
      <w:r>
        <w:t>, 1</w:t>
      </w:r>
      <w:r w:rsidR="006067C4">
        <w:t>7</w:t>
      </w:r>
      <w:r>
        <w:t xml:space="preserve"> listopada 2014 r.</w:t>
      </w:r>
    </w:p>
    <w:p w:rsidR="00F05467" w:rsidRDefault="00F05467" w:rsidP="00F05467">
      <w:pPr>
        <w:pStyle w:val="Bezodstpw"/>
        <w:ind w:left="720"/>
        <w:jc w:val="both"/>
      </w:pPr>
    </w:p>
    <w:p w:rsidR="00F05467" w:rsidRDefault="00F05467" w:rsidP="00F05467">
      <w:pPr>
        <w:pStyle w:val="Bezodstpw"/>
        <w:jc w:val="both"/>
      </w:pPr>
      <w:r>
        <w:t xml:space="preserve">Powyższy raport stanowi wyłącznie wyraz osobistych opinii autora. </w:t>
      </w:r>
    </w:p>
    <w:p w:rsidR="00F05467" w:rsidRDefault="00F05467" w:rsidP="00F05467">
      <w:pPr>
        <w:pStyle w:val="Bezodstpw"/>
        <w:jc w:val="both"/>
      </w:pPr>
    </w:p>
    <w:p w:rsidR="00F05467" w:rsidRDefault="00F05467" w:rsidP="00F05467">
      <w:pPr>
        <w:pStyle w:val="Bezodstpw"/>
        <w:jc w:val="both"/>
      </w:pPr>
      <w:r>
        <w:t xml:space="preserve">Treści zawarte na stronie internetowej </w:t>
      </w:r>
      <w:hyperlink r:id="rId14" w:history="1">
        <w:r w:rsidRPr="00093965">
          <w:rPr>
            <w:rStyle w:val="Hipercze"/>
          </w:rPr>
          <w:t>www.analizy-rynkowe.pl</w:t>
        </w:r>
      </w:hyperlink>
      <w:r>
        <w:t xml:space="preserve"> </w:t>
      </w:r>
      <w:r w:rsidRPr="00875D60">
        <w:t>nie stanowi</w:t>
      </w:r>
      <w:r>
        <w:t>ą</w:t>
      </w:r>
      <w:r w:rsidRPr="00875D60">
        <w:t xml:space="preserve"> "rekomendacji" w rozumieniu przepisów Rozporządzenia Ministra Finansów z dnia 19 października 2005 r. w sprawie informacji stanowiących rekomendacje dotyczące instrumentów finansowych, lub ich emitentów (</w:t>
      </w:r>
      <w:proofErr w:type="spellStart"/>
      <w:r w:rsidRPr="00875D60">
        <w:t>Dz.U</w:t>
      </w:r>
      <w:proofErr w:type="spellEnd"/>
      <w:r w:rsidRPr="00875D60">
        <w:t>. z 2005 r. Nr 206, poz. 1715).</w:t>
      </w:r>
    </w:p>
    <w:p w:rsidR="00F05467" w:rsidRDefault="00F05467" w:rsidP="00F05467">
      <w:pPr>
        <w:pStyle w:val="Bezodstpw"/>
        <w:jc w:val="both"/>
      </w:pPr>
    </w:p>
    <w:p w:rsidR="00F05467" w:rsidRDefault="00F05467" w:rsidP="00F05467">
      <w:pPr>
        <w:pStyle w:val="Bezodstpw"/>
        <w:jc w:val="both"/>
      </w:pPr>
      <w:r>
        <w:t xml:space="preserve">Autor nie ponosi odpowiedzialności za jakiekolwiek decyzje inwestycyjne podjęte na podstawie treści zawartych na stronie internetowej </w:t>
      </w:r>
      <w:hyperlink r:id="rId15" w:history="1">
        <w:r w:rsidRPr="00093965">
          <w:rPr>
            <w:rStyle w:val="Hipercze"/>
          </w:rPr>
          <w:t>www.analizy-rynkowe.pl</w:t>
        </w:r>
      </w:hyperlink>
    </w:p>
    <w:p w:rsidR="00F05467" w:rsidRDefault="00F05467" w:rsidP="00F05467"/>
    <w:p w:rsidR="00F05467" w:rsidRPr="00F05467" w:rsidRDefault="00F05467" w:rsidP="00F05467"/>
    <w:sectPr w:rsidR="00F05467" w:rsidRPr="00F05467" w:rsidSect="006672C8">
      <w:footerReference w:type="default" r:id="rId1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B96" w:rsidRDefault="00E34B96" w:rsidP="00C60DB7">
      <w:pPr>
        <w:spacing w:after="0" w:line="240" w:lineRule="auto"/>
      </w:pPr>
      <w:r>
        <w:separator/>
      </w:r>
    </w:p>
  </w:endnote>
  <w:endnote w:type="continuationSeparator" w:id="0">
    <w:p w:rsidR="00E34B96" w:rsidRDefault="00E34B96" w:rsidP="00C60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094"/>
      <w:docPartObj>
        <w:docPartGallery w:val="Page Numbers (Bottom of Page)"/>
        <w:docPartUnique/>
      </w:docPartObj>
    </w:sdtPr>
    <w:sdtContent>
      <w:p w:rsidR="003260DC" w:rsidRDefault="00F57C18">
        <w:pPr>
          <w:pStyle w:val="Stopka"/>
          <w:jc w:val="center"/>
        </w:pPr>
        <w:r>
          <w:fldChar w:fldCharType="begin"/>
        </w:r>
        <w:r w:rsidR="00F05467">
          <w:instrText>PAGE   \* MERGEFORMAT</w:instrText>
        </w:r>
        <w:r>
          <w:fldChar w:fldCharType="separate"/>
        </w:r>
        <w:r w:rsidR="007A5500">
          <w:rPr>
            <w:noProof/>
          </w:rPr>
          <w:t>7</w:t>
        </w:r>
        <w:r>
          <w:fldChar w:fldCharType="end"/>
        </w:r>
      </w:p>
    </w:sdtContent>
  </w:sdt>
  <w:p w:rsidR="003260DC" w:rsidRDefault="00E34B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B96" w:rsidRDefault="00E34B96" w:rsidP="00C60DB7">
      <w:pPr>
        <w:spacing w:after="0" w:line="240" w:lineRule="auto"/>
      </w:pPr>
      <w:r>
        <w:separator/>
      </w:r>
    </w:p>
  </w:footnote>
  <w:footnote w:type="continuationSeparator" w:id="0">
    <w:p w:rsidR="00E34B96" w:rsidRDefault="00E34B96" w:rsidP="00C60D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263D7"/>
    <w:multiLevelType w:val="hybridMultilevel"/>
    <w:tmpl w:val="24B0EF42"/>
    <w:lvl w:ilvl="0" w:tplc="A642DB22">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05467"/>
    <w:rsid w:val="00313818"/>
    <w:rsid w:val="006067C4"/>
    <w:rsid w:val="007A5500"/>
    <w:rsid w:val="007E7B35"/>
    <w:rsid w:val="008B66E9"/>
    <w:rsid w:val="00C60DB7"/>
    <w:rsid w:val="00E34B96"/>
    <w:rsid w:val="00F05467"/>
    <w:rsid w:val="00F35F96"/>
    <w:rsid w:val="00F57C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46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05467"/>
    <w:pPr>
      <w:spacing w:after="0" w:line="240" w:lineRule="auto"/>
    </w:pPr>
    <w:rPr>
      <w:rFonts w:eastAsiaTheme="minorEastAsia"/>
      <w:lang w:eastAsia="pl-PL"/>
    </w:rPr>
  </w:style>
  <w:style w:type="paragraph" w:styleId="Stopka">
    <w:name w:val="footer"/>
    <w:basedOn w:val="Normalny"/>
    <w:link w:val="StopkaZnak"/>
    <w:uiPriority w:val="99"/>
    <w:unhideWhenUsed/>
    <w:rsid w:val="00F054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467"/>
    <w:rPr>
      <w:rFonts w:eastAsiaTheme="minorEastAsia"/>
      <w:lang w:eastAsia="pl-PL"/>
    </w:rPr>
  </w:style>
  <w:style w:type="character" w:styleId="Hipercze">
    <w:name w:val="Hyperlink"/>
    <w:basedOn w:val="Domylnaczcionkaakapitu"/>
    <w:uiPriority w:val="99"/>
    <w:unhideWhenUsed/>
    <w:rsid w:val="00F05467"/>
    <w:rPr>
      <w:color w:val="0000FF" w:themeColor="hyperlink"/>
      <w:u w:val="single"/>
    </w:rPr>
  </w:style>
  <w:style w:type="table" w:styleId="Tabela-Siatka">
    <w:name w:val="Table Grid"/>
    <w:basedOn w:val="Standardowy"/>
    <w:uiPriority w:val="59"/>
    <w:rsid w:val="00F0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054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5467"/>
    <w:rPr>
      <w:rFonts w:ascii="Tahoma" w:eastAsiaTheme="minorEastAsia" w:hAnsi="Tahoma" w:cs="Tahoma"/>
      <w:sz w:val="16"/>
      <w:szCs w:val="16"/>
      <w:lang w:eastAsia="pl-PL"/>
    </w:rPr>
  </w:style>
  <w:style w:type="paragraph" w:styleId="Akapitzlist">
    <w:name w:val="List Paragraph"/>
    <w:basedOn w:val="Normalny"/>
    <w:uiPriority w:val="34"/>
    <w:qFormat/>
    <w:rsid w:val="007A55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analizy-rynkow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analizy-rynkowe.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alizy-rynkowe.pl" TargetMode="External"/><Relationship Id="rId5" Type="http://schemas.openxmlformats.org/officeDocument/2006/relationships/footnotes" Target="footnotes.xml"/><Relationship Id="rId15" Type="http://schemas.openxmlformats.org/officeDocument/2006/relationships/hyperlink" Target="http://www.analizy-rynkowe.pl"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msci.com/resources/factsheets/index_fact_sheet/msci-world-index.pdf" TargetMode="External"/><Relationship Id="rId14" Type="http://schemas.openxmlformats.org/officeDocument/2006/relationships/hyperlink" Target="http://www.analizy-rynk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2448</Words>
  <Characters>14693</Characters>
  <Application>Microsoft Office Word</Application>
  <DocSecurity>0</DocSecurity>
  <Lines>122</Lines>
  <Paragraphs>34</Paragraphs>
  <ScaleCrop>false</ScaleCrop>
  <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3</cp:revision>
  <dcterms:created xsi:type="dcterms:W3CDTF">2014-11-16T19:02:00Z</dcterms:created>
  <dcterms:modified xsi:type="dcterms:W3CDTF">2014-11-16T19:07:00Z</dcterms:modified>
</cp:coreProperties>
</file>