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52" w:rsidRPr="00C16D3A" w:rsidRDefault="00355D52" w:rsidP="00355D52">
      <w:pPr>
        <w:pStyle w:val="Bezodstpw"/>
        <w:jc w:val="center"/>
        <w:rPr>
          <w:shadow/>
          <w:color w:val="FF0000"/>
          <w:sz w:val="180"/>
          <w:szCs w:val="180"/>
        </w:rPr>
      </w:pPr>
      <w:r w:rsidRPr="00C16D3A">
        <w:rPr>
          <w:shadow/>
          <w:color w:val="FF0000"/>
          <w:sz w:val="180"/>
          <w:szCs w:val="180"/>
        </w:rPr>
        <w:t>Raport</w:t>
      </w:r>
    </w:p>
    <w:p w:rsidR="00355D52" w:rsidRDefault="00355D52" w:rsidP="00355D52">
      <w:pPr>
        <w:pStyle w:val="Bezodstpw"/>
        <w:jc w:val="center"/>
        <w:rPr>
          <w:shadow/>
          <w:color w:val="FF0000"/>
          <w:sz w:val="180"/>
          <w:szCs w:val="180"/>
        </w:rPr>
      </w:pPr>
      <w:r w:rsidRPr="00C16D3A">
        <w:rPr>
          <w:shadow/>
          <w:color w:val="FF0000"/>
          <w:sz w:val="180"/>
          <w:szCs w:val="180"/>
        </w:rPr>
        <w:t>Tygodniowy</w:t>
      </w:r>
    </w:p>
    <w:p w:rsidR="00355D52" w:rsidRPr="00BB2EC3" w:rsidRDefault="00355D52" w:rsidP="00355D52">
      <w:pPr>
        <w:pStyle w:val="Bezodstpw"/>
        <w:jc w:val="center"/>
        <w:rPr>
          <w:shadow/>
          <w:color w:val="FF0000"/>
          <w:sz w:val="100"/>
          <w:szCs w:val="100"/>
        </w:rPr>
      </w:pPr>
      <w:r w:rsidRPr="00BB2EC3">
        <w:rPr>
          <w:shadow/>
          <w:color w:val="FF0000"/>
          <w:sz w:val="100"/>
          <w:szCs w:val="100"/>
        </w:rPr>
        <w:t>o sytuacji na</w:t>
      </w:r>
    </w:p>
    <w:p w:rsidR="00355D52" w:rsidRPr="00BB2EC3" w:rsidRDefault="00355D52" w:rsidP="00355D52">
      <w:pPr>
        <w:pStyle w:val="Bezodstpw"/>
        <w:jc w:val="center"/>
        <w:rPr>
          <w:shadow/>
          <w:color w:val="FF0000"/>
          <w:sz w:val="100"/>
          <w:szCs w:val="100"/>
        </w:rPr>
      </w:pPr>
      <w:r w:rsidRPr="00BB2EC3">
        <w:rPr>
          <w:shadow/>
          <w:color w:val="FF0000"/>
          <w:sz w:val="100"/>
          <w:szCs w:val="100"/>
        </w:rPr>
        <w:t>rynkach finansowych</w:t>
      </w:r>
    </w:p>
    <w:p w:rsidR="00355D52" w:rsidRPr="00400806" w:rsidRDefault="00355D52" w:rsidP="00355D52">
      <w:pPr>
        <w:pStyle w:val="Bezodstpw"/>
        <w:jc w:val="center"/>
        <w:rPr>
          <w:sz w:val="48"/>
          <w:szCs w:val="48"/>
        </w:rPr>
      </w:pPr>
    </w:p>
    <w:p w:rsidR="00355D52" w:rsidRDefault="00355D52" w:rsidP="00355D52">
      <w:pPr>
        <w:pStyle w:val="Bezodstpw"/>
        <w:jc w:val="center"/>
        <w:rPr>
          <w:sz w:val="48"/>
          <w:szCs w:val="48"/>
        </w:rPr>
      </w:pPr>
    </w:p>
    <w:p w:rsidR="00355D52" w:rsidRPr="009A4255" w:rsidRDefault="00355D52" w:rsidP="00355D52">
      <w:pPr>
        <w:pStyle w:val="Bezodstpw"/>
        <w:jc w:val="center"/>
        <w:rPr>
          <w:shadow/>
          <w:sz w:val="100"/>
          <w:szCs w:val="100"/>
          <w:u w:val="single"/>
        </w:rPr>
      </w:pPr>
      <w:r w:rsidRPr="009A4255">
        <w:rPr>
          <w:shadow/>
          <w:sz w:val="100"/>
          <w:szCs w:val="100"/>
          <w:u w:val="single"/>
        </w:rPr>
        <w:t>Rynek walutowy</w:t>
      </w:r>
    </w:p>
    <w:p w:rsidR="00355D52" w:rsidRPr="009A4255" w:rsidRDefault="00355D52" w:rsidP="00355D52">
      <w:pPr>
        <w:pStyle w:val="Bezodstpw"/>
        <w:jc w:val="center"/>
        <w:rPr>
          <w:shadow/>
          <w:sz w:val="100"/>
          <w:szCs w:val="100"/>
        </w:rPr>
      </w:pPr>
    </w:p>
    <w:p w:rsidR="00355D52" w:rsidRPr="009A4255" w:rsidRDefault="00355D52" w:rsidP="00355D52">
      <w:pPr>
        <w:pStyle w:val="Bezodstpw"/>
        <w:jc w:val="center"/>
        <w:rPr>
          <w:shadow/>
          <w:sz w:val="100"/>
          <w:szCs w:val="100"/>
          <w:u w:val="single"/>
        </w:rPr>
      </w:pPr>
      <w:r w:rsidRPr="009A4255">
        <w:rPr>
          <w:shadow/>
          <w:sz w:val="100"/>
          <w:szCs w:val="100"/>
          <w:u w:val="single"/>
        </w:rPr>
        <w:t>Rynek akcji</w:t>
      </w:r>
    </w:p>
    <w:p w:rsidR="00355D52" w:rsidRDefault="00355D52" w:rsidP="00355D52">
      <w:pPr>
        <w:pStyle w:val="Bezodstpw"/>
        <w:jc w:val="both"/>
      </w:pPr>
    </w:p>
    <w:p w:rsidR="00355D52" w:rsidRDefault="00355D52" w:rsidP="00355D52">
      <w:pPr>
        <w:pStyle w:val="Bezodstpw"/>
        <w:jc w:val="both"/>
      </w:pPr>
    </w:p>
    <w:p w:rsidR="00355D52" w:rsidRDefault="00355D52" w:rsidP="00355D52">
      <w:pPr>
        <w:pStyle w:val="Bezodstpw"/>
        <w:jc w:val="both"/>
      </w:pPr>
    </w:p>
    <w:p w:rsidR="00355D52" w:rsidRDefault="00355D52" w:rsidP="00355D52">
      <w:pPr>
        <w:pStyle w:val="Bezodstpw"/>
        <w:jc w:val="both"/>
      </w:pPr>
    </w:p>
    <w:p w:rsidR="00355D52" w:rsidRDefault="00355D52" w:rsidP="00355D52">
      <w:pPr>
        <w:pStyle w:val="Bezodstpw"/>
        <w:jc w:val="both"/>
      </w:pPr>
    </w:p>
    <w:p w:rsidR="00355D52" w:rsidRDefault="00355D52" w:rsidP="00355D52">
      <w:pPr>
        <w:pStyle w:val="Bezodstpw"/>
        <w:jc w:val="both"/>
      </w:pPr>
    </w:p>
    <w:p w:rsidR="00355D52" w:rsidRDefault="00355D52" w:rsidP="00355D52">
      <w:pPr>
        <w:pStyle w:val="Bezodstpw"/>
        <w:jc w:val="both"/>
      </w:pPr>
    </w:p>
    <w:p w:rsidR="00355D52" w:rsidRDefault="00355D52" w:rsidP="00355D52">
      <w:pPr>
        <w:pStyle w:val="Bezodstpw"/>
        <w:jc w:val="both"/>
      </w:pPr>
    </w:p>
    <w:p w:rsidR="00355D52" w:rsidRPr="00D72F94" w:rsidRDefault="00355D52" w:rsidP="00355D52">
      <w:pPr>
        <w:pStyle w:val="Bezodstpw"/>
        <w:jc w:val="both"/>
        <w:rPr>
          <w:shadow/>
          <w:sz w:val="24"/>
          <w:szCs w:val="24"/>
        </w:rPr>
      </w:pPr>
      <w:r w:rsidRPr="00D72F94">
        <w:rPr>
          <w:shadow/>
          <w:sz w:val="24"/>
          <w:szCs w:val="24"/>
        </w:rPr>
        <w:lastRenderedPageBreak/>
        <w:t xml:space="preserve">Poniedziałek, </w:t>
      </w:r>
      <w:r>
        <w:rPr>
          <w:shadow/>
          <w:sz w:val="24"/>
          <w:szCs w:val="24"/>
        </w:rPr>
        <w:t xml:space="preserve">10 listopada </w:t>
      </w:r>
      <w:r w:rsidRPr="00D72F94">
        <w:rPr>
          <w:shadow/>
          <w:sz w:val="24"/>
          <w:szCs w:val="24"/>
        </w:rPr>
        <w:t>2014 roku</w:t>
      </w:r>
    </w:p>
    <w:p w:rsidR="00355D52" w:rsidRDefault="00355D52" w:rsidP="00355D52">
      <w:pPr>
        <w:pStyle w:val="Bezodstpw"/>
        <w:jc w:val="both"/>
      </w:pPr>
    </w:p>
    <w:p w:rsidR="00355D52" w:rsidRDefault="00355D52" w:rsidP="00355D52">
      <w:pPr>
        <w:pStyle w:val="Bezodstpw"/>
        <w:pBdr>
          <w:top w:val="single" w:sz="4" w:space="1" w:color="auto"/>
          <w:left w:val="single" w:sz="4" w:space="4" w:color="auto"/>
          <w:bottom w:val="single" w:sz="4" w:space="1" w:color="auto"/>
          <w:right w:val="single" w:sz="4" w:space="4" w:color="auto"/>
        </w:pBdr>
        <w:jc w:val="center"/>
      </w:pPr>
      <w:r>
        <w:t>Kurs USD/PLN – perspektywa długoterminowa, kurs z 7 listopada 2014 roku = 3,3915</w:t>
      </w:r>
    </w:p>
    <w:p w:rsidR="00355D52" w:rsidRDefault="00355D52" w:rsidP="00355D52">
      <w:pPr>
        <w:pStyle w:val="Bezodstpw"/>
        <w:jc w:val="both"/>
      </w:pPr>
    </w:p>
    <w:p w:rsidR="00355D52" w:rsidRDefault="00355D52" w:rsidP="00355D52">
      <w:pPr>
        <w:pStyle w:val="Bezodstpw"/>
        <w:jc w:val="both"/>
      </w:pPr>
      <w:r>
        <w:rPr>
          <w:noProof/>
        </w:rPr>
        <w:drawing>
          <wp:inline distT="0" distB="0" distL="0" distR="0">
            <wp:extent cx="3819525" cy="2324100"/>
            <wp:effectExtent l="19050" t="0" r="9525" b="0"/>
            <wp:docPr id="1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819525" cy="2324100"/>
                    </a:xfrm>
                    <a:prstGeom prst="rect">
                      <a:avLst/>
                    </a:prstGeom>
                    <a:noFill/>
                  </pic:spPr>
                </pic:pic>
              </a:graphicData>
            </a:graphic>
          </wp:inline>
        </w:drawing>
      </w:r>
    </w:p>
    <w:p w:rsidR="00355D52" w:rsidRDefault="00355D52" w:rsidP="00355D52">
      <w:pPr>
        <w:pStyle w:val="Bezodstpw"/>
        <w:jc w:val="both"/>
      </w:pPr>
    </w:p>
    <w:p w:rsidR="00355D52" w:rsidRDefault="00355D52" w:rsidP="00355D52">
      <w:pPr>
        <w:pStyle w:val="Bezodstpw"/>
        <w:jc w:val="both"/>
      </w:pPr>
      <w:r>
        <w:t xml:space="preserve">Kurs dolara (w złotych) doszedł od dołu do </w:t>
      </w:r>
      <w:r w:rsidRPr="00EC4DE7">
        <w:rPr>
          <w:b/>
        </w:rPr>
        <w:t xml:space="preserve">długoterminowej </w:t>
      </w:r>
      <w:r>
        <w:rPr>
          <w:b/>
        </w:rPr>
        <w:t xml:space="preserve">spadkowej </w:t>
      </w:r>
      <w:r w:rsidRPr="00EC4DE7">
        <w:rPr>
          <w:b/>
        </w:rPr>
        <w:t>linii trendu</w:t>
      </w:r>
      <w:r>
        <w:t xml:space="preserve"> poprowadzonej przez szczyty z lutego 2009 roku oraz czerw</w:t>
      </w:r>
      <w:r w:rsidR="003260DC">
        <w:t>ca 2012 roku. Linia ta stanowi</w:t>
      </w:r>
      <w:r>
        <w:t xml:space="preserve"> </w:t>
      </w:r>
      <w:r w:rsidRPr="00EC4DE7">
        <w:rPr>
          <w:b/>
        </w:rPr>
        <w:t>bardzo ważny opór</w:t>
      </w:r>
      <w:r>
        <w:t xml:space="preserve">. W tej sytuacji </w:t>
      </w:r>
      <w:r w:rsidRPr="00863762">
        <w:rPr>
          <w:b/>
          <w:u w:val="single"/>
        </w:rPr>
        <w:t>w najbliższych tygodniach można oczekiwać spadków kursu dolara amerykańskiego (w złotych).</w:t>
      </w:r>
      <w:r>
        <w:t xml:space="preserve"> Jak bowiem wskazuje </w:t>
      </w:r>
      <w:r w:rsidRPr="00340CC0">
        <w:t xml:space="preserve">Barbara Rockefeller w swej </w:t>
      </w:r>
      <w:r>
        <w:t>k</w:t>
      </w:r>
      <w:r w:rsidRPr="00340CC0">
        <w:t xml:space="preserve">siążce ,,Analiza techniczna dla bystrzaków” trzecie dojście do linii trendu </w:t>
      </w:r>
      <w:r>
        <w:t xml:space="preserve">spadkowego </w:t>
      </w:r>
      <w:r w:rsidRPr="00340CC0">
        <w:t>sygnalizuje n</w:t>
      </w:r>
      <w:r>
        <w:t xml:space="preserve">adejście fali spadków. </w:t>
      </w:r>
    </w:p>
    <w:p w:rsidR="00355D52" w:rsidRDefault="00355D52" w:rsidP="00355D52">
      <w:pPr>
        <w:pStyle w:val="Bezodstpw"/>
        <w:jc w:val="both"/>
      </w:pPr>
    </w:p>
    <w:p w:rsidR="00355D52" w:rsidRDefault="00355D52" w:rsidP="00355D52">
      <w:pPr>
        <w:pStyle w:val="Bezodstpw"/>
        <w:pBdr>
          <w:top w:val="single" w:sz="4" w:space="1" w:color="auto"/>
          <w:left w:val="single" w:sz="4" w:space="4" w:color="auto"/>
          <w:bottom w:val="single" w:sz="4" w:space="1" w:color="auto"/>
          <w:right w:val="single" w:sz="4" w:space="4" w:color="auto"/>
        </w:pBdr>
        <w:jc w:val="center"/>
      </w:pPr>
      <w:r>
        <w:t>Kurs EUR/PLN – perspektywa długoterminowa, kurs z 7 listopada 2014 roku = 4,2232</w:t>
      </w:r>
    </w:p>
    <w:p w:rsidR="00355D52" w:rsidRDefault="00355D52" w:rsidP="00355D52">
      <w:pPr>
        <w:pStyle w:val="Bezodstpw"/>
        <w:jc w:val="both"/>
      </w:pPr>
    </w:p>
    <w:p w:rsidR="00355D52" w:rsidRDefault="00355D52" w:rsidP="00355D52">
      <w:pPr>
        <w:pStyle w:val="Bezodstpw"/>
        <w:jc w:val="both"/>
      </w:pPr>
      <w:r>
        <w:rPr>
          <w:noProof/>
        </w:rPr>
        <w:drawing>
          <wp:inline distT="0" distB="0" distL="0" distR="0">
            <wp:extent cx="3790950" cy="2295525"/>
            <wp:effectExtent l="19050" t="0" r="0" b="0"/>
            <wp:docPr id="2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790950" cy="2295525"/>
                    </a:xfrm>
                    <a:prstGeom prst="rect">
                      <a:avLst/>
                    </a:prstGeom>
                    <a:noFill/>
                  </pic:spPr>
                </pic:pic>
              </a:graphicData>
            </a:graphic>
          </wp:inline>
        </w:drawing>
      </w:r>
    </w:p>
    <w:p w:rsidR="00355D52" w:rsidRDefault="00355D52" w:rsidP="00355D52">
      <w:pPr>
        <w:pStyle w:val="Bezodstpw"/>
        <w:jc w:val="both"/>
      </w:pPr>
    </w:p>
    <w:p w:rsidR="00355D52" w:rsidRDefault="00355D52" w:rsidP="00355D52">
      <w:pPr>
        <w:pStyle w:val="Bezodstpw"/>
        <w:jc w:val="both"/>
      </w:pPr>
      <w:r>
        <w:t xml:space="preserve">Kurs euro (w złotych) znajduje się poniżej </w:t>
      </w:r>
      <w:r w:rsidRPr="00EC4DE7">
        <w:rPr>
          <w:b/>
        </w:rPr>
        <w:t>długoterminowej spadkowej linii trendu</w:t>
      </w:r>
      <w:r>
        <w:t xml:space="preserve"> poprowadzonej przez szczyty z lutego 2009 roku oraz grudnia 2011 roku. Również w tym przypadku Linia na stanowi </w:t>
      </w:r>
      <w:r w:rsidRPr="00EC4DE7">
        <w:rPr>
          <w:b/>
        </w:rPr>
        <w:t>bardzo ważny opór</w:t>
      </w:r>
      <w:r>
        <w:t xml:space="preserve">. W chwili obecnej przebiega ona na poziomie </w:t>
      </w:r>
      <w:r w:rsidRPr="00EC4DE7">
        <w:rPr>
          <w:b/>
          <w:color w:val="FF0000"/>
        </w:rPr>
        <w:t>4,2</w:t>
      </w:r>
      <w:r>
        <w:rPr>
          <w:b/>
          <w:color w:val="FF0000"/>
        </w:rPr>
        <w:t>6</w:t>
      </w:r>
      <w:r w:rsidR="00C75DC3">
        <w:rPr>
          <w:b/>
          <w:color w:val="FF0000"/>
        </w:rPr>
        <w:t>0</w:t>
      </w:r>
      <w:r>
        <w:t>. W kolejnych miesiącach z natury rzeczy przebiegać będzie ona na coraz niższym poziomie – w końcu listopada na poziomie 4,254, w końcu grudnia na poziomie 4,246.</w:t>
      </w:r>
      <w:r w:rsidRPr="0052647A">
        <w:t xml:space="preserve"> </w:t>
      </w:r>
      <w:r>
        <w:t xml:space="preserve">Można sądzić, że </w:t>
      </w:r>
      <w:r w:rsidRPr="004E7F4F">
        <w:rPr>
          <w:b/>
          <w:u w:val="single"/>
        </w:rPr>
        <w:t>jeszcze w tym roku</w:t>
      </w:r>
      <w:r>
        <w:t xml:space="preserve"> kurs euro (w złotych) osiągnie od dołu poziom wspomnianej długoterminowej spadkowej linii trendu. Co ciekawe </w:t>
      </w:r>
      <w:r w:rsidRPr="001651A3">
        <w:rPr>
          <w:b/>
          <w:u w:val="single"/>
        </w:rPr>
        <w:t>przebita została</w:t>
      </w:r>
      <w:r w:rsidRPr="004E7F4F">
        <w:rPr>
          <w:b/>
          <w:u w:val="single"/>
        </w:rPr>
        <w:t xml:space="preserve"> </w:t>
      </w:r>
      <w:r w:rsidRPr="00EC4DE7">
        <w:rPr>
          <w:b/>
        </w:rPr>
        <w:t>od dołu nieco niższa linia</w:t>
      </w:r>
      <w:r>
        <w:t xml:space="preserve"> poprowadzona przez szczyty z grudnia 2011 roku oraz czerwca 2013 roku. </w:t>
      </w:r>
    </w:p>
    <w:p w:rsidR="00355D52" w:rsidRDefault="00355D52" w:rsidP="00355D52">
      <w:pPr>
        <w:pStyle w:val="Bezodstpw"/>
        <w:jc w:val="both"/>
      </w:pPr>
    </w:p>
    <w:p w:rsidR="00355D52" w:rsidRDefault="00355D52" w:rsidP="00355D52">
      <w:pPr>
        <w:pStyle w:val="Bezodstpw"/>
        <w:jc w:val="both"/>
      </w:pPr>
    </w:p>
    <w:p w:rsidR="00355D52" w:rsidRDefault="00355D52" w:rsidP="00355D52">
      <w:pPr>
        <w:pStyle w:val="Bezodstpw"/>
        <w:pBdr>
          <w:top w:val="single" w:sz="4" w:space="1" w:color="auto"/>
          <w:left w:val="single" w:sz="4" w:space="4" w:color="auto"/>
          <w:bottom w:val="single" w:sz="4" w:space="1" w:color="auto"/>
          <w:right w:val="single" w:sz="4" w:space="4" w:color="auto"/>
        </w:pBdr>
        <w:jc w:val="center"/>
      </w:pPr>
      <w:r>
        <w:lastRenderedPageBreak/>
        <w:t xml:space="preserve">Czy zakończenie fal spadków cen surowców stanowiło dogodny moment </w:t>
      </w:r>
    </w:p>
    <w:p w:rsidR="00355D52" w:rsidRDefault="00355D52" w:rsidP="00355D52">
      <w:pPr>
        <w:pStyle w:val="Bezodstpw"/>
        <w:pBdr>
          <w:top w:val="single" w:sz="4" w:space="1" w:color="auto"/>
          <w:left w:val="single" w:sz="4" w:space="4" w:color="auto"/>
          <w:bottom w:val="single" w:sz="4" w:space="1" w:color="auto"/>
          <w:right w:val="single" w:sz="4" w:space="4" w:color="auto"/>
        </w:pBdr>
        <w:jc w:val="center"/>
      </w:pPr>
      <w:r>
        <w:t>do kupna polskich akcji z indeksu WIG 20 ?</w:t>
      </w:r>
    </w:p>
    <w:p w:rsidR="00355D52" w:rsidRDefault="00355D52" w:rsidP="00355D52">
      <w:pPr>
        <w:pStyle w:val="Bezodstpw"/>
        <w:jc w:val="both"/>
      </w:pPr>
    </w:p>
    <w:p w:rsidR="00355D52" w:rsidRDefault="00355D52" w:rsidP="00355D52">
      <w:pPr>
        <w:pStyle w:val="Bezodstpw"/>
        <w:jc w:val="both"/>
      </w:pPr>
      <w:proofErr w:type="spellStart"/>
      <w:r w:rsidRPr="00B67F61">
        <w:rPr>
          <w:b/>
        </w:rPr>
        <w:t>Międzyrynkowa</w:t>
      </w:r>
      <w:proofErr w:type="spellEnd"/>
      <w:r w:rsidRPr="00B67F61">
        <w:rPr>
          <w:b/>
        </w:rPr>
        <w:t xml:space="preserve"> analiza techniczna</w:t>
      </w:r>
      <w:r>
        <w:t xml:space="preserve"> zakłada, że poszczególne rynki są ze sobą powiązane. Warto więc dokonywać analizy sytuacji na rynku akcji w kontekście sytuacji na przykład sytuacji na rynku walutowym, rynku obligacji czy też na rynku cen surowców.</w:t>
      </w:r>
    </w:p>
    <w:p w:rsidR="00355D52" w:rsidRDefault="00355D52" w:rsidP="00355D52">
      <w:pPr>
        <w:pStyle w:val="Bezodstpw"/>
        <w:jc w:val="both"/>
      </w:pPr>
    </w:p>
    <w:p w:rsidR="00355D52" w:rsidRDefault="00355D52" w:rsidP="00355D52">
      <w:pPr>
        <w:pStyle w:val="Bezodstpw"/>
        <w:jc w:val="both"/>
      </w:pPr>
      <w:r>
        <w:t>Na podstawie danych z okresu 1995-2013 postanowiłem sprawdzić związek pomiędzy zachowaniem cen surowców uwidocznionym w zachowaniu indeksu surowcowego CRB (</w:t>
      </w:r>
      <w:proofErr w:type="spellStart"/>
      <w:r>
        <w:t>Commodity</w:t>
      </w:r>
      <w:proofErr w:type="spellEnd"/>
      <w:r>
        <w:t xml:space="preserve"> </w:t>
      </w:r>
      <w:proofErr w:type="spellStart"/>
      <w:r>
        <w:t>Research</w:t>
      </w:r>
      <w:proofErr w:type="spellEnd"/>
      <w:r>
        <w:t xml:space="preserve"> </w:t>
      </w:r>
      <w:proofErr w:type="spellStart"/>
      <w:r>
        <w:t>Bureau</w:t>
      </w:r>
      <w:proofErr w:type="spellEnd"/>
      <w:r>
        <w:t>) a zachowaniem indeksu WIG 20 przedstawiającym zachowanie cen akcji największych spółek na polskim rynku akcji.</w:t>
      </w:r>
    </w:p>
    <w:p w:rsidR="00355D52" w:rsidRDefault="00355D52" w:rsidP="00355D52">
      <w:pPr>
        <w:pStyle w:val="Bezodstpw"/>
        <w:jc w:val="both"/>
      </w:pPr>
    </w:p>
    <w:p w:rsidR="00355D52" w:rsidRDefault="00355D52" w:rsidP="00355D52">
      <w:pPr>
        <w:pStyle w:val="Bezodstpw"/>
        <w:jc w:val="both"/>
      </w:pPr>
      <w:r>
        <w:rPr>
          <w:noProof/>
        </w:rPr>
        <w:drawing>
          <wp:inline distT="0" distB="0" distL="0" distR="0">
            <wp:extent cx="4810125" cy="2895600"/>
            <wp:effectExtent l="19050" t="0" r="9525" b="0"/>
            <wp:docPr id="2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810125" cy="2895600"/>
                    </a:xfrm>
                    <a:prstGeom prst="rect">
                      <a:avLst/>
                    </a:prstGeom>
                    <a:noFill/>
                  </pic:spPr>
                </pic:pic>
              </a:graphicData>
            </a:graphic>
          </wp:inline>
        </w:drawing>
      </w:r>
    </w:p>
    <w:p w:rsidR="00355D52" w:rsidRDefault="00355D52" w:rsidP="00355D52">
      <w:pPr>
        <w:pStyle w:val="Bezodstpw"/>
        <w:jc w:val="both"/>
      </w:pPr>
    </w:p>
    <w:p w:rsidR="00355D52" w:rsidRDefault="00355D52" w:rsidP="00355D52">
      <w:pPr>
        <w:pStyle w:val="Bezodstpw"/>
        <w:jc w:val="both"/>
      </w:pPr>
      <w:r>
        <w:t xml:space="preserve">Związek ten można pokazać za pomocą na przykład </w:t>
      </w:r>
      <w:r w:rsidRPr="00B67F61">
        <w:rPr>
          <w:b/>
        </w:rPr>
        <w:t>współczynnika korelacji liniowej Pearsona</w:t>
      </w:r>
      <w:r>
        <w:t xml:space="preserve">. Pokazuje on </w:t>
      </w:r>
      <w:r w:rsidRPr="00B67F61">
        <w:rPr>
          <w:b/>
        </w:rPr>
        <w:t>siłę i kierunek związku</w:t>
      </w:r>
      <w:r>
        <w:t xml:space="preserve"> pomiędzy dwoma zmiennymi. Współczynnik ten może przyjmować wartości od minus 1,0 do plus 1,0.</w:t>
      </w:r>
    </w:p>
    <w:p w:rsidR="00355D52" w:rsidRDefault="00355D52" w:rsidP="00355D52">
      <w:pPr>
        <w:pStyle w:val="Bezodstpw"/>
        <w:jc w:val="both"/>
      </w:pPr>
    </w:p>
    <w:p w:rsidR="00355D52" w:rsidRDefault="00355D52" w:rsidP="00355D52">
      <w:pPr>
        <w:pStyle w:val="Bezodstpw"/>
        <w:jc w:val="both"/>
      </w:pPr>
      <w:r>
        <w:t>Jeżeli przyjmuje on wartości wyraźnie dodatnie (na przykład plus 0,93, plus 0,84, plus 0,65 itd.) to można powiedzieć, że powiązanie pomiędzy dwoma zmiennymi ma charakter dodatni. Im wyższy poziom pierwszej zmiennej X tym wyższy poziom zmiennej drugiej.</w:t>
      </w:r>
    </w:p>
    <w:p w:rsidR="00355D52" w:rsidRDefault="00355D52" w:rsidP="00355D52">
      <w:pPr>
        <w:pStyle w:val="Bezodstpw"/>
        <w:jc w:val="both"/>
      </w:pPr>
    </w:p>
    <w:p w:rsidR="00355D52" w:rsidRDefault="00355D52" w:rsidP="00355D52">
      <w:pPr>
        <w:pStyle w:val="Bezodstpw"/>
        <w:jc w:val="both"/>
      </w:pPr>
      <w:r>
        <w:t>Jeżeli współczynnik ten przyjmuje wartości wyraźnie ujemne (na przykład minus 0,91, minus 0,74, minus 0,51 itd.) to można powiedzieć, że powiązanie pomiędzy dwoma zmiennymi ma charakter ujemny. Im wyższy poziom pierwszej zmiennej tym niższy poziom zmiennej drugiej.</w:t>
      </w:r>
    </w:p>
    <w:p w:rsidR="00355D52" w:rsidRDefault="00355D52" w:rsidP="00355D52">
      <w:pPr>
        <w:pStyle w:val="Bezodstpw"/>
        <w:jc w:val="both"/>
      </w:pPr>
    </w:p>
    <w:p w:rsidR="00355D52" w:rsidRDefault="00355D52" w:rsidP="00355D52">
      <w:pPr>
        <w:pStyle w:val="Bezodstpw"/>
        <w:jc w:val="both"/>
      </w:pPr>
      <w:r>
        <w:t>Jeżeli współczynnik ten przyjmuje wartości bliskie zeru (na przykład minus 0,05, plus 0,12, plus 0,07) to można powiedzieć, że powiązania pomiędzy oboma zmiennymi praktycznie nie ma, bądź, że jest ono minimalne.</w:t>
      </w:r>
    </w:p>
    <w:p w:rsidR="00355D52" w:rsidRDefault="00355D52" w:rsidP="00355D52">
      <w:pPr>
        <w:pStyle w:val="Bezodstpw"/>
        <w:jc w:val="both"/>
      </w:pPr>
    </w:p>
    <w:p w:rsidR="00355D52" w:rsidRDefault="00355D52" w:rsidP="00355D52">
      <w:pPr>
        <w:pStyle w:val="Bezodstpw"/>
        <w:jc w:val="both"/>
      </w:pPr>
      <w:r>
        <w:t xml:space="preserve">Policzyłem poziom współczynnika korelacji liniowej Pearsona dla związku pomiędzy stopą zwrotu z indeksu surowcowego </w:t>
      </w:r>
      <w:r w:rsidRPr="003260DC">
        <w:rPr>
          <w:b/>
        </w:rPr>
        <w:t>CRB</w:t>
      </w:r>
      <w:r>
        <w:t xml:space="preserve"> w roku T a stopą zwrotu z indeksu </w:t>
      </w:r>
      <w:r w:rsidRPr="003260DC">
        <w:rPr>
          <w:b/>
        </w:rPr>
        <w:t>WIG 20</w:t>
      </w:r>
      <w:r>
        <w:t xml:space="preserve"> w roku T dla lat 1995-2013.</w:t>
      </w:r>
    </w:p>
    <w:p w:rsidR="00355D52" w:rsidRDefault="00355D52" w:rsidP="00355D52">
      <w:pPr>
        <w:pStyle w:val="Bezodstpw"/>
        <w:jc w:val="both"/>
      </w:pPr>
    </w:p>
    <w:p w:rsidR="00355D52" w:rsidRDefault="00355D52" w:rsidP="00355D52">
      <w:pPr>
        <w:pStyle w:val="Bezodstpw"/>
        <w:jc w:val="both"/>
      </w:pPr>
      <w:r>
        <w:t xml:space="preserve">Okazało się, że poziom tego współczynnika wyniósł </w:t>
      </w:r>
      <w:r w:rsidRPr="003260DC">
        <w:rPr>
          <w:b/>
        </w:rPr>
        <w:t>plus 0,57.</w:t>
      </w:r>
    </w:p>
    <w:p w:rsidR="00355D52" w:rsidRDefault="00355D52" w:rsidP="00355D52">
      <w:pPr>
        <w:pStyle w:val="Bezodstpw"/>
        <w:jc w:val="both"/>
      </w:pPr>
    </w:p>
    <w:p w:rsidR="00355D52" w:rsidRDefault="00355D52" w:rsidP="00355D52">
      <w:pPr>
        <w:pStyle w:val="Bezodstpw"/>
        <w:jc w:val="both"/>
      </w:pPr>
      <w:r>
        <w:lastRenderedPageBreak/>
        <w:t xml:space="preserve">Oznacza to, że </w:t>
      </w:r>
      <w:r w:rsidRPr="00B67F61">
        <w:rPr>
          <w:b/>
        </w:rPr>
        <w:t xml:space="preserve">powiązanie </w:t>
      </w:r>
      <w:r>
        <w:t xml:space="preserve">pomiędzy tymi dwoma zmiennymi </w:t>
      </w:r>
      <w:r w:rsidRPr="00B67F61">
        <w:rPr>
          <w:b/>
        </w:rPr>
        <w:t>ma charakter dodatni</w:t>
      </w:r>
      <w:r>
        <w:t xml:space="preserve">. Im wyższy poziom zmiennej pierwszej (stopa zwrotu z indeksu surowcowego </w:t>
      </w:r>
      <w:r w:rsidRPr="00B67F61">
        <w:rPr>
          <w:b/>
        </w:rPr>
        <w:t xml:space="preserve">CRB </w:t>
      </w:r>
      <w:r>
        <w:t xml:space="preserve">w roku T) tym wyższy poziom zmiennej drugiej (stopa zwrotu z indeksu giełdowego </w:t>
      </w:r>
      <w:r w:rsidRPr="00B67F61">
        <w:rPr>
          <w:b/>
        </w:rPr>
        <w:t>WIG 20</w:t>
      </w:r>
      <w:r>
        <w:t xml:space="preserve"> w roku T)</w:t>
      </w:r>
    </w:p>
    <w:p w:rsidR="00355D52" w:rsidRDefault="00355D52" w:rsidP="00355D52">
      <w:pPr>
        <w:pStyle w:val="Bezodstpw"/>
        <w:jc w:val="both"/>
      </w:pPr>
    </w:p>
    <w:p w:rsidR="00355D52" w:rsidRDefault="00355D52" w:rsidP="00355D52">
      <w:pPr>
        <w:pStyle w:val="Bezodstpw"/>
        <w:jc w:val="both"/>
      </w:pPr>
      <w:r>
        <w:t>Można więc domniemywać, że zakończenie silnej fali spadków cen surowców powinno stanowić dogodny moment do kupna akcji spółek o największej kapitalizacji na giełdzie warszawskiej.</w:t>
      </w:r>
    </w:p>
    <w:p w:rsidR="00355D52" w:rsidRDefault="00355D52" w:rsidP="00355D52">
      <w:pPr>
        <w:pStyle w:val="Bezodstpw"/>
        <w:jc w:val="both"/>
      </w:pPr>
    </w:p>
    <w:p w:rsidR="00355D52" w:rsidRDefault="00355D52" w:rsidP="00355D52">
      <w:pPr>
        <w:pStyle w:val="Bezodstpw"/>
        <w:jc w:val="both"/>
      </w:pPr>
      <w:r>
        <w:t xml:space="preserve">Na wykresie </w:t>
      </w:r>
      <w:r w:rsidR="003260DC">
        <w:t xml:space="preserve">na str. 4 </w:t>
      </w:r>
      <w:r>
        <w:t>postanowiłem zaznaczyć (w jego górnej części) momenty zakończeni silnych fal spadków indeksu surowego CRB. W części dolnej zamieściłem wykres WIG 20.</w:t>
      </w:r>
    </w:p>
    <w:p w:rsidR="00355D52" w:rsidRDefault="00355D52" w:rsidP="00355D52">
      <w:pPr>
        <w:pStyle w:val="Bezodstpw"/>
        <w:jc w:val="both"/>
      </w:pPr>
    </w:p>
    <w:p w:rsidR="00355D52" w:rsidRDefault="00355D52" w:rsidP="00355D52">
      <w:pPr>
        <w:pStyle w:val="Bezodstpw"/>
        <w:jc w:val="both"/>
      </w:pPr>
      <w:r>
        <w:t>Okazuje się, że generalnie rzecz biorąc zakończenie fali spadkowej indeksu surowcowego CRB stanowiło z reguły (choć nie zawsze ! – wyjątkami były tu luty 2002 roku oraz styczeń 2014 roku) dogodny średnioterminowy moment do kupna akcji z indeksu WIG 20. Kupując akcje z tego indeksu i przetrzymując je przez okres powiedzmy sześciu miesięcy można było z reguły sporo zarobić.</w:t>
      </w:r>
    </w:p>
    <w:p w:rsidR="00355D52" w:rsidRDefault="00355D52" w:rsidP="00355D52">
      <w:pPr>
        <w:pStyle w:val="Bezodstpw"/>
        <w:jc w:val="both"/>
      </w:pPr>
    </w:p>
    <w:p w:rsidR="00355D52" w:rsidRDefault="00355D52" w:rsidP="00355D52">
      <w:pPr>
        <w:pStyle w:val="Bezodstpw"/>
        <w:jc w:val="both"/>
      </w:pPr>
      <w:r>
        <w:t>Aktualnie indeks surowcowy CRB doszedł do wzrostowej linii trendu poprowadzonej przez dołki  z lutego 1999 roku oraz marca 2009 roku. Jednocześnie indeks ten znalazł się w okolicach bardzo silnego wsparcia z czerwca 2012 roku.</w:t>
      </w:r>
    </w:p>
    <w:p w:rsidR="00355D52" w:rsidRDefault="00355D52" w:rsidP="00355D52">
      <w:pPr>
        <w:pStyle w:val="Bezodstpw"/>
        <w:jc w:val="both"/>
      </w:pPr>
    </w:p>
    <w:p w:rsidR="00355D52" w:rsidRDefault="00355D52" w:rsidP="00355D52">
      <w:pPr>
        <w:pStyle w:val="Bezodstpw"/>
        <w:jc w:val="both"/>
      </w:pPr>
      <w:r>
        <w:t>Stwarza to szansę na zakończenie fali spadkowej w przypadku indeksu surowcowego CRB. Czy również i tym razem stanowić będzie to dogodny moment do kupna polskich akcji o największej kapitalizacji ? Przyszłość pokaże. Tym niemniej, gdybym miał wyrazić wyłącznie własny pogląd powiedziałbym, że typowy scenariusz (zakończenie silnej fali spadkowej cen surowców oraz rozpoczęcie średnioterminowej fali zwyżek indeksu WIG20) jest bardzo realny.</w:t>
      </w:r>
    </w:p>
    <w:p w:rsidR="00355D52" w:rsidRDefault="00355D52" w:rsidP="00355D52">
      <w:pPr>
        <w:pStyle w:val="Bezodstpw"/>
        <w:jc w:val="both"/>
      </w:pPr>
    </w:p>
    <w:p w:rsidR="00355D52" w:rsidRDefault="003260DC" w:rsidP="00355D52">
      <w:pPr>
        <w:pStyle w:val="Bezodstpw"/>
        <w:jc w:val="both"/>
      </w:pPr>
      <w:r>
        <w:t xml:space="preserve">Bardzo ciekawe była reakcja uczestników rynków akcji na </w:t>
      </w:r>
      <w:r w:rsidR="00355D52">
        <w:t xml:space="preserve">zachowanie indeksu CRB w piątek 7 listopada, kiedy to indeks ten zyskał na wartości 0,6 %. Wprawdzie nie doprowadziło to na razie jeszcze do wzrostów indeksu WIG 20, tym niemniej można było zaobserwować już pewne symptomy umocnienia siły relatywnej wschodzących rynków akcji w stosunku do rynków dojrzałych. </w:t>
      </w:r>
    </w:p>
    <w:p w:rsidR="00411EC5" w:rsidRDefault="00411EC5" w:rsidP="00355D52">
      <w:pPr>
        <w:pStyle w:val="Bezodstpw"/>
        <w:jc w:val="both"/>
      </w:pPr>
    </w:p>
    <w:p w:rsidR="00411EC5" w:rsidRPr="00411EC5" w:rsidRDefault="00411EC5" w:rsidP="00355D52">
      <w:pPr>
        <w:pStyle w:val="Bezodstpw"/>
        <w:jc w:val="both"/>
        <w:rPr>
          <w:color w:val="000000" w:themeColor="text1"/>
        </w:rPr>
      </w:pPr>
      <w:r>
        <w:t xml:space="preserve">Co ciekawe na wykresie indeksu surowcowego CRB tworzonego w oparciu o dane tygodniowe utworzyła </w:t>
      </w:r>
      <w:r w:rsidRPr="00411EC5">
        <w:rPr>
          <w:b/>
          <w:color w:val="000000" w:themeColor="text1"/>
        </w:rPr>
        <w:t xml:space="preserve">się </w:t>
      </w:r>
      <w:r w:rsidRPr="00411EC5">
        <w:rPr>
          <w:b/>
          <w:color w:val="000000" w:themeColor="text1"/>
          <w:u w:val="single"/>
        </w:rPr>
        <w:t>formacja objęcia hossy</w:t>
      </w:r>
      <w:r>
        <w:rPr>
          <w:b/>
          <w:color w:val="000000" w:themeColor="text1"/>
          <w:u w:val="single"/>
        </w:rPr>
        <w:t xml:space="preserve"> !</w:t>
      </w:r>
      <w:r w:rsidRPr="00411EC5">
        <w:rPr>
          <w:b/>
          <w:color w:val="000000" w:themeColor="text1"/>
        </w:rPr>
        <w:t xml:space="preserve"> </w:t>
      </w:r>
      <w:r w:rsidRPr="00411EC5">
        <w:rPr>
          <w:color w:val="000000" w:themeColor="text1"/>
        </w:rPr>
        <w:t xml:space="preserve">(w zielonej elipsie) ! i to w pobliżu ważnego wsparcia z czerwca 2012 roku (pozioma linia) </w:t>
      </w:r>
      <w:r>
        <w:rPr>
          <w:color w:val="000000" w:themeColor="text1"/>
        </w:rPr>
        <w:t xml:space="preserve">– wykres </w:t>
      </w:r>
    </w:p>
    <w:p w:rsidR="00770843" w:rsidRDefault="00770843" w:rsidP="00355D52">
      <w:pPr>
        <w:pStyle w:val="Bezodstpw"/>
        <w:jc w:val="both"/>
      </w:pPr>
    </w:p>
    <w:p w:rsidR="00411EC5" w:rsidRDefault="00411EC5" w:rsidP="00355D52">
      <w:pPr>
        <w:pStyle w:val="Bezodstpw"/>
        <w:jc w:val="both"/>
      </w:pPr>
      <w:r w:rsidRPr="00411EC5">
        <w:rPr>
          <w:noProof/>
        </w:rPr>
        <w:drawing>
          <wp:inline distT="0" distB="0" distL="0" distR="0">
            <wp:extent cx="4800600" cy="2895600"/>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800600" cy="2895600"/>
                    </a:xfrm>
                    <a:prstGeom prst="rect">
                      <a:avLst/>
                    </a:prstGeom>
                    <a:noFill/>
                  </pic:spPr>
                </pic:pic>
              </a:graphicData>
            </a:graphic>
          </wp:inline>
        </w:drawing>
      </w:r>
    </w:p>
    <w:p w:rsidR="00411EC5" w:rsidRDefault="00411EC5" w:rsidP="00355D52">
      <w:pPr>
        <w:pStyle w:val="Bezodstpw"/>
        <w:jc w:val="both"/>
      </w:pPr>
    </w:p>
    <w:p w:rsidR="00355D52" w:rsidRDefault="00355D52" w:rsidP="00355D52">
      <w:pPr>
        <w:pStyle w:val="Bezodstpw"/>
        <w:jc w:val="both"/>
      </w:pPr>
      <w:r>
        <w:lastRenderedPageBreak/>
        <w:t xml:space="preserve">O ile </w:t>
      </w:r>
      <w:r w:rsidR="00411EC5">
        <w:t>7 listopada na</w:t>
      </w:r>
      <w:r>
        <w:t xml:space="preserve"> przykład indeksy krajów ze strefy euro (DAX, CAC a także inne) straciły na wartości, o tyle zyskały na wartości indeksy w Bułgarii, Rumunii, Czechach, Turcji, Brazylii, Korei Południowej czy też Tajwanu. </w:t>
      </w:r>
    </w:p>
    <w:p w:rsidR="00355D52" w:rsidRDefault="00355D52" w:rsidP="00355D52">
      <w:pPr>
        <w:pStyle w:val="Bezodstpw"/>
        <w:jc w:val="both"/>
      </w:pPr>
    </w:p>
    <w:p w:rsidR="00355D52" w:rsidRDefault="00355D52" w:rsidP="00355D52">
      <w:pPr>
        <w:pStyle w:val="Bezodstpw"/>
        <w:jc w:val="both"/>
      </w:pPr>
      <w:r>
        <w:t xml:space="preserve">Powstaje pytanie: czy szansa na wzrosty cen surowców może doprowadzić generalnie do wzrostu siły relatywnej rynków wschodzących rynków akcji kosztem rynków dojrzałych. Sądzę, że jest to bardzo realne. Warto bowiem zauważyć, że w latach, w których indeks surowcowy CRB zyskiwał na wartości lepiej zachowywały się indeksy rynków wschodzących a w latach w których indeks surowcowy CRB spadał lepsze było zachowanie indeksów dojrzałych. </w:t>
      </w:r>
    </w:p>
    <w:p w:rsidR="000A1836" w:rsidRDefault="000A1836" w:rsidP="00355D52">
      <w:pPr>
        <w:pStyle w:val="Bezodstpw"/>
        <w:jc w:val="both"/>
      </w:pPr>
    </w:p>
    <w:p w:rsidR="000A1836" w:rsidRPr="000A1836" w:rsidRDefault="000A1836" w:rsidP="00355D52">
      <w:pPr>
        <w:pStyle w:val="Bezodstpw"/>
        <w:jc w:val="both"/>
        <w:rPr>
          <w:b/>
        </w:rPr>
      </w:pPr>
      <w:r>
        <w:t xml:space="preserve">Spośród surowców </w:t>
      </w:r>
      <w:r w:rsidRPr="000A1836">
        <w:rPr>
          <w:b/>
        </w:rPr>
        <w:t>bardzo ważne znaczenie dla rynków wschodzących ma zwłaszcza miedź</w:t>
      </w:r>
      <w:r>
        <w:rPr>
          <w:b/>
        </w:rPr>
        <w:t xml:space="preserve"> (!).</w:t>
      </w:r>
    </w:p>
    <w:p w:rsidR="000A1836" w:rsidRDefault="000A1836" w:rsidP="00355D52">
      <w:pPr>
        <w:pStyle w:val="Bezodstpw"/>
        <w:jc w:val="both"/>
      </w:pPr>
    </w:p>
    <w:p w:rsidR="000A1836" w:rsidRDefault="000A1836" w:rsidP="000A1836">
      <w:pPr>
        <w:pStyle w:val="Bezodstpw"/>
        <w:jc w:val="both"/>
      </w:pPr>
      <w:r>
        <w:t xml:space="preserve">Policzyłem bowiem także poziom współczynnika </w:t>
      </w:r>
      <w:r w:rsidRPr="000A1836">
        <w:rPr>
          <w:b/>
          <w:color w:val="FF0000"/>
        </w:rPr>
        <w:t xml:space="preserve">korelacji </w:t>
      </w:r>
      <w:r>
        <w:t xml:space="preserve">liniowej Pearsona dla związku pomiędzy zmianą ceny </w:t>
      </w:r>
      <w:r w:rsidRPr="000A1836">
        <w:rPr>
          <w:b/>
        </w:rPr>
        <w:t xml:space="preserve">miedzi </w:t>
      </w:r>
      <w:r>
        <w:t xml:space="preserve">(w %) w roku T a stopą zwrotu z indeksu </w:t>
      </w:r>
      <w:r w:rsidRPr="000A1836">
        <w:rPr>
          <w:b/>
        </w:rPr>
        <w:t>rynków wschodzących</w:t>
      </w:r>
      <w:r>
        <w:t xml:space="preserve"> w roku T dla lat 1995-2013.</w:t>
      </w:r>
      <w:r w:rsidR="00830998">
        <w:t xml:space="preserve"> </w:t>
      </w:r>
      <w:r>
        <w:t xml:space="preserve">Okazało się, że poziom tego współczynnika wyniósł </w:t>
      </w:r>
      <w:r w:rsidRPr="000A1836">
        <w:rPr>
          <w:b/>
          <w:color w:val="FF0000"/>
        </w:rPr>
        <w:t>plus 0,78</w:t>
      </w:r>
      <w:r>
        <w:t xml:space="preserve">, czyli był bardzo wysoki. </w:t>
      </w:r>
    </w:p>
    <w:p w:rsidR="006672C8" w:rsidRDefault="006672C8" w:rsidP="000A1836">
      <w:pPr>
        <w:pStyle w:val="Bezodstpw"/>
        <w:jc w:val="both"/>
      </w:pPr>
    </w:p>
    <w:p w:rsidR="006672C8" w:rsidRDefault="006672C8" w:rsidP="000A1836">
      <w:pPr>
        <w:pStyle w:val="Bezodstpw"/>
        <w:jc w:val="both"/>
      </w:pPr>
      <w:r>
        <w:t>Warto przeanalizować uważnie poniższą tabelę</w:t>
      </w:r>
    </w:p>
    <w:p w:rsidR="00031382" w:rsidRDefault="00031382" w:rsidP="000A1836">
      <w:pPr>
        <w:pStyle w:val="Bezodstpw"/>
        <w:jc w:val="both"/>
      </w:pPr>
    </w:p>
    <w:p w:rsidR="00F523EF" w:rsidRDefault="00F523EF" w:rsidP="00F523EF">
      <w:pPr>
        <w:pStyle w:val="Bezodstpw"/>
        <w:jc w:val="both"/>
      </w:pPr>
      <w:r w:rsidRPr="00F523EF">
        <w:rPr>
          <w:b/>
        </w:rPr>
        <w:t xml:space="preserve">Miedź </w:t>
      </w:r>
      <w:r>
        <w:t xml:space="preserve">– zmiana ceny miedzi w %, </w:t>
      </w:r>
      <w:r w:rsidRPr="00F523EF">
        <w:rPr>
          <w:b/>
        </w:rPr>
        <w:t>wschodzące</w:t>
      </w:r>
      <w:r>
        <w:t xml:space="preserve"> – zmiana indeksu rynków wschodzących w %, </w:t>
      </w:r>
      <w:r w:rsidRPr="00F523EF">
        <w:rPr>
          <w:b/>
        </w:rPr>
        <w:t xml:space="preserve">dojrzałe </w:t>
      </w:r>
      <w:r>
        <w:t xml:space="preserve">zmiana indeksu rynków dojrzałych w %, </w:t>
      </w:r>
      <w:r w:rsidRPr="00F523EF">
        <w:rPr>
          <w:b/>
        </w:rPr>
        <w:t>różnica</w:t>
      </w:r>
      <w:r>
        <w:t xml:space="preserve"> – różnica między zmianą indeksu rynków wschodzących  w % a zmianą indeksu rynków dojrzałych w %  </w:t>
      </w:r>
    </w:p>
    <w:p w:rsidR="00F523EF" w:rsidRDefault="00F523EF" w:rsidP="000A1836">
      <w:pPr>
        <w:pStyle w:val="Bezodstpw"/>
        <w:jc w:val="both"/>
      </w:pPr>
    </w:p>
    <w:tbl>
      <w:tblPr>
        <w:tblStyle w:val="Tabela-Siatka"/>
        <w:tblW w:w="0" w:type="auto"/>
        <w:tblLook w:val="04A0"/>
      </w:tblPr>
      <w:tblGrid>
        <w:gridCol w:w="1842"/>
        <w:gridCol w:w="1842"/>
        <w:gridCol w:w="1842"/>
        <w:gridCol w:w="1842"/>
        <w:gridCol w:w="1842"/>
      </w:tblGrid>
      <w:tr w:rsidR="00031382" w:rsidTr="00031382">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Rok</w:t>
            </w:r>
          </w:p>
        </w:tc>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miedz</w:t>
            </w:r>
          </w:p>
        </w:tc>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Wschodzące </w:t>
            </w:r>
          </w:p>
        </w:tc>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dojrzałe</w:t>
            </w:r>
          </w:p>
        </w:tc>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Różnica</w:t>
            </w:r>
          </w:p>
        </w:tc>
      </w:tr>
      <w:tr w:rsidR="00031382" w:rsidTr="00031382">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1995</w:t>
            </w:r>
          </w:p>
        </w:tc>
        <w:tc>
          <w:tcPr>
            <w:tcW w:w="1842" w:type="dxa"/>
          </w:tcPr>
          <w:p w:rsidR="00031382" w:rsidRDefault="00407E9E"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-13,0</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-6,9</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18,7</w:t>
            </w:r>
          </w:p>
        </w:tc>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-25,6</w:t>
            </w:r>
          </w:p>
        </w:tc>
      </w:tr>
      <w:tr w:rsidR="00031382" w:rsidTr="00031382">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1996</w:t>
            </w:r>
          </w:p>
        </w:tc>
        <w:tc>
          <w:tcPr>
            <w:tcW w:w="1842" w:type="dxa"/>
          </w:tcPr>
          <w:p w:rsidR="00031382" w:rsidRDefault="00407E9E" w:rsidP="00407E9E">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-16,8</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3,9</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11,7</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-7,8</w:t>
            </w:r>
          </w:p>
        </w:tc>
      </w:tr>
      <w:tr w:rsidR="00031382" w:rsidTr="00031382">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1997</w:t>
            </w:r>
          </w:p>
        </w:tc>
        <w:tc>
          <w:tcPr>
            <w:tcW w:w="1842" w:type="dxa"/>
          </w:tcPr>
          <w:p w:rsidR="00031382" w:rsidRDefault="00407E9E"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-22,1</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-13,4</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14,2</w:t>
            </w:r>
          </w:p>
        </w:tc>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-27,6</w:t>
            </w:r>
          </w:p>
        </w:tc>
      </w:tr>
      <w:tr w:rsidR="00031382" w:rsidTr="00031382">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1998</w:t>
            </w:r>
          </w:p>
        </w:tc>
        <w:tc>
          <w:tcPr>
            <w:tcW w:w="1842" w:type="dxa"/>
          </w:tcPr>
          <w:p w:rsidR="00031382" w:rsidRDefault="00407E9E"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-14,0</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-27,5</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22,8</w:t>
            </w:r>
          </w:p>
        </w:tc>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-50,3</w:t>
            </w:r>
          </w:p>
        </w:tc>
      </w:tr>
      <w:tr w:rsidR="00031382" w:rsidTr="00031382">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1999</w:t>
            </w:r>
          </w:p>
        </w:tc>
        <w:tc>
          <w:tcPr>
            <w:tcW w:w="1842" w:type="dxa"/>
          </w:tcPr>
          <w:p w:rsidR="00031382" w:rsidRDefault="00407E9E" w:rsidP="00407E9E">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28,4</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63,7</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23,6</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40,1</w:t>
            </w:r>
          </w:p>
        </w:tc>
      </w:tr>
      <w:tr w:rsidR="00031382" w:rsidTr="00031382">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2000</w:t>
            </w:r>
          </w:p>
        </w:tc>
        <w:tc>
          <w:tcPr>
            <w:tcW w:w="1842" w:type="dxa"/>
          </w:tcPr>
          <w:p w:rsidR="00031382" w:rsidRDefault="00407E9E"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-2,3</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-31,8</w:t>
            </w:r>
          </w:p>
        </w:tc>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-14,0</w:t>
            </w:r>
          </w:p>
        </w:tc>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-17,7</w:t>
            </w:r>
          </w:p>
        </w:tc>
      </w:tr>
      <w:tr w:rsidR="00031382" w:rsidTr="00031382">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2001</w:t>
            </w:r>
          </w:p>
        </w:tc>
        <w:tc>
          <w:tcPr>
            <w:tcW w:w="1842" w:type="dxa"/>
          </w:tcPr>
          <w:p w:rsidR="00031382" w:rsidRDefault="00407E9E"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-21,8</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-4,9</w:t>
            </w:r>
          </w:p>
        </w:tc>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-17,8</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12,9</w:t>
            </w:r>
          </w:p>
        </w:tc>
      </w:tr>
      <w:tr w:rsidR="00031382" w:rsidTr="00031382">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2002</w:t>
            </w:r>
          </w:p>
        </w:tc>
        <w:tc>
          <w:tcPr>
            <w:tcW w:w="1842" w:type="dxa"/>
          </w:tcPr>
          <w:p w:rsidR="00031382" w:rsidRDefault="00407E9E"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6,6</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-8,0</w:t>
            </w:r>
          </w:p>
        </w:tc>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-21,1</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13,1</w:t>
            </w:r>
          </w:p>
        </w:tc>
      </w:tr>
      <w:tr w:rsidR="00031382" w:rsidTr="00031382">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2003</w:t>
            </w:r>
          </w:p>
        </w:tc>
        <w:tc>
          <w:tcPr>
            <w:tcW w:w="1842" w:type="dxa"/>
          </w:tcPr>
          <w:p w:rsidR="00031382" w:rsidRDefault="00407E9E"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48,8</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51,6</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30,8</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20,8</w:t>
            </w:r>
          </w:p>
        </w:tc>
      </w:tr>
      <w:tr w:rsidR="00031382" w:rsidTr="00031382">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2004</w:t>
            </w:r>
          </w:p>
        </w:tc>
        <w:tc>
          <w:tcPr>
            <w:tcW w:w="1842" w:type="dxa"/>
          </w:tcPr>
          <w:p w:rsidR="00031382" w:rsidRDefault="00407E9E"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42,2</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22,4</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12,8</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9,6</w:t>
            </w:r>
          </w:p>
        </w:tc>
      </w:tr>
      <w:tr w:rsidR="00031382" w:rsidTr="00031382">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2005</w:t>
            </w:r>
          </w:p>
        </w:tc>
        <w:tc>
          <w:tcPr>
            <w:tcW w:w="1842" w:type="dxa"/>
          </w:tcPr>
          <w:p w:rsidR="00031382" w:rsidRDefault="00407E9E"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37,3</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30,3</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7,6</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22,7</w:t>
            </w:r>
          </w:p>
        </w:tc>
      </w:tr>
      <w:tr w:rsidR="00031382" w:rsidTr="00031382">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2006</w:t>
            </w:r>
          </w:p>
        </w:tc>
        <w:tc>
          <w:tcPr>
            <w:tcW w:w="1842" w:type="dxa"/>
          </w:tcPr>
          <w:p w:rsidR="00031382" w:rsidRDefault="00407E9E"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39,5</w:t>
            </w:r>
          </w:p>
        </w:tc>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106,1</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18,0</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88,2</w:t>
            </w:r>
          </w:p>
        </w:tc>
      </w:tr>
      <w:tr w:rsidR="00031382" w:rsidTr="00031382">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2007</w:t>
            </w:r>
          </w:p>
        </w:tc>
        <w:tc>
          <w:tcPr>
            <w:tcW w:w="1842" w:type="dxa"/>
          </w:tcPr>
          <w:p w:rsidR="00031382" w:rsidRDefault="00407E9E"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6,5</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36,5</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7,1</w:t>
            </w:r>
          </w:p>
        </w:tc>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29,4</w:t>
            </w:r>
          </w:p>
        </w:tc>
      </w:tr>
      <w:tr w:rsidR="00031382" w:rsidTr="00031382">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2008</w:t>
            </w:r>
          </w:p>
        </w:tc>
        <w:tc>
          <w:tcPr>
            <w:tcW w:w="1842" w:type="dxa"/>
          </w:tcPr>
          <w:p w:rsidR="00031382" w:rsidRDefault="00407E9E"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-53,9</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-54,5</w:t>
            </w:r>
          </w:p>
        </w:tc>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-42,1</w:t>
            </w:r>
          </w:p>
        </w:tc>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-12,4</w:t>
            </w:r>
          </w:p>
        </w:tc>
      </w:tr>
      <w:tr w:rsidR="00031382" w:rsidTr="00031382">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2009</w:t>
            </w:r>
          </w:p>
        </w:tc>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138,5</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74,5</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27,0</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47,5</w:t>
            </w:r>
          </w:p>
        </w:tc>
      </w:tr>
      <w:tr w:rsidR="00031382" w:rsidTr="00031382">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2010</w:t>
            </w:r>
          </w:p>
        </w:tc>
        <w:tc>
          <w:tcPr>
            <w:tcW w:w="1842" w:type="dxa"/>
          </w:tcPr>
          <w:p w:rsidR="00031382" w:rsidRDefault="00407E9E"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32,8</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16,4</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9,6</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6,8</w:t>
            </w:r>
          </w:p>
        </w:tc>
      </w:tr>
      <w:tr w:rsidR="00031382" w:rsidTr="00031382">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2011</w:t>
            </w:r>
          </w:p>
        </w:tc>
        <w:tc>
          <w:tcPr>
            <w:tcW w:w="1842" w:type="dxa"/>
          </w:tcPr>
          <w:p w:rsidR="00031382" w:rsidRDefault="00407E9E"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-22,6</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-20,4</w:t>
            </w:r>
          </w:p>
        </w:tc>
        <w:tc>
          <w:tcPr>
            <w:tcW w:w="1842" w:type="dxa"/>
          </w:tcPr>
          <w:p w:rsidR="00031382" w:rsidRDefault="00F523EF" w:rsidP="00F523EF">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-7,6</w:t>
            </w:r>
          </w:p>
        </w:tc>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-12,8</w:t>
            </w:r>
          </w:p>
        </w:tc>
      </w:tr>
      <w:tr w:rsidR="00031382" w:rsidTr="00031382">
        <w:tc>
          <w:tcPr>
            <w:tcW w:w="1842" w:type="dxa"/>
          </w:tcPr>
          <w:p w:rsidR="00031382" w:rsidRDefault="00031382"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2012</w:t>
            </w:r>
          </w:p>
        </w:tc>
        <w:tc>
          <w:tcPr>
            <w:tcW w:w="1842" w:type="dxa"/>
          </w:tcPr>
          <w:p w:rsidR="00031382" w:rsidRDefault="00407E9E"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6,3</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15,1</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13,2</w:t>
            </w:r>
          </w:p>
        </w:tc>
        <w:tc>
          <w:tcPr>
            <w:tcW w:w="1842" w:type="dxa"/>
          </w:tcPr>
          <w:p w:rsidR="00031382" w:rsidRDefault="00F523EF" w:rsidP="0003138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w:t>
            </w:r>
            <w:r w:rsidR="00031382">
              <w:rPr>
                <w:rFonts w:ascii="Czcionka tekstu podstawowego" w:eastAsiaTheme="minorHAnsi" w:hAnsi="Czcionka tekstu podstawowego" w:cs="Czcionka tekstu podstawowego"/>
                <w:color w:val="000000"/>
                <w:lang w:eastAsia="en-US"/>
              </w:rPr>
              <w:t>2,0</w:t>
            </w:r>
          </w:p>
        </w:tc>
      </w:tr>
      <w:tr w:rsidR="00953D31" w:rsidTr="00953D31">
        <w:tc>
          <w:tcPr>
            <w:tcW w:w="1842" w:type="dxa"/>
          </w:tcPr>
          <w:p w:rsidR="00953D31" w:rsidRDefault="00953D31" w:rsidP="0086376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2013</w:t>
            </w:r>
          </w:p>
        </w:tc>
        <w:tc>
          <w:tcPr>
            <w:tcW w:w="1842" w:type="dxa"/>
          </w:tcPr>
          <w:p w:rsidR="00953D31" w:rsidRDefault="00953D31" w:rsidP="00953D31">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-7,0</w:t>
            </w:r>
          </w:p>
        </w:tc>
        <w:tc>
          <w:tcPr>
            <w:tcW w:w="1842" w:type="dxa"/>
          </w:tcPr>
          <w:p w:rsidR="00953D31" w:rsidRDefault="00953D31" w:rsidP="00953D31">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-5,0 </w:t>
            </w:r>
          </w:p>
        </w:tc>
        <w:tc>
          <w:tcPr>
            <w:tcW w:w="1842" w:type="dxa"/>
          </w:tcPr>
          <w:p w:rsidR="00953D31" w:rsidRDefault="00953D31" w:rsidP="00953D31">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 24,1 </w:t>
            </w:r>
          </w:p>
        </w:tc>
        <w:tc>
          <w:tcPr>
            <w:tcW w:w="1842" w:type="dxa"/>
          </w:tcPr>
          <w:p w:rsidR="00953D31" w:rsidRDefault="00953D31" w:rsidP="00863762">
            <w:pPr>
              <w:autoSpaceDE w:val="0"/>
              <w:autoSpaceDN w:val="0"/>
              <w:adjustRightInd w:val="0"/>
              <w:jc w:val="center"/>
              <w:rPr>
                <w:rFonts w:ascii="Czcionka tekstu podstawowego" w:eastAsiaTheme="minorHAnsi" w:hAnsi="Czcionka tekstu podstawowego" w:cs="Czcionka tekstu podstawowego"/>
                <w:color w:val="000000"/>
                <w:lang w:eastAsia="en-US"/>
              </w:rPr>
            </w:pPr>
            <w:r>
              <w:rPr>
                <w:rFonts w:ascii="Czcionka tekstu podstawowego" w:eastAsiaTheme="minorHAnsi" w:hAnsi="Czcionka tekstu podstawowego" w:cs="Czcionka tekstu podstawowego"/>
                <w:color w:val="000000"/>
                <w:lang w:eastAsia="en-US"/>
              </w:rPr>
              <w:t xml:space="preserve">-29,1 </w:t>
            </w:r>
          </w:p>
        </w:tc>
      </w:tr>
    </w:tbl>
    <w:p w:rsidR="00031382" w:rsidRDefault="00031382" w:rsidP="000A1836">
      <w:pPr>
        <w:pStyle w:val="Bezodstpw"/>
        <w:jc w:val="both"/>
      </w:pPr>
    </w:p>
    <w:p w:rsidR="006672C8" w:rsidRDefault="006672C8" w:rsidP="00355D52">
      <w:pPr>
        <w:pStyle w:val="Bezodstpw"/>
        <w:jc w:val="both"/>
      </w:pPr>
      <w:r>
        <w:t xml:space="preserve">Z powyższej tabeli wynika, że </w:t>
      </w:r>
      <w:r w:rsidR="00830998">
        <w:t>(</w:t>
      </w:r>
      <w:r>
        <w:t>w latach 1995 – 2013</w:t>
      </w:r>
      <w:r w:rsidR="00830998">
        <w:t>)</w:t>
      </w:r>
      <w:r>
        <w:t xml:space="preserve"> roku </w:t>
      </w:r>
      <w:r w:rsidR="00953D31" w:rsidRPr="00830998">
        <w:rPr>
          <w:b/>
          <w:u w:val="single"/>
        </w:rPr>
        <w:t>w latach wzrostu ceny miedzi</w:t>
      </w:r>
      <w:r w:rsidR="00953D31">
        <w:t xml:space="preserve"> indeks rynków </w:t>
      </w:r>
      <w:r w:rsidR="00953D31" w:rsidRPr="00830998">
        <w:rPr>
          <w:b/>
        </w:rPr>
        <w:t>wschodzących</w:t>
      </w:r>
      <w:r w:rsidR="00953D31">
        <w:t xml:space="preserve"> zawsze zachowywał się </w:t>
      </w:r>
      <w:r w:rsidR="00953D31" w:rsidRPr="00830998">
        <w:rPr>
          <w:b/>
        </w:rPr>
        <w:t>lepiej</w:t>
      </w:r>
      <w:r w:rsidR="00953D31">
        <w:t xml:space="preserve">, niż indeks rynków dojrzałych. </w:t>
      </w:r>
    </w:p>
    <w:p w:rsidR="006672C8" w:rsidRDefault="006672C8" w:rsidP="00355D52">
      <w:pPr>
        <w:pStyle w:val="Bezodstpw"/>
        <w:jc w:val="both"/>
      </w:pPr>
    </w:p>
    <w:p w:rsidR="006672C8" w:rsidRDefault="00953D31" w:rsidP="006672C8">
      <w:pPr>
        <w:pStyle w:val="Bezodstpw"/>
        <w:jc w:val="both"/>
      </w:pPr>
      <w:r>
        <w:t xml:space="preserve">Wynika z niej także, ze </w:t>
      </w:r>
      <w:r w:rsidRPr="00830998">
        <w:rPr>
          <w:b/>
          <w:u w:val="single"/>
        </w:rPr>
        <w:t>w</w:t>
      </w:r>
      <w:r w:rsidR="00D115A5" w:rsidRPr="00830998">
        <w:rPr>
          <w:b/>
          <w:u w:val="single"/>
        </w:rPr>
        <w:t xml:space="preserve"> </w:t>
      </w:r>
      <w:r w:rsidRPr="00830998">
        <w:rPr>
          <w:b/>
          <w:u w:val="single"/>
        </w:rPr>
        <w:t>latach spadku ceny miedzi</w:t>
      </w:r>
      <w:r>
        <w:t xml:space="preserve"> indeks rynków </w:t>
      </w:r>
      <w:r w:rsidRPr="00830998">
        <w:rPr>
          <w:b/>
        </w:rPr>
        <w:t>wschodzących</w:t>
      </w:r>
      <w:r>
        <w:t xml:space="preserve"> prawie zawsze zachowywał się </w:t>
      </w:r>
      <w:r w:rsidRPr="00830998">
        <w:rPr>
          <w:b/>
        </w:rPr>
        <w:t>gorzej,</w:t>
      </w:r>
      <w:r>
        <w:t xml:space="preserve"> niż indeks rynków dojrzałych</w:t>
      </w:r>
    </w:p>
    <w:p w:rsidR="00830998" w:rsidRDefault="00830998" w:rsidP="006672C8">
      <w:pPr>
        <w:pStyle w:val="Bezodstpw"/>
        <w:jc w:val="both"/>
      </w:pPr>
    </w:p>
    <w:p w:rsidR="00830998" w:rsidRDefault="00830998" w:rsidP="006672C8">
      <w:pPr>
        <w:pStyle w:val="Bezodstpw"/>
        <w:jc w:val="both"/>
      </w:pPr>
      <w:r>
        <w:t>Warto więc będzie uważnie obserwować zachowanie cen miedzi:</w:t>
      </w:r>
    </w:p>
    <w:p w:rsidR="00830998" w:rsidRDefault="00830998" w:rsidP="006672C8">
      <w:pPr>
        <w:pStyle w:val="Bezodstpw"/>
        <w:jc w:val="both"/>
      </w:pPr>
    </w:p>
    <w:p w:rsidR="00830998" w:rsidRDefault="00E60454" w:rsidP="006672C8">
      <w:pPr>
        <w:pStyle w:val="Bezodstpw"/>
        <w:jc w:val="both"/>
      </w:pPr>
      <w:hyperlink r:id="rId12" w:history="1">
        <w:r w:rsidR="00830998" w:rsidRPr="006C64B6">
          <w:rPr>
            <w:rStyle w:val="Hipercze"/>
          </w:rPr>
          <w:t>http://stooq.pl/q/?s=hg.f&amp;c=1d&amp;t=l&amp;a=lg&amp;b=0</w:t>
        </w:r>
      </w:hyperlink>
    </w:p>
    <w:p w:rsidR="00355D52" w:rsidRDefault="00355D52" w:rsidP="00355D52">
      <w:pPr>
        <w:pStyle w:val="Bezodstpw"/>
        <w:pBdr>
          <w:top w:val="single" w:sz="4" w:space="1" w:color="auto"/>
          <w:left w:val="single" w:sz="4" w:space="4" w:color="auto"/>
          <w:bottom w:val="single" w:sz="4" w:space="1" w:color="auto"/>
          <w:right w:val="single" w:sz="4" w:space="4" w:color="auto"/>
        </w:pBdr>
        <w:jc w:val="center"/>
      </w:pPr>
      <w:r>
        <w:lastRenderedPageBreak/>
        <w:t>Co z cyklem prezydenckim ?</w:t>
      </w:r>
    </w:p>
    <w:p w:rsidR="00355D52" w:rsidRDefault="00355D52" w:rsidP="00355D52">
      <w:pPr>
        <w:pStyle w:val="Bezodstpw"/>
        <w:jc w:val="both"/>
      </w:pPr>
    </w:p>
    <w:p w:rsidR="00355D52" w:rsidRDefault="00355D52" w:rsidP="00355D52">
      <w:pPr>
        <w:pStyle w:val="Bezodstpw"/>
        <w:jc w:val="both"/>
      </w:pPr>
      <w:r>
        <w:t>W poprzednich ,,Raportach Tygodniowych” wskazywałem na to, że szczególnie korzystny dla posiadaczy akcji w USA a także w innych krajach jest okres pomiędzy końcem października drugiego roku po wyborach prezydenckich w USA a końcem kwietnia roku bezpośrednio poprzedzającego rok przed kolejnymi wyborami.</w:t>
      </w:r>
      <w:r w:rsidR="00830998">
        <w:t xml:space="preserve"> Zjawisko to można nazwać ,,hossą prezydencką”. </w:t>
      </w:r>
    </w:p>
    <w:p w:rsidR="00355D52" w:rsidRDefault="00355D52" w:rsidP="00355D52">
      <w:pPr>
        <w:pStyle w:val="Bezodstpw"/>
        <w:jc w:val="both"/>
      </w:pPr>
    </w:p>
    <w:p w:rsidR="00355D52" w:rsidRDefault="00355D52" w:rsidP="00355D52">
      <w:pPr>
        <w:pStyle w:val="Bezodstpw"/>
        <w:jc w:val="both"/>
      </w:pPr>
      <w:r>
        <w:t>Stopa zwrotu z danego indeksu giełdowego w okresie od 31 października do 7 listopada 2014 roku</w:t>
      </w:r>
    </w:p>
    <w:p w:rsidR="00355D52" w:rsidRDefault="00355D52" w:rsidP="00355D52">
      <w:pPr>
        <w:pStyle w:val="Bezodstpw"/>
        <w:jc w:val="both"/>
      </w:pPr>
    </w:p>
    <w:tbl>
      <w:tblPr>
        <w:tblStyle w:val="Tabela-Siatka"/>
        <w:tblW w:w="0" w:type="auto"/>
        <w:tblLook w:val="04A0"/>
      </w:tblPr>
      <w:tblGrid>
        <w:gridCol w:w="4606"/>
        <w:gridCol w:w="4606"/>
      </w:tblGrid>
      <w:tr w:rsidR="00355D52" w:rsidTr="006672C8">
        <w:tc>
          <w:tcPr>
            <w:tcW w:w="4606" w:type="dxa"/>
          </w:tcPr>
          <w:p w:rsidR="00355D52" w:rsidRDefault="00355D52" w:rsidP="006672C8">
            <w:pPr>
              <w:pStyle w:val="Bezodstpw"/>
              <w:jc w:val="center"/>
            </w:pPr>
            <w:r>
              <w:t xml:space="preserve">USA – </w:t>
            </w:r>
            <w:proofErr w:type="spellStart"/>
            <w:r>
              <w:t>S&amp;P</w:t>
            </w:r>
            <w:proofErr w:type="spellEnd"/>
            <w:r>
              <w:t xml:space="preserve"> 500</w:t>
            </w:r>
          </w:p>
        </w:tc>
        <w:tc>
          <w:tcPr>
            <w:tcW w:w="4606" w:type="dxa"/>
          </w:tcPr>
          <w:p w:rsidR="00355D52" w:rsidRDefault="00355D52" w:rsidP="006672C8">
            <w:pPr>
              <w:pStyle w:val="Bezodstpw"/>
              <w:jc w:val="center"/>
            </w:pPr>
            <w:r>
              <w:t>+0,7 %</w:t>
            </w:r>
          </w:p>
        </w:tc>
      </w:tr>
      <w:tr w:rsidR="00355D52" w:rsidTr="006672C8">
        <w:tc>
          <w:tcPr>
            <w:tcW w:w="4606" w:type="dxa"/>
          </w:tcPr>
          <w:p w:rsidR="00355D52" w:rsidRDefault="00355D52" w:rsidP="006672C8">
            <w:pPr>
              <w:pStyle w:val="Bezodstpw"/>
              <w:jc w:val="center"/>
            </w:pPr>
            <w:r>
              <w:t>Japonia – NIKKEI 225</w:t>
            </w:r>
          </w:p>
        </w:tc>
        <w:tc>
          <w:tcPr>
            <w:tcW w:w="4606" w:type="dxa"/>
          </w:tcPr>
          <w:p w:rsidR="00355D52" w:rsidRDefault="00355D52" w:rsidP="006672C8">
            <w:pPr>
              <w:pStyle w:val="Bezodstpw"/>
              <w:jc w:val="center"/>
            </w:pPr>
            <w:r>
              <w:t>+2,8 %</w:t>
            </w:r>
          </w:p>
        </w:tc>
      </w:tr>
      <w:tr w:rsidR="00355D52" w:rsidTr="006672C8">
        <w:tc>
          <w:tcPr>
            <w:tcW w:w="4606" w:type="dxa"/>
          </w:tcPr>
          <w:p w:rsidR="00355D52" w:rsidRDefault="00355D52" w:rsidP="006672C8">
            <w:pPr>
              <w:pStyle w:val="Bezodstpw"/>
              <w:jc w:val="center"/>
            </w:pPr>
            <w:r>
              <w:t>Niemcy – DAX</w:t>
            </w:r>
          </w:p>
        </w:tc>
        <w:tc>
          <w:tcPr>
            <w:tcW w:w="4606" w:type="dxa"/>
          </w:tcPr>
          <w:p w:rsidR="00355D52" w:rsidRDefault="00355D52" w:rsidP="006672C8">
            <w:pPr>
              <w:pStyle w:val="Bezodstpw"/>
              <w:jc w:val="center"/>
            </w:pPr>
            <w:r>
              <w:t>-0,4 %</w:t>
            </w:r>
          </w:p>
        </w:tc>
      </w:tr>
      <w:tr w:rsidR="00355D52" w:rsidTr="006672C8">
        <w:tc>
          <w:tcPr>
            <w:tcW w:w="4606" w:type="dxa"/>
          </w:tcPr>
          <w:p w:rsidR="00355D52" w:rsidRDefault="00355D52" w:rsidP="006672C8">
            <w:pPr>
              <w:pStyle w:val="Bezodstpw"/>
              <w:jc w:val="center"/>
            </w:pPr>
            <w:r>
              <w:t>Polska – WIG 20</w:t>
            </w:r>
          </w:p>
        </w:tc>
        <w:tc>
          <w:tcPr>
            <w:tcW w:w="4606" w:type="dxa"/>
          </w:tcPr>
          <w:p w:rsidR="00355D52" w:rsidRDefault="00355D52" w:rsidP="006672C8">
            <w:pPr>
              <w:pStyle w:val="Bezodstpw"/>
              <w:jc w:val="center"/>
            </w:pPr>
            <w:r>
              <w:t>-1,9 %</w:t>
            </w:r>
          </w:p>
        </w:tc>
      </w:tr>
      <w:tr w:rsidR="00355D52" w:rsidTr="006672C8">
        <w:tc>
          <w:tcPr>
            <w:tcW w:w="4606" w:type="dxa"/>
          </w:tcPr>
          <w:p w:rsidR="00355D52" w:rsidRDefault="00355D52" w:rsidP="006672C8">
            <w:pPr>
              <w:pStyle w:val="Bezodstpw"/>
              <w:jc w:val="center"/>
            </w:pPr>
            <w:r>
              <w:t xml:space="preserve">Brazylia – </w:t>
            </w:r>
            <w:proofErr w:type="spellStart"/>
            <w:r>
              <w:t>Bovespa</w:t>
            </w:r>
            <w:proofErr w:type="spellEnd"/>
          </w:p>
        </w:tc>
        <w:tc>
          <w:tcPr>
            <w:tcW w:w="4606" w:type="dxa"/>
          </w:tcPr>
          <w:p w:rsidR="00355D52" w:rsidRDefault="00355D52" w:rsidP="006672C8">
            <w:pPr>
              <w:pStyle w:val="Bezodstpw"/>
              <w:jc w:val="center"/>
            </w:pPr>
            <w:r>
              <w:t>-2,6 %</w:t>
            </w:r>
          </w:p>
        </w:tc>
      </w:tr>
      <w:tr w:rsidR="00355D52" w:rsidTr="006672C8">
        <w:tc>
          <w:tcPr>
            <w:tcW w:w="4606" w:type="dxa"/>
          </w:tcPr>
          <w:p w:rsidR="00355D52" w:rsidRDefault="00355D52" w:rsidP="006672C8">
            <w:pPr>
              <w:pStyle w:val="Bezodstpw"/>
              <w:jc w:val="center"/>
            </w:pPr>
            <w:r>
              <w:t>Korea Południowa – KOSPI</w:t>
            </w:r>
          </w:p>
        </w:tc>
        <w:tc>
          <w:tcPr>
            <w:tcW w:w="4606" w:type="dxa"/>
          </w:tcPr>
          <w:p w:rsidR="00355D52" w:rsidRDefault="00355D52" w:rsidP="006672C8">
            <w:pPr>
              <w:pStyle w:val="Bezodstpw"/>
              <w:jc w:val="center"/>
            </w:pPr>
            <w:r>
              <w:t>-1,3 %</w:t>
            </w:r>
          </w:p>
        </w:tc>
      </w:tr>
    </w:tbl>
    <w:p w:rsidR="00355D52" w:rsidRDefault="00355D52" w:rsidP="00355D52">
      <w:pPr>
        <w:pStyle w:val="Bezodstpw"/>
        <w:jc w:val="both"/>
      </w:pPr>
    </w:p>
    <w:p w:rsidR="00830998" w:rsidRDefault="00355D52" w:rsidP="00355D52">
      <w:pPr>
        <w:pStyle w:val="Bezodstpw"/>
        <w:jc w:val="both"/>
      </w:pPr>
      <w:r>
        <w:t>Gdyby chodzi o USA to na razie wszystko idzie ,,zgodnie z planem”, czy też ,,zgodnie z cyklem”. Czołowe indeksy tamtejszego rynku przebiły w minionym tygodniu swe historyczne (</w:t>
      </w:r>
      <w:proofErr w:type="spellStart"/>
      <w:r>
        <w:t>Dow</w:t>
      </w:r>
      <w:proofErr w:type="spellEnd"/>
      <w:r>
        <w:t xml:space="preserve"> Jones Industrial </w:t>
      </w:r>
      <w:proofErr w:type="spellStart"/>
      <w:r>
        <w:t>Average</w:t>
      </w:r>
      <w:proofErr w:type="spellEnd"/>
      <w:r>
        <w:t xml:space="preserve">, </w:t>
      </w:r>
      <w:proofErr w:type="spellStart"/>
      <w:r>
        <w:t>S&amp;P</w:t>
      </w:r>
      <w:proofErr w:type="spellEnd"/>
      <w:r>
        <w:t xml:space="preserve"> 500) lub choćby roczne (</w:t>
      </w:r>
      <w:proofErr w:type="spellStart"/>
      <w:r>
        <w:t>Nasdaq</w:t>
      </w:r>
      <w:proofErr w:type="spellEnd"/>
      <w:r>
        <w:t xml:space="preserve">) maksima. </w:t>
      </w:r>
    </w:p>
    <w:p w:rsidR="00830998" w:rsidRDefault="00830998" w:rsidP="00355D52">
      <w:pPr>
        <w:pStyle w:val="Bezodstpw"/>
        <w:jc w:val="both"/>
      </w:pPr>
    </w:p>
    <w:p w:rsidR="00355D52" w:rsidRDefault="00355D52" w:rsidP="00355D52">
      <w:pPr>
        <w:pStyle w:val="Bezodstpw"/>
        <w:jc w:val="both"/>
      </w:pPr>
      <w:r>
        <w:t>Bardzo dobrze poradził sobie także w pierwszym tygodniu listopada indeks japoński.</w:t>
      </w:r>
      <w:r w:rsidR="00830998">
        <w:t xml:space="preserve"> W przypadku Japonii kluczowe znaczenie mają działania tamtejszego banku centralnego </w:t>
      </w:r>
    </w:p>
    <w:p w:rsidR="00830998" w:rsidRDefault="00830998" w:rsidP="00355D52">
      <w:pPr>
        <w:pStyle w:val="Bezodstpw"/>
        <w:jc w:val="both"/>
      </w:pPr>
    </w:p>
    <w:p w:rsidR="00830998" w:rsidRDefault="00E60454" w:rsidP="00355D52">
      <w:pPr>
        <w:pStyle w:val="Bezodstpw"/>
        <w:jc w:val="both"/>
      </w:pPr>
      <w:hyperlink r:id="rId13" w:history="1">
        <w:r w:rsidR="00830998" w:rsidRPr="006C64B6">
          <w:rPr>
            <w:rStyle w:val="Hipercze"/>
          </w:rPr>
          <w:t>http://comparic.pl/silny-pozytywny-impuls-z-japonii-dla-posiadaczy-polskich-akcji/</w:t>
        </w:r>
      </w:hyperlink>
    </w:p>
    <w:p w:rsidR="00355D52" w:rsidRDefault="00355D52" w:rsidP="00355D52">
      <w:pPr>
        <w:pStyle w:val="Bezodstpw"/>
        <w:jc w:val="both"/>
      </w:pPr>
    </w:p>
    <w:p w:rsidR="00355D52" w:rsidRDefault="00355D52" w:rsidP="00355D52">
      <w:pPr>
        <w:pStyle w:val="Bezodstpw"/>
        <w:jc w:val="both"/>
      </w:pPr>
      <w:r>
        <w:t>Oczywiście były także i takie indeksy (np. także nasz polski WIG20), które zakończyły pierwszy tydzień listopada ,,na minusie”. Sądzę jednak, że wkrótce dołączą także do pozytywnej tendencji w USA.</w:t>
      </w:r>
    </w:p>
    <w:p w:rsidR="00355D52" w:rsidRDefault="00355D52" w:rsidP="00355D52">
      <w:pPr>
        <w:pStyle w:val="Bezodstpw"/>
        <w:jc w:val="both"/>
      </w:pPr>
    </w:p>
    <w:p w:rsidR="00355D52" w:rsidRDefault="00355D52" w:rsidP="00355D52">
      <w:pPr>
        <w:pStyle w:val="Bezodstpw"/>
        <w:jc w:val="both"/>
      </w:pPr>
      <w:r w:rsidRPr="007F4278">
        <w:rPr>
          <w:b/>
        </w:rPr>
        <w:t>Z psychologicznego punktu widzenia</w:t>
      </w:r>
      <w:r>
        <w:t xml:space="preserve"> paradoksalnie nieco ostrzegawczo działa wynik badania przeprowadzonego wśród amerykańskich inwestorów indywidualnych, wśród których odsetek ,,niedźwiedzi” (osób oczekujących spadków cen akcji w ciągu najbliższych 6 miesięcy) jest bardzo niski. Hossa często rozpoczyna się w momencie, gdy mało kto w nią wierzy. </w:t>
      </w:r>
    </w:p>
    <w:p w:rsidR="00355D52" w:rsidRDefault="00355D52" w:rsidP="00355D52">
      <w:pPr>
        <w:pStyle w:val="Bezodstpw"/>
        <w:jc w:val="both"/>
      </w:pPr>
    </w:p>
    <w:p w:rsidR="00355D52" w:rsidRDefault="00355D52" w:rsidP="00355D52">
      <w:pPr>
        <w:pStyle w:val="Bezodstpw"/>
        <w:jc w:val="both"/>
      </w:pPr>
      <w:r>
        <w:t xml:space="preserve">To prawda, że jest to sygnał ostrzegawczy. </w:t>
      </w:r>
    </w:p>
    <w:p w:rsidR="00355D52" w:rsidRDefault="00355D52" w:rsidP="00355D52">
      <w:pPr>
        <w:pStyle w:val="Bezodstpw"/>
        <w:jc w:val="both"/>
      </w:pPr>
    </w:p>
    <w:p w:rsidR="00355D52" w:rsidRDefault="00355D52" w:rsidP="00355D52">
      <w:pPr>
        <w:pStyle w:val="Bezodstpw"/>
        <w:jc w:val="both"/>
      </w:pPr>
      <w:r w:rsidRPr="007F4278">
        <w:rPr>
          <w:b/>
          <w:u w:val="single"/>
        </w:rPr>
        <w:t>Na razie nie pojawiały się jednak</w:t>
      </w:r>
      <w:r>
        <w:t xml:space="preserve"> żadne sygnały sprzedaży na żadnym z wykresów amerykańskiego rynku akcji (mam na myśli na przykład wybicie z podwójnego szczytu, formację objęcia lub przenikania bessy czy też gwiazdy wieczornej na wykresie stworzonym w oparciu o dane świecowe itp.). </w:t>
      </w:r>
    </w:p>
    <w:p w:rsidR="00355D52" w:rsidRDefault="00355D52" w:rsidP="00355D52">
      <w:pPr>
        <w:pStyle w:val="Bezodstpw"/>
        <w:jc w:val="both"/>
      </w:pPr>
    </w:p>
    <w:p w:rsidR="00830998" w:rsidRDefault="00830998" w:rsidP="00830998">
      <w:pPr>
        <w:pStyle w:val="Bezodstpw"/>
        <w:pBdr>
          <w:top w:val="single" w:sz="4" w:space="1" w:color="auto"/>
          <w:left w:val="single" w:sz="4" w:space="4" w:color="auto"/>
          <w:bottom w:val="single" w:sz="4" w:space="1" w:color="auto"/>
          <w:right w:val="single" w:sz="4" w:space="4" w:color="auto"/>
        </w:pBdr>
        <w:jc w:val="center"/>
      </w:pPr>
      <w:r>
        <w:t>Polski rynek akcji a rynek walutowy</w:t>
      </w:r>
    </w:p>
    <w:p w:rsidR="00830998" w:rsidRDefault="00830998" w:rsidP="00355D52">
      <w:pPr>
        <w:pStyle w:val="Bezodstpw"/>
        <w:jc w:val="both"/>
      </w:pPr>
    </w:p>
    <w:p w:rsidR="00355D52" w:rsidRDefault="00830998" w:rsidP="00355D52">
      <w:pPr>
        <w:pStyle w:val="Bezodstpw"/>
        <w:jc w:val="both"/>
      </w:pPr>
      <w:r>
        <w:t>Z</w:t>
      </w:r>
      <w:r w:rsidR="00355D52">
        <w:t xml:space="preserve"> polskiego punktu widzenia warto zauważyć, że realna perspektywa rozpoczęcia wzrostów cen surowców powinna sprzyjać wzrostom cen akcji na rynkach wschodzących,  w tym w Polsce, zwłaszcza, że kończy się prawdopodobnie okres umocnienia walut zagranicznych (w złotych). Zakończenie tego okresu w przeszłości było zazwyczaj sygnałem kupna akcji z indeksu WIG 20. </w:t>
      </w:r>
    </w:p>
    <w:p w:rsidR="00355D52" w:rsidRDefault="00355D52" w:rsidP="00355D52">
      <w:pPr>
        <w:pStyle w:val="Bezodstpw"/>
        <w:jc w:val="both"/>
      </w:pPr>
    </w:p>
    <w:p w:rsidR="00355D52" w:rsidRDefault="00830998" w:rsidP="00355D52">
      <w:pPr>
        <w:pStyle w:val="Bezodstpw"/>
        <w:jc w:val="both"/>
      </w:pPr>
      <w:r>
        <w:t>Na str.7 zamieściłem wykres, n</w:t>
      </w:r>
      <w:r w:rsidR="00355D52">
        <w:t xml:space="preserve">a którym zaznaczono </w:t>
      </w:r>
      <w:r w:rsidR="00355D52" w:rsidRPr="00DA12C0">
        <w:rPr>
          <w:b/>
        </w:rPr>
        <w:t xml:space="preserve">momenty, w których kończyły silne fale </w:t>
      </w:r>
      <w:r w:rsidR="00355D52">
        <w:t xml:space="preserve">umacniania dolara amerykańskiego (w złotych), czyli mówiąc inaczej, kiedy kończyła się silna fala wyprzedaży naszej rodzimej waluty – czyli kiedy kończył się okres tak zdefiniowanego </w:t>
      </w:r>
      <w:r w:rsidR="00355D52" w:rsidRPr="00DA12C0">
        <w:rPr>
          <w:b/>
        </w:rPr>
        <w:t>odpływu kapitału zagranicznego z polskiego rynku finansowego.</w:t>
      </w:r>
      <w:r w:rsidR="00355D52">
        <w:t xml:space="preserve"> </w:t>
      </w:r>
    </w:p>
    <w:p w:rsidR="00355D52" w:rsidRDefault="00830998" w:rsidP="00355D52">
      <w:pPr>
        <w:pStyle w:val="Bezodstpw"/>
        <w:jc w:val="both"/>
      </w:pPr>
      <w:r>
        <w:lastRenderedPageBreak/>
        <w:t>Wykres: część górna pokazuje zachowanie kursu dolara amerykańskiego (w złotych), część dolna zachowanie indeksu WIG 20.</w:t>
      </w:r>
    </w:p>
    <w:p w:rsidR="00830998" w:rsidRDefault="00830998" w:rsidP="00355D52">
      <w:pPr>
        <w:pStyle w:val="Bezodstpw"/>
        <w:jc w:val="both"/>
      </w:pPr>
    </w:p>
    <w:p w:rsidR="00355D52" w:rsidRDefault="00355D52" w:rsidP="00355D52">
      <w:pPr>
        <w:pStyle w:val="Bezodstpw"/>
        <w:jc w:val="both"/>
      </w:pPr>
      <w:r>
        <w:rPr>
          <w:noProof/>
        </w:rPr>
        <w:drawing>
          <wp:inline distT="0" distB="0" distL="0" distR="0">
            <wp:extent cx="4810125" cy="2905125"/>
            <wp:effectExtent l="19050" t="0" r="9525" b="0"/>
            <wp:docPr id="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810125" cy="2905125"/>
                    </a:xfrm>
                    <a:prstGeom prst="rect">
                      <a:avLst/>
                    </a:prstGeom>
                    <a:noFill/>
                  </pic:spPr>
                </pic:pic>
              </a:graphicData>
            </a:graphic>
          </wp:inline>
        </w:drawing>
      </w:r>
    </w:p>
    <w:p w:rsidR="00355D52" w:rsidRDefault="00355D52" w:rsidP="00355D52">
      <w:pPr>
        <w:pStyle w:val="Bezodstpw"/>
        <w:jc w:val="both"/>
      </w:pPr>
    </w:p>
    <w:p w:rsidR="00355D52" w:rsidRDefault="00355D52" w:rsidP="00355D52">
      <w:pPr>
        <w:pStyle w:val="Bezodstpw"/>
        <w:jc w:val="both"/>
      </w:pPr>
    </w:p>
    <w:p w:rsidR="00355D52" w:rsidRDefault="00355D52" w:rsidP="00355D52">
      <w:pPr>
        <w:pStyle w:val="Bezodstpw"/>
        <w:jc w:val="both"/>
      </w:pPr>
      <w:r>
        <w:t xml:space="preserve">Wykres ten jest nieco nieczytelny tym niemniej można z niego wysnuć taki oto wniosek: jeśli ktoś trafnie potrafił określić </w:t>
      </w:r>
      <w:r w:rsidRPr="00A52B53">
        <w:rPr>
          <w:b/>
          <w:u w:val="single"/>
        </w:rPr>
        <w:t>moment</w:t>
      </w:r>
      <w:r>
        <w:t xml:space="preserve"> zakończenia silnej fali wzrostu kursu dolara (w złotych), w tym momencie kupił akcje z indeksu WIG 20 a następnie przetrzymał je przez 6 miesięcy to generalnie rzecz biorąc osiągał zyski i to zazwyczaj nie małe. </w:t>
      </w:r>
    </w:p>
    <w:p w:rsidR="00355D52" w:rsidRDefault="00355D52" w:rsidP="00355D52">
      <w:pPr>
        <w:pStyle w:val="Bezodstpw"/>
        <w:jc w:val="both"/>
      </w:pPr>
    </w:p>
    <w:p w:rsidR="00830998" w:rsidRDefault="00355D52" w:rsidP="00355D52">
      <w:pPr>
        <w:pStyle w:val="Bezodstpw"/>
        <w:jc w:val="both"/>
      </w:pPr>
      <w:r>
        <w:t xml:space="preserve">Dlaczego o tym pisze ? </w:t>
      </w:r>
    </w:p>
    <w:p w:rsidR="00830998" w:rsidRDefault="00830998" w:rsidP="00355D52">
      <w:pPr>
        <w:pStyle w:val="Bezodstpw"/>
        <w:jc w:val="both"/>
      </w:pPr>
    </w:p>
    <w:p w:rsidR="00355D52" w:rsidRPr="00A52B53" w:rsidRDefault="00830998" w:rsidP="00355D52">
      <w:pPr>
        <w:pStyle w:val="Bezodstpw"/>
        <w:jc w:val="both"/>
        <w:rPr>
          <w:u w:val="single"/>
        </w:rPr>
      </w:pPr>
      <w:r>
        <w:t>D</w:t>
      </w:r>
      <w:r w:rsidR="00355D52">
        <w:t xml:space="preserve">latego, że wygląda na to, że kończy się właśnie fala umacniania kursu dolara (w złotych), czyli znajdujemy się w pobliżu tego </w:t>
      </w:r>
      <w:r w:rsidR="00355D52" w:rsidRPr="00A52B53">
        <w:rPr>
          <w:b/>
          <w:u w:val="single"/>
        </w:rPr>
        <w:t>momentu</w:t>
      </w:r>
      <w:r w:rsidR="00355D52">
        <w:rPr>
          <w:b/>
          <w:u w:val="single"/>
        </w:rPr>
        <w:t xml:space="preserve">. Jeżeli tak </w:t>
      </w:r>
      <w:r w:rsidR="00355D52" w:rsidRPr="00A52B53">
        <w:t>to wkrótce rozpo</w:t>
      </w:r>
      <w:r w:rsidR="008E6716">
        <w:t xml:space="preserve">cznie się fala osłabiania kursu </w:t>
      </w:r>
      <w:r w:rsidR="00355D52" w:rsidRPr="00A52B53">
        <w:t xml:space="preserve">dolara (w złotych), czyli mówiąc inaczej </w:t>
      </w:r>
      <w:r w:rsidR="008E6716">
        <w:t xml:space="preserve">rozpocznie się </w:t>
      </w:r>
      <w:r w:rsidR="00355D52" w:rsidRPr="00A52B53">
        <w:t xml:space="preserve">fala wzmacniania kursu naszej waluty, co powinno wynikać także </w:t>
      </w:r>
      <w:r w:rsidR="00355D52" w:rsidRPr="00A52B53">
        <w:rPr>
          <w:b/>
          <w:color w:val="FF0000"/>
        </w:rPr>
        <w:t>z napływu kapitału zagranicznego na polski rynek akcji.</w:t>
      </w:r>
      <w:r w:rsidR="00355D52" w:rsidRPr="00A52B53">
        <w:rPr>
          <w:u w:val="single"/>
        </w:rPr>
        <w:t xml:space="preserve"> </w:t>
      </w:r>
    </w:p>
    <w:p w:rsidR="00355D52" w:rsidRDefault="00355D52" w:rsidP="00355D52">
      <w:pPr>
        <w:pStyle w:val="Bezodstpw"/>
        <w:jc w:val="both"/>
        <w:rPr>
          <w:b/>
          <w:u w:val="single"/>
        </w:rPr>
      </w:pPr>
    </w:p>
    <w:p w:rsidR="00355D52" w:rsidRPr="00A52B53" w:rsidRDefault="00355D52" w:rsidP="00355D52">
      <w:pPr>
        <w:pStyle w:val="Bezodstpw"/>
        <w:jc w:val="both"/>
      </w:pPr>
      <w:r>
        <w:rPr>
          <w:noProof/>
        </w:rPr>
        <w:drawing>
          <wp:inline distT="0" distB="0" distL="0" distR="0">
            <wp:extent cx="4800600" cy="2895600"/>
            <wp:effectExtent l="19050" t="0" r="0" b="0"/>
            <wp:docPr id="2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800600" cy="2895600"/>
                    </a:xfrm>
                    <a:prstGeom prst="rect">
                      <a:avLst/>
                    </a:prstGeom>
                    <a:noFill/>
                  </pic:spPr>
                </pic:pic>
              </a:graphicData>
            </a:graphic>
          </wp:inline>
        </w:drawing>
      </w:r>
    </w:p>
    <w:p w:rsidR="00355D52" w:rsidRDefault="00355D52" w:rsidP="00355D52">
      <w:pPr>
        <w:pStyle w:val="Bezodstpw"/>
        <w:jc w:val="both"/>
      </w:pPr>
    </w:p>
    <w:p w:rsidR="00355D52" w:rsidRDefault="00355D52" w:rsidP="00355D52">
      <w:pPr>
        <w:pStyle w:val="Bezodstpw"/>
        <w:pBdr>
          <w:top w:val="single" w:sz="4" w:space="1" w:color="auto"/>
          <w:left w:val="single" w:sz="4" w:space="4" w:color="auto"/>
          <w:bottom w:val="single" w:sz="4" w:space="1" w:color="auto"/>
          <w:right w:val="single" w:sz="4" w:space="4" w:color="auto"/>
        </w:pBdr>
        <w:jc w:val="center"/>
      </w:pPr>
      <w:r>
        <w:lastRenderedPageBreak/>
        <w:t xml:space="preserve">Wykres do przemyślenia – refleksje </w:t>
      </w:r>
    </w:p>
    <w:p w:rsidR="00355D52" w:rsidRDefault="00355D52" w:rsidP="00355D52">
      <w:pPr>
        <w:pStyle w:val="Bezodstpw"/>
        <w:jc w:val="both"/>
      </w:pPr>
    </w:p>
    <w:p w:rsidR="00355D52" w:rsidRDefault="00355D52" w:rsidP="00355D52">
      <w:pPr>
        <w:pStyle w:val="Bezodstpw"/>
        <w:jc w:val="both"/>
      </w:pPr>
      <w:r>
        <w:t xml:space="preserve">W pierwszym numerze ,,Raportu Tygodniowego” z 8 września 2014 roku pojawiły się wykresy akcji czterech spółek. Były to wykresy akcji następujących spółek: </w:t>
      </w:r>
    </w:p>
    <w:p w:rsidR="00355D52" w:rsidRDefault="00355D52" w:rsidP="00355D52">
      <w:pPr>
        <w:pStyle w:val="Bezodstpw"/>
        <w:jc w:val="both"/>
      </w:pPr>
    </w:p>
    <w:p w:rsidR="00355D52" w:rsidRDefault="00355D52" w:rsidP="00355D52">
      <w:pPr>
        <w:pStyle w:val="Bezodstpw"/>
        <w:numPr>
          <w:ilvl w:val="0"/>
          <w:numId w:val="1"/>
        </w:numPr>
        <w:jc w:val="both"/>
      </w:pPr>
      <w:proofErr w:type="spellStart"/>
      <w:r>
        <w:t>Immobile</w:t>
      </w:r>
      <w:proofErr w:type="spellEnd"/>
    </w:p>
    <w:p w:rsidR="00355D52" w:rsidRDefault="00355D52" w:rsidP="00355D52">
      <w:pPr>
        <w:pStyle w:val="Bezodstpw"/>
        <w:numPr>
          <w:ilvl w:val="0"/>
          <w:numId w:val="1"/>
        </w:numPr>
        <w:jc w:val="both"/>
      </w:pPr>
      <w:r>
        <w:t>Lena</w:t>
      </w:r>
    </w:p>
    <w:p w:rsidR="00355D52" w:rsidRDefault="00355D52" w:rsidP="00355D52">
      <w:pPr>
        <w:pStyle w:val="Bezodstpw"/>
        <w:numPr>
          <w:ilvl w:val="0"/>
          <w:numId w:val="1"/>
        </w:numPr>
        <w:jc w:val="both"/>
      </w:pPr>
      <w:proofErr w:type="spellStart"/>
      <w:r>
        <w:t>Netmedia</w:t>
      </w:r>
      <w:proofErr w:type="spellEnd"/>
      <w:r>
        <w:t xml:space="preserve"> </w:t>
      </w:r>
    </w:p>
    <w:p w:rsidR="00355D52" w:rsidRDefault="00355D52" w:rsidP="00355D52">
      <w:pPr>
        <w:pStyle w:val="Bezodstpw"/>
        <w:numPr>
          <w:ilvl w:val="0"/>
          <w:numId w:val="1"/>
        </w:numPr>
        <w:jc w:val="both"/>
      </w:pPr>
      <w:r>
        <w:t>Rafako</w:t>
      </w:r>
    </w:p>
    <w:p w:rsidR="00355D52" w:rsidRDefault="00355D52" w:rsidP="00355D52">
      <w:pPr>
        <w:pStyle w:val="Bezodstpw"/>
        <w:jc w:val="both"/>
      </w:pPr>
    </w:p>
    <w:p w:rsidR="00355D52" w:rsidRDefault="00355D52" w:rsidP="00355D52">
      <w:pPr>
        <w:pStyle w:val="Bezodstpw"/>
        <w:jc w:val="both"/>
      </w:pPr>
      <w:r>
        <w:t xml:space="preserve">Kryterium pojawienia się wykresu akcji danej spółki w tej rubryce jest </w:t>
      </w:r>
      <w:r w:rsidRPr="0053119C">
        <w:rPr>
          <w:b/>
        </w:rPr>
        <w:t>wybicie z formacji podwójnego dna</w:t>
      </w:r>
      <w:r>
        <w:t xml:space="preserve">. </w:t>
      </w:r>
    </w:p>
    <w:p w:rsidR="00355D52" w:rsidRDefault="00355D52" w:rsidP="00355D52">
      <w:pPr>
        <w:pStyle w:val="Bezodstpw"/>
        <w:jc w:val="both"/>
      </w:pPr>
    </w:p>
    <w:p w:rsidR="00355D52" w:rsidRDefault="00355D52" w:rsidP="00355D52">
      <w:pPr>
        <w:pStyle w:val="Bezodstpw"/>
        <w:jc w:val="both"/>
      </w:pPr>
      <w:r>
        <w:t xml:space="preserve">Tabela: Procentowa zmiana cen akcji czterech spółek, których akcje zostały wymienione w pierwszym numerze ,,Raportu Tygodniowego” z 8 września 2014 roku w rubryce ,,Wykres do przemyślenia” w okresie od 5 września do </w:t>
      </w:r>
      <w:r w:rsidR="003260DC">
        <w:t>7 listopada</w:t>
      </w:r>
      <w:r>
        <w:t xml:space="preserve"> 2014 roku oraz procentowa zmiana indeksu WIG 20 w tym okresie. </w:t>
      </w:r>
    </w:p>
    <w:tbl>
      <w:tblPr>
        <w:tblStyle w:val="Tabela-Siatka"/>
        <w:tblW w:w="0" w:type="auto"/>
        <w:tblLook w:val="04A0"/>
      </w:tblPr>
      <w:tblGrid>
        <w:gridCol w:w="3402"/>
        <w:gridCol w:w="2302"/>
        <w:gridCol w:w="2303"/>
        <w:gridCol w:w="1134"/>
      </w:tblGrid>
      <w:tr w:rsidR="00355D52" w:rsidTr="006672C8">
        <w:tc>
          <w:tcPr>
            <w:tcW w:w="3402" w:type="dxa"/>
          </w:tcPr>
          <w:p w:rsidR="00355D52" w:rsidRDefault="00355D52" w:rsidP="006672C8">
            <w:pPr>
              <w:pStyle w:val="Bezodstpw"/>
              <w:jc w:val="center"/>
            </w:pPr>
            <w:r>
              <w:t>Instrument finansowy</w:t>
            </w:r>
          </w:p>
        </w:tc>
        <w:tc>
          <w:tcPr>
            <w:tcW w:w="2302" w:type="dxa"/>
          </w:tcPr>
          <w:p w:rsidR="00355D52" w:rsidRDefault="00355D52" w:rsidP="006672C8">
            <w:pPr>
              <w:pStyle w:val="Bezodstpw"/>
              <w:jc w:val="center"/>
            </w:pPr>
            <w:r>
              <w:t>Poziom – 05.09.2014</w:t>
            </w:r>
          </w:p>
        </w:tc>
        <w:tc>
          <w:tcPr>
            <w:tcW w:w="2303" w:type="dxa"/>
          </w:tcPr>
          <w:p w:rsidR="00355D52" w:rsidRDefault="00355D52" w:rsidP="006672C8">
            <w:pPr>
              <w:pStyle w:val="Bezodstpw"/>
              <w:jc w:val="center"/>
            </w:pPr>
            <w:r>
              <w:t>Poziom – 07.11.2014</w:t>
            </w:r>
          </w:p>
        </w:tc>
        <w:tc>
          <w:tcPr>
            <w:tcW w:w="1134" w:type="dxa"/>
          </w:tcPr>
          <w:p w:rsidR="00355D52" w:rsidRDefault="00355D52" w:rsidP="006672C8">
            <w:pPr>
              <w:pStyle w:val="Bezodstpw"/>
              <w:jc w:val="center"/>
            </w:pPr>
            <w:r>
              <w:t>Zmiana (w %)</w:t>
            </w:r>
          </w:p>
        </w:tc>
      </w:tr>
      <w:tr w:rsidR="00355D52" w:rsidTr="006672C8">
        <w:tc>
          <w:tcPr>
            <w:tcW w:w="3402" w:type="dxa"/>
          </w:tcPr>
          <w:p w:rsidR="00355D52" w:rsidRDefault="00355D52" w:rsidP="006672C8">
            <w:pPr>
              <w:pStyle w:val="Bezodstpw"/>
              <w:jc w:val="center"/>
            </w:pPr>
            <w:r>
              <w:t xml:space="preserve">Akcja spółki </w:t>
            </w:r>
            <w:proofErr w:type="spellStart"/>
            <w:r>
              <w:t>Immobile</w:t>
            </w:r>
            <w:proofErr w:type="spellEnd"/>
          </w:p>
        </w:tc>
        <w:tc>
          <w:tcPr>
            <w:tcW w:w="2302" w:type="dxa"/>
          </w:tcPr>
          <w:p w:rsidR="00355D52" w:rsidRDefault="00355D52" w:rsidP="006672C8">
            <w:pPr>
              <w:pStyle w:val="Bezodstpw"/>
              <w:jc w:val="center"/>
            </w:pPr>
            <w:r>
              <w:t>2,04 zł.</w:t>
            </w:r>
          </w:p>
        </w:tc>
        <w:tc>
          <w:tcPr>
            <w:tcW w:w="2303" w:type="dxa"/>
          </w:tcPr>
          <w:p w:rsidR="00355D52" w:rsidRDefault="00355D52" w:rsidP="006672C8">
            <w:pPr>
              <w:pStyle w:val="Bezodstpw"/>
              <w:jc w:val="center"/>
            </w:pPr>
            <w:r>
              <w:t>2,41 zł.</w:t>
            </w:r>
          </w:p>
        </w:tc>
        <w:tc>
          <w:tcPr>
            <w:tcW w:w="1134" w:type="dxa"/>
          </w:tcPr>
          <w:p w:rsidR="00355D52" w:rsidRDefault="00355D52" w:rsidP="006672C8">
            <w:pPr>
              <w:pStyle w:val="Bezodstpw"/>
              <w:jc w:val="center"/>
            </w:pPr>
            <w:r>
              <w:t xml:space="preserve">  +18,1 %</w:t>
            </w:r>
          </w:p>
        </w:tc>
      </w:tr>
      <w:tr w:rsidR="00355D52" w:rsidTr="006672C8">
        <w:tc>
          <w:tcPr>
            <w:tcW w:w="3402" w:type="dxa"/>
          </w:tcPr>
          <w:p w:rsidR="00355D52" w:rsidRDefault="00355D52" w:rsidP="006672C8">
            <w:pPr>
              <w:pStyle w:val="Bezodstpw"/>
              <w:jc w:val="center"/>
            </w:pPr>
            <w:r>
              <w:t>Akcja spółki Lena</w:t>
            </w:r>
          </w:p>
        </w:tc>
        <w:tc>
          <w:tcPr>
            <w:tcW w:w="2302" w:type="dxa"/>
          </w:tcPr>
          <w:p w:rsidR="00355D52" w:rsidRDefault="00355D52" w:rsidP="006672C8">
            <w:pPr>
              <w:pStyle w:val="Bezodstpw"/>
              <w:jc w:val="center"/>
            </w:pPr>
            <w:r>
              <w:t xml:space="preserve">3,99 zł. </w:t>
            </w:r>
          </w:p>
        </w:tc>
        <w:tc>
          <w:tcPr>
            <w:tcW w:w="2303" w:type="dxa"/>
          </w:tcPr>
          <w:p w:rsidR="00355D52" w:rsidRDefault="00355D52" w:rsidP="006672C8">
            <w:pPr>
              <w:pStyle w:val="Bezodstpw"/>
              <w:jc w:val="center"/>
            </w:pPr>
            <w:r>
              <w:t>3,95 zł.</w:t>
            </w:r>
          </w:p>
        </w:tc>
        <w:tc>
          <w:tcPr>
            <w:tcW w:w="1134" w:type="dxa"/>
          </w:tcPr>
          <w:p w:rsidR="00355D52" w:rsidRDefault="00355D52" w:rsidP="006672C8">
            <w:pPr>
              <w:pStyle w:val="Bezodstpw"/>
              <w:jc w:val="center"/>
            </w:pPr>
            <w:r>
              <w:t xml:space="preserve">    -1,0 %</w:t>
            </w:r>
          </w:p>
        </w:tc>
      </w:tr>
      <w:tr w:rsidR="00355D52" w:rsidTr="006672C8">
        <w:tc>
          <w:tcPr>
            <w:tcW w:w="3402" w:type="dxa"/>
          </w:tcPr>
          <w:p w:rsidR="00355D52" w:rsidRDefault="00355D52" w:rsidP="006672C8">
            <w:pPr>
              <w:pStyle w:val="Bezodstpw"/>
              <w:jc w:val="center"/>
            </w:pPr>
            <w:r>
              <w:t xml:space="preserve">Akcja spółki  </w:t>
            </w:r>
            <w:proofErr w:type="spellStart"/>
            <w:r>
              <w:t>Netmedia</w:t>
            </w:r>
            <w:proofErr w:type="spellEnd"/>
          </w:p>
        </w:tc>
        <w:tc>
          <w:tcPr>
            <w:tcW w:w="2302" w:type="dxa"/>
          </w:tcPr>
          <w:p w:rsidR="00355D52" w:rsidRDefault="00355D52" w:rsidP="006672C8">
            <w:pPr>
              <w:pStyle w:val="Bezodstpw"/>
              <w:jc w:val="center"/>
            </w:pPr>
            <w:r>
              <w:t xml:space="preserve">3,63 zł. </w:t>
            </w:r>
          </w:p>
        </w:tc>
        <w:tc>
          <w:tcPr>
            <w:tcW w:w="2303" w:type="dxa"/>
          </w:tcPr>
          <w:p w:rsidR="00355D52" w:rsidRDefault="00355D52" w:rsidP="006672C8">
            <w:pPr>
              <w:pStyle w:val="Bezodstpw"/>
              <w:jc w:val="center"/>
            </w:pPr>
            <w:r>
              <w:t>3,50 zł.</w:t>
            </w:r>
          </w:p>
        </w:tc>
        <w:tc>
          <w:tcPr>
            <w:tcW w:w="1134" w:type="dxa"/>
          </w:tcPr>
          <w:p w:rsidR="00355D52" w:rsidRDefault="00355D52" w:rsidP="006672C8">
            <w:pPr>
              <w:pStyle w:val="Bezodstpw"/>
              <w:jc w:val="center"/>
            </w:pPr>
            <w:r>
              <w:t xml:space="preserve">    -3,6 %</w:t>
            </w:r>
          </w:p>
        </w:tc>
      </w:tr>
      <w:tr w:rsidR="00355D52" w:rsidTr="006672C8">
        <w:tc>
          <w:tcPr>
            <w:tcW w:w="3402" w:type="dxa"/>
          </w:tcPr>
          <w:p w:rsidR="00355D52" w:rsidRDefault="00355D52" w:rsidP="006672C8">
            <w:pPr>
              <w:pStyle w:val="Bezodstpw"/>
              <w:jc w:val="center"/>
            </w:pPr>
            <w:r>
              <w:t>Akcja spółki Rafako</w:t>
            </w:r>
          </w:p>
        </w:tc>
        <w:tc>
          <w:tcPr>
            <w:tcW w:w="2302" w:type="dxa"/>
            <w:tcBorders>
              <w:bottom w:val="single" w:sz="4" w:space="0" w:color="auto"/>
            </w:tcBorders>
          </w:tcPr>
          <w:p w:rsidR="00355D52" w:rsidRDefault="00355D52" w:rsidP="006672C8">
            <w:pPr>
              <w:pStyle w:val="Bezodstpw"/>
              <w:jc w:val="center"/>
            </w:pPr>
            <w:r>
              <w:t xml:space="preserve">4,25 zł. </w:t>
            </w:r>
          </w:p>
        </w:tc>
        <w:tc>
          <w:tcPr>
            <w:tcW w:w="2303" w:type="dxa"/>
            <w:tcBorders>
              <w:bottom w:val="single" w:sz="4" w:space="0" w:color="auto"/>
            </w:tcBorders>
          </w:tcPr>
          <w:p w:rsidR="00355D52" w:rsidRDefault="00355D52" w:rsidP="006672C8">
            <w:pPr>
              <w:pStyle w:val="Bezodstpw"/>
              <w:jc w:val="center"/>
            </w:pPr>
            <w:r>
              <w:t>5,62 zł.</w:t>
            </w:r>
          </w:p>
        </w:tc>
        <w:tc>
          <w:tcPr>
            <w:tcW w:w="1134" w:type="dxa"/>
          </w:tcPr>
          <w:p w:rsidR="00355D52" w:rsidRDefault="00355D52" w:rsidP="006672C8">
            <w:pPr>
              <w:pStyle w:val="Bezodstpw"/>
              <w:jc w:val="center"/>
            </w:pPr>
            <w:r>
              <w:t>+32,2 %</w:t>
            </w:r>
          </w:p>
        </w:tc>
      </w:tr>
      <w:tr w:rsidR="00355D52" w:rsidTr="006672C8">
        <w:tc>
          <w:tcPr>
            <w:tcW w:w="3402" w:type="dxa"/>
          </w:tcPr>
          <w:p w:rsidR="00355D52" w:rsidRPr="008F668F" w:rsidRDefault="00355D52" w:rsidP="006672C8">
            <w:pPr>
              <w:pStyle w:val="Bezodstpw"/>
              <w:jc w:val="center"/>
              <w:rPr>
                <w:b/>
                <w:color w:val="FF0000"/>
              </w:rPr>
            </w:pPr>
            <w:r w:rsidRPr="008F668F">
              <w:rPr>
                <w:b/>
                <w:color w:val="FF0000"/>
              </w:rPr>
              <w:t>Średnio</w:t>
            </w:r>
          </w:p>
        </w:tc>
        <w:tc>
          <w:tcPr>
            <w:tcW w:w="2302" w:type="dxa"/>
            <w:tcBorders>
              <w:right w:val="nil"/>
            </w:tcBorders>
          </w:tcPr>
          <w:p w:rsidR="00355D52" w:rsidRPr="008F668F" w:rsidRDefault="00355D52" w:rsidP="006672C8">
            <w:pPr>
              <w:pStyle w:val="Bezodstpw"/>
              <w:jc w:val="center"/>
              <w:rPr>
                <w:b/>
                <w:color w:val="FF0000"/>
              </w:rPr>
            </w:pPr>
          </w:p>
        </w:tc>
        <w:tc>
          <w:tcPr>
            <w:tcW w:w="2303" w:type="dxa"/>
            <w:tcBorders>
              <w:left w:val="nil"/>
            </w:tcBorders>
          </w:tcPr>
          <w:p w:rsidR="00355D52" w:rsidRPr="008F668F" w:rsidRDefault="00355D52" w:rsidP="006672C8">
            <w:pPr>
              <w:pStyle w:val="Bezodstpw"/>
              <w:jc w:val="center"/>
              <w:rPr>
                <w:b/>
                <w:color w:val="FF0000"/>
              </w:rPr>
            </w:pPr>
          </w:p>
        </w:tc>
        <w:tc>
          <w:tcPr>
            <w:tcW w:w="1134" w:type="dxa"/>
          </w:tcPr>
          <w:p w:rsidR="00355D52" w:rsidRPr="008F668F" w:rsidRDefault="00355D52" w:rsidP="006672C8">
            <w:pPr>
              <w:pStyle w:val="Bezodstpw"/>
              <w:jc w:val="center"/>
              <w:rPr>
                <w:b/>
                <w:color w:val="FF0000"/>
              </w:rPr>
            </w:pPr>
            <w:r>
              <w:rPr>
                <w:b/>
                <w:color w:val="FF0000"/>
              </w:rPr>
              <w:t xml:space="preserve"> +8,7 %</w:t>
            </w:r>
          </w:p>
        </w:tc>
      </w:tr>
      <w:tr w:rsidR="00355D52" w:rsidTr="006672C8">
        <w:tc>
          <w:tcPr>
            <w:tcW w:w="3402" w:type="dxa"/>
          </w:tcPr>
          <w:p w:rsidR="00355D52" w:rsidRDefault="00355D52" w:rsidP="006672C8">
            <w:pPr>
              <w:pStyle w:val="Bezodstpw"/>
              <w:jc w:val="center"/>
            </w:pPr>
            <w:r>
              <w:t>WIG 20</w:t>
            </w:r>
          </w:p>
        </w:tc>
        <w:tc>
          <w:tcPr>
            <w:tcW w:w="2302" w:type="dxa"/>
          </w:tcPr>
          <w:p w:rsidR="00355D52" w:rsidRDefault="00355D52" w:rsidP="006672C8">
            <w:pPr>
              <w:pStyle w:val="Bezodstpw"/>
              <w:jc w:val="center"/>
            </w:pPr>
            <w:r>
              <w:t xml:space="preserve">2 541,42 pkt. </w:t>
            </w:r>
          </w:p>
        </w:tc>
        <w:tc>
          <w:tcPr>
            <w:tcW w:w="2303" w:type="dxa"/>
          </w:tcPr>
          <w:p w:rsidR="00355D52" w:rsidRDefault="00355D52" w:rsidP="006672C8">
            <w:pPr>
              <w:pStyle w:val="Bezodstpw"/>
              <w:jc w:val="center"/>
            </w:pPr>
            <w:r>
              <w:t>2 417,45 pkt.</w:t>
            </w:r>
          </w:p>
        </w:tc>
        <w:tc>
          <w:tcPr>
            <w:tcW w:w="1134" w:type="dxa"/>
          </w:tcPr>
          <w:p w:rsidR="00355D52" w:rsidRDefault="00355D52" w:rsidP="006672C8">
            <w:pPr>
              <w:pStyle w:val="Bezodstpw"/>
              <w:jc w:val="center"/>
            </w:pPr>
            <w:r>
              <w:t xml:space="preserve">  -4,9 %</w:t>
            </w:r>
          </w:p>
        </w:tc>
      </w:tr>
    </w:tbl>
    <w:p w:rsidR="00355D52" w:rsidRDefault="00355D52" w:rsidP="00355D52">
      <w:pPr>
        <w:pStyle w:val="Bezodstpw"/>
        <w:jc w:val="both"/>
      </w:pPr>
      <w:r>
        <w:t xml:space="preserve">Tabela: Procentowa zmiana ceny akcji spółki, której akcje zostały wymienione w drugim numerze ,,Raportu Tygodniowego” z 15 września 2014 roku w rubryce ,,Wykres do przemyślenia” w okresie od 12 września do </w:t>
      </w:r>
      <w:r w:rsidR="003260DC">
        <w:t>7 listopada</w:t>
      </w:r>
      <w:r>
        <w:t xml:space="preserve"> 2014 roku oraz procentowa zmiana indeksu WIG 20 w tym okresie. </w:t>
      </w:r>
    </w:p>
    <w:tbl>
      <w:tblPr>
        <w:tblStyle w:val="Tabela-Siatka"/>
        <w:tblW w:w="0" w:type="auto"/>
        <w:tblLook w:val="04A0"/>
      </w:tblPr>
      <w:tblGrid>
        <w:gridCol w:w="3402"/>
        <w:gridCol w:w="2302"/>
        <w:gridCol w:w="2303"/>
        <w:gridCol w:w="1134"/>
      </w:tblGrid>
      <w:tr w:rsidR="00355D52" w:rsidTr="006672C8">
        <w:tc>
          <w:tcPr>
            <w:tcW w:w="3402" w:type="dxa"/>
          </w:tcPr>
          <w:p w:rsidR="00355D52" w:rsidRDefault="00355D52" w:rsidP="006672C8">
            <w:pPr>
              <w:pStyle w:val="Bezodstpw"/>
              <w:jc w:val="center"/>
            </w:pPr>
            <w:r>
              <w:t>Instrument finansowy</w:t>
            </w:r>
          </w:p>
        </w:tc>
        <w:tc>
          <w:tcPr>
            <w:tcW w:w="2302" w:type="dxa"/>
          </w:tcPr>
          <w:p w:rsidR="00355D52" w:rsidRDefault="00355D52" w:rsidP="006672C8">
            <w:pPr>
              <w:pStyle w:val="Bezodstpw"/>
              <w:jc w:val="center"/>
            </w:pPr>
            <w:r>
              <w:t>Poziom – 12.09.2014</w:t>
            </w:r>
          </w:p>
        </w:tc>
        <w:tc>
          <w:tcPr>
            <w:tcW w:w="2303" w:type="dxa"/>
          </w:tcPr>
          <w:p w:rsidR="00355D52" w:rsidRDefault="00355D52" w:rsidP="006672C8">
            <w:pPr>
              <w:pStyle w:val="Bezodstpw"/>
              <w:jc w:val="center"/>
            </w:pPr>
            <w:r>
              <w:t>Poziom – 07.11.2014</w:t>
            </w:r>
          </w:p>
        </w:tc>
        <w:tc>
          <w:tcPr>
            <w:tcW w:w="1134" w:type="dxa"/>
          </w:tcPr>
          <w:p w:rsidR="00355D52" w:rsidRDefault="00355D52" w:rsidP="006672C8">
            <w:pPr>
              <w:pStyle w:val="Bezodstpw"/>
              <w:jc w:val="center"/>
            </w:pPr>
            <w:r>
              <w:t>Zmiana (w %)</w:t>
            </w:r>
          </w:p>
        </w:tc>
      </w:tr>
      <w:tr w:rsidR="00355D52" w:rsidTr="006672C8">
        <w:tc>
          <w:tcPr>
            <w:tcW w:w="3402" w:type="dxa"/>
          </w:tcPr>
          <w:p w:rsidR="00355D52" w:rsidRDefault="00355D52" w:rsidP="006672C8">
            <w:pPr>
              <w:pStyle w:val="Bezodstpw"/>
              <w:jc w:val="center"/>
            </w:pPr>
            <w:r>
              <w:t>Akcja spółki Boryszew</w:t>
            </w:r>
          </w:p>
        </w:tc>
        <w:tc>
          <w:tcPr>
            <w:tcW w:w="2302" w:type="dxa"/>
          </w:tcPr>
          <w:p w:rsidR="00355D52" w:rsidRDefault="00355D52" w:rsidP="006672C8">
            <w:pPr>
              <w:pStyle w:val="Bezodstpw"/>
              <w:jc w:val="center"/>
            </w:pPr>
            <w:r>
              <w:t>6,50 zł.</w:t>
            </w:r>
          </w:p>
        </w:tc>
        <w:tc>
          <w:tcPr>
            <w:tcW w:w="2303" w:type="dxa"/>
          </w:tcPr>
          <w:p w:rsidR="00355D52" w:rsidRDefault="00355D52" w:rsidP="006672C8">
            <w:pPr>
              <w:pStyle w:val="Bezodstpw"/>
              <w:jc w:val="center"/>
            </w:pPr>
            <w:r>
              <w:t xml:space="preserve">6,40 zł. </w:t>
            </w:r>
          </w:p>
        </w:tc>
        <w:tc>
          <w:tcPr>
            <w:tcW w:w="1134" w:type="dxa"/>
          </w:tcPr>
          <w:p w:rsidR="00355D52" w:rsidRDefault="00355D52" w:rsidP="006672C8">
            <w:pPr>
              <w:pStyle w:val="Bezodstpw"/>
              <w:jc w:val="center"/>
            </w:pPr>
            <w:r>
              <w:t xml:space="preserve">  -1,8 %</w:t>
            </w:r>
          </w:p>
        </w:tc>
      </w:tr>
      <w:tr w:rsidR="00355D52" w:rsidRPr="008F668F" w:rsidTr="006672C8">
        <w:tc>
          <w:tcPr>
            <w:tcW w:w="3402" w:type="dxa"/>
          </w:tcPr>
          <w:p w:rsidR="00355D52" w:rsidRPr="008F668F" w:rsidRDefault="00355D52" w:rsidP="006672C8">
            <w:pPr>
              <w:pStyle w:val="Bezodstpw"/>
              <w:jc w:val="center"/>
              <w:rPr>
                <w:b/>
                <w:color w:val="FF0000"/>
              </w:rPr>
            </w:pPr>
            <w:r w:rsidRPr="008F668F">
              <w:rPr>
                <w:b/>
                <w:color w:val="FF0000"/>
              </w:rPr>
              <w:t>Średnio</w:t>
            </w:r>
          </w:p>
        </w:tc>
        <w:tc>
          <w:tcPr>
            <w:tcW w:w="2302" w:type="dxa"/>
            <w:tcBorders>
              <w:right w:val="nil"/>
            </w:tcBorders>
          </w:tcPr>
          <w:p w:rsidR="00355D52" w:rsidRPr="008F668F" w:rsidRDefault="00355D52" w:rsidP="006672C8">
            <w:pPr>
              <w:pStyle w:val="Bezodstpw"/>
              <w:jc w:val="center"/>
              <w:rPr>
                <w:b/>
                <w:color w:val="FF0000"/>
              </w:rPr>
            </w:pPr>
          </w:p>
        </w:tc>
        <w:tc>
          <w:tcPr>
            <w:tcW w:w="2303" w:type="dxa"/>
            <w:tcBorders>
              <w:left w:val="nil"/>
            </w:tcBorders>
          </w:tcPr>
          <w:p w:rsidR="00355D52" w:rsidRPr="008F668F" w:rsidRDefault="00355D52" w:rsidP="006672C8">
            <w:pPr>
              <w:pStyle w:val="Bezodstpw"/>
              <w:jc w:val="center"/>
              <w:rPr>
                <w:b/>
                <w:color w:val="FF0000"/>
              </w:rPr>
            </w:pPr>
          </w:p>
        </w:tc>
        <w:tc>
          <w:tcPr>
            <w:tcW w:w="1134" w:type="dxa"/>
          </w:tcPr>
          <w:p w:rsidR="00355D52" w:rsidRPr="008F668F" w:rsidRDefault="00355D52" w:rsidP="006672C8">
            <w:pPr>
              <w:pStyle w:val="Bezodstpw"/>
              <w:jc w:val="center"/>
              <w:rPr>
                <w:b/>
                <w:color w:val="FF0000"/>
              </w:rPr>
            </w:pPr>
            <w:r>
              <w:rPr>
                <w:b/>
                <w:color w:val="FF0000"/>
              </w:rPr>
              <w:t xml:space="preserve">  -1,8 %</w:t>
            </w:r>
          </w:p>
        </w:tc>
      </w:tr>
      <w:tr w:rsidR="00355D52" w:rsidTr="006672C8">
        <w:tc>
          <w:tcPr>
            <w:tcW w:w="3402" w:type="dxa"/>
          </w:tcPr>
          <w:p w:rsidR="00355D52" w:rsidRDefault="00355D52" w:rsidP="006672C8">
            <w:pPr>
              <w:pStyle w:val="Bezodstpw"/>
              <w:jc w:val="center"/>
            </w:pPr>
            <w:r>
              <w:t>WIG 20</w:t>
            </w:r>
          </w:p>
        </w:tc>
        <w:tc>
          <w:tcPr>
            <w:tcW w:w="2302" w:type="dxa"/>
          </w:tcPr>
          <w:p w:rsidR="00355D52" w:rsidRDefault="00355D52" w:rsidP="006672C8">
            <w:pPr>
              <w:pStyle w:val="Bezodstpw"/>
              <w:jc w:val="center"/>
            </w:pPr>
            <w:r>
              <w:t xml:space="preserve">2 497,38 pkt. </w:t>
            </w:r>
          </w:p>
        </w:tc>
        <w:tc>
          <w:tcPr>
            <w:tcW w:w="2303" w:type="dxa"/>
          </w:tcPr>
          <w:p w:rsidR="00355D52" w:rsidRDefault="00355D52" w:rsidP="006672C8">
            <w:pPr>
              <w:pStyle w:val="Bezodstpw"/>
              <w:jc w:val="center"/>
            </w:pPr>
            <w:r>
              <w:t>2 417,45 pkt.</w:t>
            </w:r>
          </w:p>
        </w:tc>
        <w:tc>
          <w:tcPr>
            <w:tcW w:w="1134" w:type="dxa"/>
          </w:tcPr>
          <w:p w:rsidR="00355D52" w:rsidRDefault="00355D52" w:rsidP="006672C8">
            <w:pPr>
              <w:pStyle w:val="Bezodstpw"/>
              <w:jc w:val="center"/>
            </w:pPr>
            <w:r>
              <w:t xml:space="preserve"> -3,2 %</w:t>
            </w:r>
          </w:p>
        </w:tc>
      </w:tr>
    </w:tbl>
    <w:p w:rsidR="00355D52" w:rsidRDefault="00355D52" w:rsidP="00355D52">
      <w:pPr>
        <w:pStyle w:val="Bezodstpw"/>
        <w:jc w:val="both"/>
      </w:pPr>
    </w:p>
    <w:p w:rsidR="00355D52" w:rsidRDefault="00355D52" w:rsidP="00355D52">
      <w:pPr>
        <w:pStyle w:val="Bezodstpw"/>
        <w:jc w:val="both"/>
      </w:pPr>
      <w:r>
        <w:t xml:space="preserve">Tabela: Procentowa zmiana ceny akcji spółki, której akcje zostały umieszczone 16 września na stronie internetowej </w:t>
      </w:r>
      <w:hyperlink r:id="rId16" w:history="1">
        <w:r w:rsidRPr="003C5ED1">
          <w:rPr>
            <w:rStyle w:val="Hipercze"/>
          </w:rPr>
          <w:t>www.analizy-rynkowe.pl</w:t>
        </w:r>
      </w:hyperlink>
      <w:r>
        <w:t xml:space="preserve"> w rubryce  ,,Wykres do przemyślenia” w okresie od 15 września do </w:t>
      </w:r>
      <w:r w:rsidR="003260DC">
        <w:t>7 listopada</w:t>
      </w:r>
      <w:r>
        <w:t xml:space="preserve"> 2014 roku oraz procentowa zmiana indeksu WIG 20 w tym okresie. </w:t>
      </w:r>
    </w:p>
    <w:p w:rsidR="00355D52" w:rsidRDefault="00355D52" w:rsidP="00355D52">
      <w:pPr>
        <w:pStyle w:val="Bezodstpw"/>
        <w:jc w:val="both"/>
      </w:pPr>
    </w:p>
    <w:tbl>
      <w:tblPr>
        <w:tblStyle w:val="Tabela-Siatka"/>
        <w:tblW w:w="0" w:type="auto"/>
        <w:tblLook w:val="04A0"/>
      </w:tblPr>
      <w:tblGrid>
        <w:gridCol w:w="3402"/>
        <w:gridCol w:w="2302"/>
        <w:gridCol w:w="2303"/>
        <w:gridCol w:w="1134"/>
      </w:tblGrid>
      <w:tr w:rsidR="00355D52" w:rsidTr="006672C8">
        <w:tc>
          <w:tcPr>
            <w:tcW w:w="3402" w:type="dxa"/>
          </w:tcPr>
          <w:p w:rsidR="00355D52" w:rsidRDefault="00355D52" w:rsidP="006672C8">
            <w:pPr>
              <w:pStyle w:val="Bezodstpw"/>
              <w:jc w:val="center"/>
            </w:pPr>
            <w:r>
              <w:t>Instrument finansowy</w:t>
            </w:r>
          </w:p>
        </w:tc>
        <w:tc>
          <w:tcPr>
            <w:tcW w:w="2302" w:type="dxa"/>
          </w:tcPr>
          <w:p w:rsidR="00355D52" w:rsidRDefault="00355D52" w:rsidP="006672C8">
            <w:pPr>
              <w:pStyle w:val="Bezodstpw"/>
              <w:jc w:val="center"/>
            </w:pPr>
            <w:r>
              <w:t>Poziom – 15.09.2014</w:t>
            </w:r>
          </w:p>
        </w:tc>
        <w:tc>
          <w:tcPr>
            <w:tcW w:w="2303" w:type="dxa"/>
          </w:tcPr>
          <w:p w:rsidR="00355D52" w:rsidRDefault="00355D52" w:rsidP="006672C8">
            <w:pPr>
              <w:pStyle w:val="Bezodstpw"/>
              <w:jc w:val="center"/>
            </w:pPr>
            <w:r>
              <w:t>Poziom – 07.11.2014</w:t>
            </w:r>
          </w:p>
        </w:tc>
        <w:tc>
          <w:tcPr>
            <w:tcW w:w="1134" w:type="dxa"/>
          </w:tcPr>
          <w:p w:rsidR="00355D52" w:rsidRDefault="00355D52" w:rsidP="006672C8">
            <w:pPr>
              <w:pStyle w:val="Bezodstpw"/>
              <w:jc w:val="center"/>
            </w:pPr>
            <w:r>
              <w:t>Zmiana (w %)</w:t>
            </w:r>
          </w:p>
        </w:tc>
      </w:tr>
      <w:tr w:rsidR="00355D52" w:rsidTr="006672C8">
        <w:tc>
          <w:tcPr>
            <w:tcW w:w="3402" w:type="dxa"/>
          </w:tcPr>
          <w:p w:rsidR="00355D52" w:rsidRDefault="00355D52" w:rsidP="006672C8">
            <w:pPr>
              <w:pStyle w:val="Bezodstpw"/>
              <w:jc w:val="center"/>
            </w:pPr>
            <w:r>
              <w:t xml:space="preserve">Akcja spółki </w:t>
            </w:r>
            <w:proofErr w:type="spellStart"/>
            <w:r>
              <w:t>Erbud</w:t>
            </w:r>
            <w:proofErr w:type="spellEnd"/>
          </w:p>
        </w:tc>
        <w:tc>
          <w:tcPr>
            <w:tcW w:w="2302" w:type="dxa"/>
          </w:tcPr>
          <w:p w:rsidR="00355D52" w:rsidRDefault="00355D52" w:rsidP="006672C8">
            <w:pPr>
              <w:pStyle w:val="Bezodstpw"/>
              <w:jc w:val="center"/>
            </w:pPr>
            <w:r>
              <w:t>26,5 zł.</w:t>
            </w:r>
          </w:p>
        </w:tc>
        <w:tc>
          <w:tcPr>
            <w:tcW w:w="2303" w:type="dxa"/>
          </w:tcPr>
          <w:p w:rsidR="00355D52" w:rsidRDefault="00355D52" w:rsidP="006672C8">
            <w:pPr>
              <w:pStyle w:val="Bezodstpw"/>
              <w:jc w:val="center"/>
            </w:pPr>
            <w:r>
              <w:t>27,49 zł.</w:t>
            </w:r>
          </w:p>
        </w:tc>
        <w:tc>
          <w:tcPr>
            <w:tcW w:w="1134" w:type="dxa"/>
          </w:tcPr>
          <w:p w:rsidR="00355D52" w:rsidRDefault="00355D52" w:rsidP="006672C8">
            <w:pPr>
              <w:pStyle w:val="Bezodstpw"/>
              <w:jc w:val="center"/>
            </w:pPr>
            <w:r>
              <w:t xml:space="preserve"> -1,8 %</w:t>
            </w:r>
          </w:p>
        </w:tc>
      </w:tr>
      <w:tr w:rsidR="00355D52" w:rsidRPr="008F668F" w:rsidTr="006672C8">
        <w:tc>
          <w:tcPr>
            <w:tcW w:w="3402" w:type="dxa"/>
          </w:tcPr>
          <w:p w:rsidR="00355D52" w:rsidRPr="008F668F" w:rsidRDefault="00355D52" w:rsidP="006672C8">
            <w:pPr>
              <w:pStyle w:val="Bezodstpw"/>
              <w:jc w:val="center"/>
              <w:rPr>
                <w:b/>
                <w:color w:val="FF0000"/>
              </w:rPr>
            </w:pPr>
            <w:r w:rsidRPr="008F668F">
              <w:rPr>
                <w:b/>
                <w:color w:val="FF0000"/>
              </w:rPr>
              <w:t>Średnio</w:t>
            </w:r>
          </w:p>
        </w:tc>
        <w:tc>
          <w:tcPr>
            <w:tcW w:w="2302" w:type="dxa"/>
            <w:tcBorders>
              <w:right w:val="nil"/>
            </w:tcBorders>
          </w:tcPr>
          <w:p w:rsidR="00355D52" w:rsidRPr="008F668F" w:rsidRDefault="00355D52" w:rsidP="006672C8">
            <w:pPr>
              <w:pStyle w:val="Bezodstpw"/>
              <w:jc w:val="center"/>
              <w:rPr>
                <w:b/>
                <w:color w:val="FF0000"/>
              </w:rPr>
            </w:pPr>
          </w:p>
        </w:tc>
        <w:tc>
          <w:tcPr>
            <w:tcW w:w="2303" w:type="dxa"/>
            <w:tcBorders>
              <w:left w:val="nil"/>
            </w:tcBorders>
          </w:tcPr>
          <w:p w:rsidR="00355D52" w:rsidRPr="008F668F" w:rsidRDefault="00355D52" w:rsidP="006672C8">
            <w:pPr>
              <w:pStyle w:val="Bezodstpw"/>
              <w:jc w:val="center"/>
              <w:rPr>
                <w:b/>
                <w:color w:val="FF0000"/>
              </w:rPr>
            </w:pPr>
          </w:p>
        </w:tc>
        <w:tc>
          <w:tcPr>
            <w:tcW w:w="1134" w:type="dxa"/>
          </w:tcPr>
          <w:p w:rsidR="00355D52" w:rsidRPr="008F668F" w:rsidRDefault="00355D52" w:rsidP="006672C8">
            <w:pPr>
              <w:pStyle w:val="Bezodstpw"/>
              <w:jc w:val="center"/>
              <w:rPr>
                <w:b/>
                <w:color w:val="FF0000"/>
              </w:rPr>
            </w:pPr>
            <w:r>
              <w:rPr>
                <w:b/>
                <w:color w:val="FF0000"/>
              </w:rPr>
              <w:t xml:space="preserve"> -1,8 %</w:t>
            </w:r>
          </w:p>
        </w:tc>
      </w:tr>
      <w:tr w:rsidR="00355D52" w:rsidTr="006672C8">
        <w:tc>
          <w:tcPr>
            <w:tcW w:w="3402" w:type="dxa"/>
          </w:tcPr>
          <w:p w:rsidR="00355D52" w:rsidRDefault="00355D52" w:rsidP="006672C8">
            <w:pPr>
              <w:pStyle w:val="Bezodstpw"/>
              <w:jc w:val="center"/>
            </w:pPr>
            <w:r>
              <w:t>WIG 20</w:t>
            </w:r>
          </w:p>
        </w:tc>
        <w:tc>
          <w:tcPr>
            <w:tcW w:w="2302" w:type="dxa"/>
          </w:tcPr>
          <w:p w:rsidR="00355D52" w:rsidRDefault="00355D52" w:rsidP="006672C8">
            <w:pPr>
              <w:pStyle w:val="Bezodstpw"/>
              <w:jc w:val="center"/>
            </w:pPr>
            <w:r>
              <w:t xml:space="preserve">2 489,77 pkt. </w:t>
            </w:r>
          </w:p>
        </w:tc>
        <w:tc>
          <w:tcPr>
            <w:tcW w:w="2303" w:type="dxa"/>
          </w:tcPr>
          <w:p w:rsidR="00355D52" w:rsidRDefault="00355D52" w:rsidP="006672C8">
            <w:pPr>
              <w:pStyle w:val="Bezodstpw"/>
              <w:jc w:val="center"/>
            </w:pPr>
            <w:r>
              <w:t>2 417,45 pkt.</w:t>
            </w:r>
          </w:p>
        </w:tc>
        <w:tc>
          <w:tcPr>
            <w:tcW w:w="1134" w:type="dxa"/>
          </w:tcPr>
          <w:p w:rsidR="00355D52" w:rsidRDefault="00355D52" w:rsidP="006672C8">
            <w:pPr>
              <w:pStyle w:val="Bezodstpw"/>
              <w:jc w:val="center"/>
            </w:pPr>
            <w:r>
              <w:t>-2,9 %</w:t>
            </w:r>
          </w:p>
        </w:tc>
      </w:tr>
    </w:tbl>
    <w:p w:rsidR="00355D52" w:rsidRDefault="00355D52" w:rsidP="00355D52">
      <w:pPr>
        <w:pStyle w:val="Bezodstpw"/>
        <w:jc w:val="both"/>
      </w:pPr>
      <w:r>
        <w:t xml:space="preserve">Tabela: Procentowa zmiana ceny akcji spółki, której akcje zostały wymienione w trzecim numerze ,,Raportu Tygodniowego” z 22 września 2014 roku w rubryce ,,Wykres do przemyślenia” w okresie od 19 września do </w:t>
      </w:r>
      <w:r w:rsidR="003260DC">
        <w:t>7 listopada</w:t>
      </w:r>
      <w:r>
        <w:t xml:space="preserve"> 2014 roku oraz procentowa zmiana indeksu WIG 20 w tym okresie. </w:t>
      </w:r>
    </w:p>
    <w:tbl>
      <w:tblPr>
        <w:tblStyle w:val="Tabela-Siatka"/>
        <w:tblW w:w="0" w:type="auto"/>
        <w:tblLook w:val="04A0"/>
      </w:tblPr>
      <w:tblGrid>
        <w:gridCol w:w="3402"/>
        <w:gridCol w:w="2302"/>
        <w:gridCol w:w="2303"/>
        <w:gridCol w:w="1134"/>
      </w:tblGrid>
      <w:tr w:rsidR="00355D52" w:rsidTr="006672C8">
        <w:tc>
          <w:tcPr>
            <w:tcW w:w="3402" w:type="dxa"/>
          </w:tcPr>
          <w:p w:rsidR="00355D52" w:rsidRDefault="00355D52" w:rsidP="006672C8">
            <w:pPr>
              <w:pStyle w:val="Bezodstpw"/>
              <w:jc w:val="center"/>
            </w:pPr>
            <w:r>
              <w:t>Instrument finansowy</w:t>
            </w:r>
          </w:p>
        </w:tc>
        <w:tc>
          <w:tcPr>
            <w:tcW w:w="2302" w:type="dxa"/>
          </w:tcPr>
          <w:p w:rsidR="00355D52" w:rsidRDefault="00355D52" w:rsidP="006672C8">
            <w:pPr>
              <w:pStyle w:val="Bezodstpw"/>
              <w:jc w:val="center"/>
            </w:pPr>
            <w:r>
              <w:t>Poziom – 19.09.2014</w:t>
            </w:r>
          </w:p>
        </w:tc>
        <w:tc>
          <w:tcPr>
            <w:tcW w:w="2303" w:type="dxa"/>
          </w:tcPr>
          <w:p w:rsidR="00355D52" w:rsidRDefault="00355D52" w:rsidP="006672C8">
            <w:pPr>
              <w:pStyle w:val="Bezodstpw"/>
              <w:jc w:val="center"/>
            </w:pPr>
            <w:r>
              <w:t>Poziom – 07.11.2014</w:t>
            </w:r>
          </w:p>
        </w:tc>
        <w:tc>
          <w:tcPr>
            <w:tcW w:w="1134" w:type="dxa"/>
          </w:tcPr>
          <w:p w:rsidR="00355D52" w:rsidRDefault="00355D52" w:rsidP="006672C8">
            <w:pPr>
              <w:pStyle w:val="Bezodstpw"/>
              <w:jc w:val="center"/>
            </w:pPr>
            <w:r>
              <w:t>Zmiana (w %)</w:t>
            </w:r>
          </w:p>
        </w:tc>
      </w:tr>
      <w:tr w:rsidR="00355D52" w:rsidTr="006672C8">
        <w:tc>
          <w:tcPr>
            <w:tcW w:w="3402" w:type="dxa"/>
          </w:tcPr>
          <w:p w:rsidR="00355D52" w:rsidRDefault="00355D52" w:rsidP="006672C8">
            <w:pPr>
              <w:pStyle w:val="Bezodstpw"/>
              <w:jc w:val="center"/>
            </w:pPr>
            <w:r>
              <w:t>Akcja spółki IF Capital</w:t>
            </w:r>
          </w:p>
        </w:tc>
        <w:tc>
          <w:tcPr>
            <w:tcW w:w="2302" w:type="dxa"/>
          </w:tcPr>
          <w:p w:rsidR="00355D52" w:rsidRDefault="00355D52" w:rsidP="006672C8">
            <w:pPr>
              <w:pStyle w:val="Bezodstpw"/>
              <w:jc w:val="center"/>
            </w:pPr>
            <w:r>
              <w:t>1,32 zł.</w:t>
            </w:r>
          </w:p>
        </w:tc>
        <w:tc>
          <w:tcPr>
            <w:tcW w:w="2303" w:type="dxa"/>
          </w:tcPr>
          <w:p w:rsidR="00355D52" w:rsidRDefault="00355D52" w:rsidP="006672C8">
            <w:pPr>
              <w:pStyle w:val="Bezodstpw"/>
              <w:jc w:val="center"/>
            </w:pPr>
            <w:r>
              <w:t>1,28 zł.</w:t>
            </w:r>
          </w:p>
        </w:tc>
        <w:tc>
          <w:tcPr>
            <w:tcW w:w="1134" w:type="dxa"/>
          </w:tcPr>
          <w:p w:rsidR="00355D52" w:rsidRDefault="00355D52" w:rsidP="006672C8">
            <w:pPr>
              <w:pStyle w:val="Bezodstpw"/>
              <w:jc w:val="center"/>
            </w:pPr>
            <w:r>
              <w:t>-1,5 %</w:t>
            </w:r>
          </w:p>
        </w:tc>
      </w:tr>
      <w:tr w:rsidR="00355D52" w:rsidRPr="008F668F" w:rsidTr="006672C8">
        <w:tc>
          <w:tcPr>
            <w:tcW w:w="3402" w:type="dxa"/>
          </w:tcPr>
          <w:p w:rsidR="00355D52" w:rsidRPr="008F668F" w:rsidRDefault="00355D52" w:rsidP="006672C8">
            <w:pPr>
              <w:pStyle w:val="Bezodstpw"/>
              <w:jc w:val="center"/>
              <w:rPr>
                <w:b/>
                <w:color w:val="FF0000"/>
              </w:rPr>
            </w:pPr>
            <w:r w:rsidRPr="008F668F">
              <w:rPr>
                <w:b/>
                <w:color w:val="FF0000"/>
              </w:rPr>
              <w:t>Średnio</w:t>
            </w:r>
          </w:p>
        </w:tc>
        <w:tc>
          <w:tcPr>
            <w:tcW w:w="2302" w:type="dxa"/>
            <w:tcBorders>
              <w:right w:val="nil"/>
            </w:tcBorders>
          </w:tcPr>
          <w:p w:rsidR="00355D52" w:rsidRPr="008F668F" w:rsidRDefault="00355D52" w:rsidP="006672C8">
            <w:pPr>
              <w:pStyle w:val="Bezodstpw"/>
              <w:jc w:val="center"/>
              <w:rPr>
                <w:b/>
                <w:color w:val="FF0000"/>
              </w:rPr>
            </w:pPr>
          </w:p>
        </w:tc>
        <w:tc>
          <w:tcPr>
            <w:tcW w:w="2303" w:type="dxa"/>
            <w:tcBorders>
              <w:left w:val="nil"/>
            </w:tcBorders>
          </w:tcPr>
          <w:p w:rsidR="00355D52" w:rsidRPr="008F668F" w:rsidRDefault="00355D52" w:rsidP="006672C8">
            <w:pPr>
              <w:pStyle w:val="Bezodstpw"/>
              <w:jc w:val="center"/>
              <w:rPr>
                <w:b/>
                <w:color w:val="FF0000"/>
              </w:rPr>
            </w:pPr>
          </w:p>
        </w:tc>
        <w:tc>
          <w:tcPr>
            <w:tcW w:w="1134" w:type="dxa"/>
          </w:tcPr>
          <w:p w:rsidR="00355D52" w:rsidRPr="008F668F" w:rsidRDefault="00355D52" w:rsidP="006672C8">
            <w:pPr>
              <w:pStyle w:val="Bezodstpw"/>
              <w:jc w:val="center"/>
              <w:rPr>
                <w:b/>
                <w:color w:val="FF0000"/>
              </w:rPr>
            </w:pPr>
            <w:r>
              <w:rPr>
                <w:b/>
                <w:color w:val="FF0000"/>
              </w:rPr>
              <w:t>-1,5 %</w:t>
            </w:r>
          </w:p>
        </w:tc>
      </w:tr>
      <w:tr w:rsidR="00355D52" w:rsidTr="006672C8">
        <w:tc>
          <w:tcPr>
            <w:tcW w:w="3402" w:type="dxa"/>
          </w:tcPr>
          <w:p w:rsidR="00355D52" w:rsidRDefault="00355D52" w:rsidP="006672C8">
            <w:pPr>
              <w:pStyle w:val="Bezodstpw"/>
              <w:jc w:val="center"/>
            </w:pPr>
            <w:r>
              <w:t>WIG 20</w:t>
            </w:r>
          </w:p>
        </w:tc>
        <w:tc>
          <w:tcPr>
            <w:tcW w:w="2302" w:type="dxa"/>
          </w:tcPr>
          <w:p w:rsidR="00355D52" w:rsidRDefault="00355D52" w:rsidP="006672C8">
            <w:pPr>
              <w:pStyle w:val="Bezodstpw"/>
              <w:jc w:val="center"/>
            </w:pPr>
            <w:r>
              <w:t xml:space="preserve">2 497,38 pkt. </w:t>
            </w:r>
          </w:p>
        </w:tc>
        <w:tc>
          <w:tcPr>
            <w:tcW w:w="2303" w:type="dxa"/>
          </w:tcPr>
          <w:p w:rsidR="00355D52" w:rsidRDefault="00355D52" w:rsidP="006672C8">
            <w:pPr>
              <w:pStyle w:val="Bezodstpw"/>
              <w:jc w:val="center"/>
            </w:pPr>
            <w:r>
              <w:t>2 417,45 pkt.</w:t>
            </w:r>
          </w:p>
        </w:tc>
        <w:tc>
          <w:tcPr>
            <w:tcW w:w="1134" w:type="dxa"/>
          </w:tcPr>
          <w:p w:rsidR="00355D52" w:rsidRDefault="00355D52" w:rsidP="006672C8">
            <w:pPr>
              <w:pStyle w:val="Bezodstpw"/>
              <w:jc w:val="center"/>
            </w:pPr>
            <w:r>
              <w:t>-3,2 %</w:t>
            </w:r>
          </w:p>
        </w:tc>
      </w:tr>
    </w:tbl>
    <w:p w:rsidR="00355D52" w:rsidRDefault="00355D52" w:rsidP="00355D52">
      <w:pPr>
        <w:pStyle w:val="Bezodstpw"/>
        <w:jc w:val="both"/>
      </w:pPr>
      <w:r>
        <w:lastRenderedPageBreak/>
        <w:t xml:space="preserve">Tabela: Procentowa zmiana ceny akcji spółki, której akcje zostały umieszczone 25 września na stronie internetowej </w:t>
      </w:r>
      <w:hyperlink r:id="rId17" w:history="1">
        <w:r w:rsidRPr="003C5ED1">
          <w:rPr>
            <w:rStyle w:val="Hipercze"/>
          </w:rPr>
          <w:t>www.analizy-rynkowe.pl</w:t>
        </w:r>
      </w:hyperlink>
      <w:r>
        <w:t xml:space="preserve"> w rubryce  ,,Wykres do przemyślenia” w okresie od 24 września do </w:t>
      </w:r>
      <w:r w:rsidR="003260DC">
        <w:t xml:space="preserve">7 listopada </w:t>
      </w:r>
      <w:r>
        <w:t xml:space="preserve">2014 roku oraz procentowa zmiana indeksu WIG 20 w tym okresie. </w:t>
      </w:r>
    </w:p>
    <w:p w:rsidR="00355D52" w:rsidRDefault="00355D52" w:rsidP="00355D52">
      <w:pPr>
        <w:pStyle w:val="Bezodstpw"/>
        <w:jc w:val="both"/>
      </w:pPr>
    </w:p>
    <w:tbl>
      <w:tblPr>
        <w:tblStyle w:val="Tabela-Siatka"/>
        <w:tblW w:w="0" w:type="auto"/>
        <w:tblLook w:val="04A0"/>
      </w:tblPr>
      <w:tblGrid>
        <w:gridCol w:w="3402"/>
        <w:gridCol w:w="2302"/>
        <w:gridCol w:w="2303"/>
        <w:gridCol w:w="1134"/>
      </w:tblGrid>
      <w:tr w:rsidR="00355D52" w:rsidTr="006672C8">
        <w:tc>
          <w:tcPr>
            <w:tcW w:w="3402" w:type="dxa"/>
          </w:tcPr>
          <w:p w:rsidR="00355D52" w:rsidRDefault="00355D52" w:rsidP="006672C8">
            <w:pPr>
              <w:pStyle w:val="Bezodstpw"/>
              <w:jc w:val="center"/>
            </w:pPr>
            <w:r>
              <w:t>Instrument finansowy</w:t>
            </w:r>
          </w:p>
        </w:tc>
        <w:tc>
          <w:tcPr>
            <w:tcW w:w="2302" w:type="dxa"/>
          </w:tcPr>
          <w:p w:rsidR="00355D52" w:rsidRDefault="00355D52" w:rsidP="006672C8">
            <w:pPr>
              <w:pStyle w:val="Bezodstpw"/>
              <w:jc w:val="center"/>
            </w:pPr>
            <w:r>
              <w:t>Poziom – 24.09.2014</w:t>
            </w:r>
          </w:p>
        </w:tc>
        <w:tc>
          <w:tcPr>
            <w:tcW w:w="2303" w:type="dxa"/>
          </w:tcPr>
          <w:p w:rsidR="00355D52" w:rsidRDefault="00355D52" w:rsidP="006672C8">
            <w:pPr>
              <w:pStyle w:val="Bezodstpw"/>
              <w:jc w:val="center"/>
            </w:pPr>
            <w:r>
              <w:t>Poziom – 07.11.2014</w:t>
            </w:r>
          </w:p>
        </w:tc>
        <w:tc>
          <w:tcPr>
            <w:tcW w:w="1134" w:type="dxa"/>
          </w:tcPr>
          <w:p w:rsidR="00355D52" w:rsidRDefault="00355D52" w:rsidP="006672C8">
            <w:pPr>
              <w:pStyle w:val="Bezodstpw"/>
              <w:jc w:val="center"/>
            </w:pPr>
            <w:r>
              <w:t>Zmiana (w %)</w:t>
            </w:r>
          </w:p>
        </w:tc>
      </w:tr>
      <w:tr w:rsidR="00355D52" w:rsidTr="006672C8">
        <w:tc>
          <w:tcPr>
            <w:tcW w:w="3402" w:type="dxa"/>
          </w:tcPr>
          <w:p w:rsidR="00355D52" w:rsidRDefault="00355D52" w:rsidP="006672C8">
            <w:pPr>
              <w:pStyle w:val="Bezodstpw"/>
              <w:jc w:val="center"/>
            </w:pPr>
            <w:r>
              <w:t>Akcja spółki Capital Partners</w:t>
            </w:r>
          </w:p>
        </w:tc>
        <w:tc>
          <w:tcPr>
            <w:tcW w:w="2302" w:type="dxa"/>
          </w:tcPr>
          <w:p w:rsidR="00355D52" w:rsidRDefault="00355D52" w:rsidP="006672C8">
            <w:pPr>
              <w:pStyle w:val="Bezodstpw"/>
              <w:jc w:val="center"/>
            </w:pPr>
            <w:r>
              <w:t>1,85 zł.</w:t>
            </w:r>
          </w:p>
        </w:tc>
        <w:tc>
          <w:tcPr>
            <w:tcW w:w="2303" w:type="dxa"/>
          </w:tcPr>
          <w:p w:rsidR="00355D52" w:rsidRDefault="00355D52" w:rsidP="006672C8">
            <w:pPr>
              <w:pStyle w:val="Bezodstpw"/>
              <w:jc w:val="center"/>
            </w:pPr>
            <w:r>
              <w:t>2,27 zł.</w:t>
            </w:r>
          </w:p>
        </w:tc>
        <w:tc>
          <w:tcPr>
            <w:tcW w:w="1134" w:type="dxa"/>
          </w:tcPr>
          <w:p w:rsidR="00355D52" w:rsidRDefault="00355D52" w:rsidP="006672C8">
            <w:pPr>
              <w:pStyle w:val="Bezodstpw"/>
              <w:jc w:val="center"/>
            </w:pPr>
            <w:r>
              <w:t>+18,4 %</w:t>
            </w:r>
          </w:p>
        </w:tc>
      </w:tr>
      <w:tr w:rsidR="00355D52" w:rsidRPr="008F668F" w:rsidTr="006672C8">
        <w:tc>
          <w:tcPr>
            <w:tcW w:w="3402" w:type="dxa"/>
          </w:tcPr>
          <w:p w:rsidR="00355D52" w:rsidRPr="008F668F" w:rsidRDefault="00355D52" w:rsidP="006672C8">
            <w:pPr>
              <w:pStyle w:val="Bezodstpw"/>
              <w:jc w:val="center"/>
              <w:rPr>
                <w:b/>
                <w:color w:val="FF0000"/>
              </w:rPr>
            </w:pPr>
            <w:r w:rsidRPr="008F668F">
              <w:rPr>
                <w:b/>
                <w:color w:val="FF0000"/>
              </w:rPr>
              <w:t>Średnio</w:t>
            </w:r>
          </w:p>
        </w:tc>
        <w:tc>
          <w:tcPr>
            <w:tcW w:w="2302" w:type="dxa"/>
            <w:tcBorders>
              <w:right w:val="nil"/>
            </w:tcBorders>
          </w:tcPr>
          <w:p w:rsidR="00355D52" w:rsidRPr="008F668F" w:rsidRDefault="00355D52" w:rsidP="006672C8">
            <w:pPr>
              <w:pStyle w:val="Bezodstpw"/>
              <w:jc w:val="center"/>
              <w:rPr>
                <w:b/>
                <w:color w:val="FF0000"/>
              </w:rPr>
            </w:pPr>
          </w:p>
        </w:tc>
        <w:tc>
          <w:tcPr>
            <w:tcW w:w="2303" w:type="dxa"/>
            <w:tcBorders>
              <w:left w:val="nil"/>
            </w:tcBorders>
          </w:tcPr>
          <w:p w:rsidR="00355D52" w:rsidRPr="008F668F" w:rsidRDefault="00355D52" w:rsidP="006672C8">
            <w:pPr>
              <w:pStyle w:val="Bezodstpw"/>
              <w:jc w:val="center"/>
              <w:rPr>
                <w:b/>
                <w:color w:val="FF0000"/>
              </w:rPr>
            </w:pPr>
          </w:p>
        </w:tc>
        <w:tc>
          <w:tcPr>
            <w:tcW w:w="1134" w:type="dxa"/>
          </w:tcPr>
          <w:p w:rsidR="00355D52" w:rsidRPr="008F668F" w:rsidRDefault="00355D52" w:rsidP="006672C8">
            <w:pPr>
              <w:pStyle w:val="Bezodstpw"/>
              <w:jc w:val="center"/>
              <w:rPr>
                <w:b/>
                <w:color w:val="FF0000"/>
              </w:rPr>
            </w:pPr>
            <w:r>
              <w:rPr>
                <w:b/>
                <w:color w:val="FF0000"/>
              </w:rPr>
              <w:t>+18,4 %</w:t>
            </w:r>
          </w:p>
        </w:tc>
      </w:tr>
      <w:tr w:rsidR="00355D52" w:rsidTr="006672C8">
        <w:tc>
          <w:tcPr>
            <w:tcW w:w="3402" w:type="dxa"/>
          </w:tcPr>
          <w:p w:rsidR="00355D52" w:rsidRDefault="00355D52" w:rsidP="006672C8">
            <w:pPr>
              <w:pStyle w:val="Bezodstpw"/>
              <w:jc w:val="center"/>
            </w:pPr>
            <w:r>
              <w:t>WIG 20</w:t>
            </w:r>
          </w:p>
        </w:tc>
        <w:tc>
          <w:tcPr>
            <w:tcW w:w="2302" w:type="dxa"/>
          </w:tcPr>
          <w:p w:rsidR="00355D52" w:rsidRDefault="00355D52" w:rsidP="006672C8">
            <w:pPr>
              <w:pStyle w:val="Bezodstpw"/>
              <w:jc w:val="center"/>
            </w:pPr>
            <w:r>
              <w:t xml:space="preserve">2 489,77 pkt. </w:t>
            </w:r>
          </w:p>
        </w:tc>
        <w:tc>
          <w:tcPr>
            <w:tcW w:w="2303" w:type="dxa"/>
          </w:tcPr>
          <w:p w:rsidR="00355D52" w:rsidRDefault="00355D52" w:rsidP="006672C8">
            <w:pPr>
              <w:pStyle w:val="Bezodstpw"/>
              <w:jc w:val="center"/>
            </w:pPr>
            <w:r>
              <w:t>2 417,45 pkt.</w:t>
            </w:r>
          </w:p>
        </w:tc>
        <w:tc>
          <w:tcPr>
            <w:tcW w:w="1134" w:type="dxa"/>
          </w:tcPr>
          <w:p w:rsidR="00355D52" w:rsidRDefault="00355D52" w:rsidP="006672C8">
            <w:pPr>
              <w:pStyle w:val="Bezodstpw"/>
              <w:jc w:val="center"/>
            </w:pPr>
            <w:r>
              <w:t>-2,9 %</w:t>
            </w:r>
          </w:p>
        </w:tc>
      </w:tr>
    </w:tbl>
    <w:p w:rsidR="00355D52" w:rsidRDefault="00355D52" w:rsidP="00355D52">
      <w:pPr>
        <w:pStyle w:val="Bezodstpw"/>
        <w:jc w:val="both"/>
      </w:pPr>
    </w:p>
    <w:p w:rsidR="00355D52" w:rsidRDefault="00355D52" w:rsidP="00355D52">
      <w:pPr>
        <w:pStyle w:val="Bezodstpw"/>
        <w:jc w:val="both"/>
      </w:pPr>
      <w:r>
        <w:t>Tabela: Procentowa zmiana cen akcji trzech spółek, których akcje zostały wymienione w czwartym numerze ,,Raportu Tygodniowego” z 29 września 2014 roku w rubryce ,,Wykres do przemyśleni</w:t>
      </w:r>
      <w:r w:rsidR="003260DC">
        <w:t>a” w okresie od 26 września do 7 listopada</w:t>
      </w:r>
      <w:r>
        <w:t xml:space="preserve"> 2014 roku oraz procentowa zmiana indeksu WIG 20 w tym okresie. </w:t>
      </w:r>
    </w:p>
    <w:tbl>
      <w:tblPr>
        <w:tblStyle w:val="Tabela-Siatka"/>
        <w:tblW w:w="0" w:type="auto"/>
        <w:tblLook w:val="04A0"/>
      </w:tblPr>
      <w:tblGrid>
        <w:gridCol w:w="3402"/>
        <w:gridCol w:w="2302"/>
        <w:gridCol w:w="2303"/>
        <w:gridCol w:w="1134"/>
      </w:tblGrid>
      <w:tr w:rsidR="00355D52" w:rsidTr="006672C8">
        <w:tc>
          <w:tcPr>
            <w:tcW w:w="3402" w:type="dxa"/>
          </w:tcPr>
          <w:p w:rsidR="00355D52" w:rsidRDefault="00355D52" w:rsidP="006672C8">
            <w:pPr>
              <w:pStyle w:val="Bezodstpw"/>
              <w:jc w:val="center"/>
            </w:pPr>
            <w:r>
              <w:t>Instrument finansowy</w:t>
            </w:r>
          </w:p>
        </w:tc>
        <w:tc>
          <w:tcPr>
            <w:tcW w:w="2302" w:type="dxa"/>
          </w:tcPr>
          <w:p w:rsidR="00355D52" w:rsidRDefault="00355D52" w:rsidP="006672C8">
            <w:pPr>
              <w:pStyle w:val="Bezodstpw"/>
              <w:jc w:val="center"/>
            </w:pPr>
            <w:r>
              <w:t>Poziom – 26.09.2014</w:t>
            </w:r>
          </w:p>
        </w:tc>
        <w:tc>
          <w:tcPr>
            <w:tcW w:w="2303" w:type="dxa"/>
          </w:tcPr>
          <w:p w:rsidR="00355D52" w:rsidRDefault="00355D52" w:rsidP="006672C8">
            <w:pPr>
              <w:pStyle w:val="Bezodstpw"/>
              <w:jc w:val="center"/>
            </w:pPr>
            <w:r>
              <w:t>Poziom – 07.11.2014</w:t>
            </w:r>
          </w:p>
        </w:tc>
        <w:tc>
          <w:tcPr>
            <w:tcW w:w="1134" w:type="dxa"/>
          </w:tcPr>
          <w:p w:rsidR="00355D52" w:rsidRDefault="00355D52" w:rsidP="006672C8">
            <w:pPr>
              <w:pStyle w:val="Bezodstpw"/>
              <w:jc w:val="center"/>
            </w:pPr>
            <w:r>
              <w:t>Zmiana (w %)</w:t>
            </w:r>
          </w:p>
        </w:tc>
      </w:tr>
      <w:tr w:rsidR="00355D52" w:rsidTr="006672C8">
        <w:tc>
          <w:tcPr>
            <w:tcW w:w="3402" w:type="dxa"/>
          </w:tcPr>
          <w:p w:rsidR="00355D52" w:rsidRDefault="00355D52" w:rsidP="006672C8">
            <w:pPr>
              <w:pStyle w:val="Bezodstpw"/>
              <w:jc w:val="center"/>
            </w:pPr>
            <w:r>
              <w:t xml:space="preserve">Akcja spółki </w:t>
            </w:r>
            <w:proofErr w:type="spellStart"/>
            <w:r>
              <w:t>Asseco</w:t>
            </w:r>
            <w:proofErr w:type="spellEnd"/>
            <w:r>
              <w:t xml:space="preserve"> Poland </w:t>
            </w:r>
          </w:p>
        </w:tc>
        <w:tc>
          <w:tcPr>
            <w:tcW w:w="2302" w:type="dxa"/>
          </w:tcPr>
          <w:p w:rsidR="00355D52" w:rsidRDefault="00355D52" w:rsidP="006672C8">
            <w:pPr>
              <w:pStyle w:val="Bezodstpw"/>
              <w:jc w:val="center"/>
            </w:pPr>
            <w:r>
              <w:t xml:space="preserve">45,64 zł. </w:t>
            </w:r>
          </w:p>
        </w:tc>
        <w:tc>
          <w:tcPr>
            <w:tcW w:w="2303" w:type="dxa"/>
          </w:tcPr>
          <w:p w:rsidR="00355D52" w:rsidRDefault="00355D52" w:rsidP="006672C8">
            <w:pPr>
              <w:pStyle w:val="Bezodstpw"/>
              <w:jc w:val="center"/>
            </w:pPr>
            <w:r>
              <w:t>50,00 zł.</w:t>
            </w:r>
          </w:p>
        </w:tc>
        <w:tc>
          <w:tcPr>
            <w:tcW w:w="1134" w:type="dxa"/>
          </w:tcPr>
          <w:p w:rsidR="00355D52" w:rsidRDefault="00355D52" w:rsidP="006672C8">
            <w:pPr>
              <w:pStyle w:val="Bezodstpw"/>
              <w:jc w:val="center"/>
            </w:pPr>
            <w:r>
              <w:t xml:space="preserve"> + 10,4 %</w:t>
            </w:r>
          </w:p>
        </w:tc>
      </w:tr>
      <w:tr w:rsidR="00355D52" w:rsidTr="006672C8">
        <w:tc>
          <w:tcPr>
            <w:tcW w:w="3402" w:type="dxa"/>
          </w:tcPr>
          <w:p w:rsidR="00355D52" w:rsidRDefault="00355D52" w:rsidP="006672C8">
            <w:pPr>
              <w:pStyle w:val="Bezodstpw"/>
              <w:jc w:val="center"/>
            </w:pPr>
            <w:r>
              <w:t>Akcja spółki  CD Projekt</w:t>
            </w:r>
          </w:p>
        </w:tc>
        <w:tc>
          <w:tcPr>
            <w:tcW w:w="2302" w:type="dxa"/>
          </w:tcPr>
          <w:p w:rsidR="00355D52" w:rsidRDefault="00355D52" w:rsidP="006672C8">
            <w:pPr>
              <w:pStyle w:val="Bezodstpw"/>
              <w:jc w:val="center"/>
            </w:pPr>
            <w:r>
              <w:t xml:space="preserve">16,59 zł. </w:t>
            </w:r>
          </w:p>
        </w:tc>
        <w:tc>
          <w:tcPr>
            <w:tcW w:w="2303" w:type="dxa"/>
          </w:tcPr>
          <w:p w:rsidR="00355D52" w:rsidRDefault="00355D52" w:rsidP="006672C8">
            <w:pPr>
              <w:pStyle w:val="Bezodstpw"/>
              <w:jc w:val="center"/>
            </w:pPr>
            <w:r>
              <w:t>16,70 zł.</w:t>
            </w:r>
          </w:p>
        </w:tc>
        <w:tc>
          <w:tcPr>
            <w:tcW w:w="1134" w:type="dxa"/>
          </w:tcPr>
          <w:p w:rsidR="00355D52" w:rsidRDefault="00355D52" w:rsidP="006672C8">
            <w:pPr>
              <w:pStyle w:val="Bezodstpw"/>
              <w:jc w:val="center"/>
            </w:pPr>
            <w:r>
              <w:t>- 0,1 %</w:t>
            </w:r>
          </w:p>
        </w:tc>
      </w:tr>
      <w:tr w:rsidR="00355D52" w:rsidTr="006672C8">
        <w:tc>
          <w:tcPr>
            <w:tcW w:w="3402" w:type="dxa"/>
          </w:tcPr>
          <w:p w:rsidR="00355D52" w:rsidRDefault="00355D52" w:rsidP="006672C8">
            <w:pPr>
              <w:pStyle w:val="Bezodstpw"/>
              <w:jc w:val="center"/>
            </w:pPr>
            <w:r>
              <w:t xml:space="preserve">Akcja spółki </w:t>
            </w:r>
            <w:proofErr w:type="spellStart"/>
            <w:r>
              <w:t>Sygnity</w:t>
            </w:r>
            <w:proofErr w:type="spellEnd"/>
            <w:r>
              <w:t xml:space="preserve"> </w:t>
            </w:r>
          </w:p>
        </w:tc>
        <w:tc>
          <w:tcPr>
            <w:tcW w:w="2302" w:type="dxa"/>
            <w:tcBorders>
              <w:bottom w:val="single" w:sz="4" w:space="0" w:color="auto"/>
            </w:tcBorders>
          </w:tcPr>
          <w:p w:rsidR="00355D52" w:rsidRDefault="00355D52" w:rsidP="006672C8">
            <w:pPr>
              <w:pStyle w:val="Bezodstpw"/>
              <w:jc w:val="center"/>
            </w:pPr>
            <w:r>
              <w:t>17,60 zł.</w:t>
            </w:r>
          </w:p>
        </w:tc>
        <w:tc>
          <w:tcPr>
            <w:tcW w:w="2303" w:type="dxa"/>
            <w:tcBorders>
              <w:bottom w:val="single" w:sz="4" w:space="0" w:color="auto"/>
            </w:tcBorders>
          </w:tcPr>
          <w:p w:rsidR="00355D52" w:rsidRDefault="00355D52" w:rsidP="006672C8">
            <w:pPr>
              <w:pStyle w:val="Bezodstpw"/>
              <w:jc w:val="center"/>
            </w:pPr>
            <w:r>
              <w:t>16,54 zł.</w:t>
            </w:r>
          </w:p>
        </w:tc>
        <w:tc>
          <w:tcPr>
            <w:tcW w:w="1134" w:type="dxa"/>
          </w:tcPr>
          <w:p w:rsidR="00355D52" w:rsidRDefault="00355D52" w:rsidP="006672C8">
            <w:pPr>
              <w:pStyle w:val="Bezodstpw"/>
              <w:jc w:val="center"/>
            </w:pPr>
            <w:r>
              <w:t>- 8,0 %</w:t>
            </w:r>
          </w:p>
        </w:tc>
      </w:tr>
      <w:tr w:rsidR="00355D52" w:rsidTr="006672C8">
        <w:tc>
          <w:tcPr>
            <w:tcW w:w="3402" w:type="dxa"/>
          </w:tcPr>
          <w:p w:rsidR="00355D52" w:rsidRPr="008F668F" w:rsidRDefault="00355D52" w:rsidP="006672C8">
            <w:pPr>
              <w:pStyle w:val="Bezodstpw"/>
              <w:jc w:val="center"/>
              <w:rPr>
                <w:b/>
                <w:color w:val="FF0000"/>
              </w:rPr>
            </w:pPr>
            <w:r w:rsidRPr="008F668F">
              <w:rPr>
                <w:b/>
                <w:color w:val="FF0000"/>
              </w:rPr>
              <w:t>Średnio</w:t>
            </w:r>
          </w:p>
        </w:tc>
        <w:tc>
          <w:tcPr>
            <w:tcW w:w="2302" w:type="dxa"/>
            <w:tcBorders>
              <w:right w:val="nil"/>
            </w:tcBorders>
          </w:tcPr>
          <w:p w:rsidR="00355D52" w:rsidRPr="008F668F" w:rsidRDefault="00355D52" w:rsidP="006672C8">
            <w:pPr>
              <w:pStyle w:val="Bezodstpw"/>
              <w:jc w:val="center"/>
              <w:rPr>
                <w:b/>
                <w:color w:val="FF0000"/>
              </w:rPr>
            </w:pPr>
          </w:p>
        </w:tc>
        <w:tc>
          <w:tcPr>
            <w:tcW w:w="2303" w:type="dxa"/>
            <w:tcBorders>
              <w:left w:val="nil"/>
            </w:tcBorders>
          </w:tcPr>
          <w:p w:rsidR="00355D52" w:rsidRPr="008F668F" w:rsidRDefault="00355D52" w:rsidP="006672C8">
            <w:pPr>
              <w:pStyle w:val="Bezodstpw"/>
              <w:jc w:val="center"/>
              <w:rPr>
                <w:b/>
                <w:color w:val="FF0000"/>
              </w:rPr>
            </w:pPr>
          </w:p>
        </w:tc>
        <w:tc>
          <w:tcPr>
            <w:tcW w:w="1134" w:type="dxa"/>
          </w:tcPr>
          <w:p w:rsidR="00355D52" w:rsidRPr="008F668F" w:rsidRDefault="00355D52" w:rsidP="006672C8">
            <w:pPr>
              <w:pStyle w:val="Bezodstpw"/>
              <w:jc w:val="center"/>
              <w:rPr>
                <w:b/>
                <w:color w:val="FF0000"/>
              </w:rPr>
            </w:pPr>
            <w:r>
              <w:rPr>
                <w:b/>
                <w:color w:val="FF0000"/>
              </w:rPr>
              <w:t xml:space="preserve"> +0,8 %</w:t>
            </w:r>
          </w:p>
        </w:tc>
      </w:tr>
      <w:tr w:rsidR="00355D52" w:rsidTr="006672C8">
        <w:tc>
          <w:tcPr>
            <w:tcW w:w="3402" w:type="dxa"/>
          </w:tcPr>
          <w:p w:rsidR="00355D52" w:rsidRDefault="00355D52" w:rsidP="006672C8">
            <w:pPr>
              <w:pStyle w:val="Bezodstpw"/>
              <w:jc w:val="center"/>
            </w:pPr>
            <w:r>
              <w:t>WIG 20</w:t>
            </w:r>
          </w:p>
        </w:tc>
        <w:tc>
          <w:tcPr>
            <w:tcW w:w="2302" w:type="dxa"/>
          </w:tcPr>
          <w:p w:rsidR="00355D52" w:rsidRDefault="00355D52" w:rsidP="006672C8">
            <w:pPr>
              <w:pStyle w:val="Bezodstpw"/>
              <w:jc w:val="center"/>
            </w:pPr>
            <w:r>
              <w:t xml:space="preserve">2484,02 pkt. </w:t>
            </w:r>
          </w:p>
        </w:tc>
        <w:tc>
          <w:tcPr>
            <w:tcW w:w="2303" w:type="dxa"/>
          </w:tcPr>
          <w:p w:rsidR="00355D52" w:rsidRDefault="00355D52" w:rsidP="006672C8">
            <w:pPr>
              <w:pStyle w:val="Bezodstpw"/>
              <w:jc w:val="center"/>
            </w:pPr>
            <w:r>
              <w:t>2 417,45 pkt.</w:t>
            </w:r>
          </w:p>
        </w:tc>
        <w:tc>
          <w:tcPr>
            <w:tcW w:w="1134" w:type="dxa"/>
          </w:tcPr>
          <w:p w:rsidR="00355D52" w:rsidRDefault="00355D52" w:rsidP="006672C8">
            <w:pPr>
              <w:pStyle w:val="Bezodstpw"/>
              <w:jc w:val="center"/>
            </w:pPr>
            <w:r>
              <w:t xml:space="preserve">  -2,9 %</w:t>
            </w:r>
          </w:p>
        </w:tc>
      </w:tr>
    </w:tbl>
    <w:p w:rsidR="00355D52" w:rsidRDefault="00355D52" w:rsidP="00355D52">
      <w:pPr>
        <w:pStyle w:val="Bezodstpw"/>
        <w:jc w:val="both"/>
      </w:pPr>
    </w:p>
    <w:p w:rsidR="00355D52" w:rsidRDefault="00355D52" w:rsidP="00355D52">
      <w:pPr>
        <w:pStyle w:val="Bezodstpw"/>
        <w:jc w:val="both"/>
      </w:pPr>
      <w:r>
        <w:t xml:space="preserve">Procentowa zmiana ceny akcji spółki, której akcje zostały wymienione w piątym numerze ,,Raportu Tygodniowego” z 6 października 2014 roku w rubryce ,,Wykres do przemyślenia” w okresie od 3 </w:t>
      </w:r>
      <w:r w:rsidR="00C870BA">
        <w:t xml:space="preserve">października </w:t>
      </w:r>
      <w:r>
        <w:t xml:space="preserve">do </w:t>
      </w:r>
      <w:r w:rsidR="00C870BA">
        <w:t>7 listopada</w:t>
      </w:r>
      <w:r>
        <w:t xml:space="preserve"> 2014 roku oraz procentowa zmiana indeksu WIG 20 w tym okresie. </w:t>
      </w:r>
    </w:p>
    <w:p w:rsidR="00355D52" w:rsidRDefault="00355D52" w:rsidP="00355D52">
      <w:pPr>
        <w:pStyle w:val="Bezodstpw"/>
        <w:jc w:val="both"/>
      </w:pPr>
    </w:p>
    <w:tbl>
      <w:tblPr>
        <w:tblStyle w:val="Tabela-Siatka"/>
        <w:tblW w:w="0" w:type="auto"/>
        <w:tblLook w:val="04A0"/>
      </w:tblPr>
      <w:tblGrid>
        <w:gridCol w:w="3402"/>
        <w:gridCol w:w="2302"/>
        <w:gridCol w:w="2303"/>
        <w:gridCol w:w="1134"/>
      </w:tblGrid>
      <w:tr w:rsidR="00355D52" w:rsidTr="006672C8">
        <w:tc>
          <w:tcPr>
            <w:tcW w:w="3402" w:type="dxa"/>
          </w:tcPr>
          <w:p w:rsidR="00355D52" w:rsidRDefault="00355D52" w:rsidP="006672C8">
            <w:pPr>
              <w:pStyle w:val="Bezodstpw"/>
              <w:jc w:val="center"/>
            </w:pPr>
            <w:r>
              <w:t>Instrument finansowy</w:t>
            </w:r>
          </w:p>
        </w:tc>
        <w:tc>
          <w:tcPr>
            <w:tcW w:w="2302" w:type="dxa"/>
          </w:tcPr>
          <w:p w:rsidR="00355D52" w:rsidRDefault="00355D52" w:rsidP="006672C8">
            <w:pPr>
              <w:pStyle w:val="Bezodstpw"/>
              <w:jc w:val="center"/>
            </w:pPr>
            <w:r>
              <w:t>Poziom – 03.10.2014</w:t>
            </w:r>
          </w:p>
        </w:tc>
        <w:tc>
          <w:tcPr>
            <w:tcW w:w="2303" w:type="dxa"/>
          </w:tcPr>
          <w:p w:rsidR="00355D52" w:rsidRDefault="00355D52" w:rsidP="006672C8">
            <w:pPr>
              <w:pStyle w:val="Bezodstpw"/>
              <w:jc w:val="center"/>
            </w:pPr>
            <w:r>
              <w:t>Poziom – 07.11.2014</w:t>
            </w:r>
          </w:p>
        </w:tc>
        <w:tc>
          <w:tcPr>
            <w:tcW w:w="1134" w:type="dxa"/>
          </w:tcPr>
          <w:p w:rsidR="00355D52" w:rsidRDefault="00355D52" w:rsidP="006672C8">
            <w:pPr>
              <w:pStyle w:val="Bezodstpw"/>
              <w:jc w:val="center"/>
            </w:pPr>
            <w:r>
              <w:t>Zmiana (w %)</w:t>
            </w:r>
          </w:p>
        </w:tc>
      </w:tr>
      <w:tr w:rsidR="00355D52" w:rsidTr="006672C8">
        <w:tc>
          <w:tcPr>
            <w:tcW w:w="3402" w:type="dxa"/>
          </w:tcPr>
          <w:p w:rsidR="00355D52" w:rsidRDefault="00355D52" w:rsidP="006672C8">
            <w:pPr>
              <w:pStyle w:val="Bezodstpw"/>
              <w:jc w:val="center"/>
            </w:pPr>
            <w:r>
              <w:t>Akcja spółki Stalprodukt</w:t>
            </w:r>
          </w:p>
        </w:tc>
        <w:tc>
          <w:tcPr>
            <w:tcW w:w="2302" w:type="dxa"/>
          </w:tcPr>
          <w:p w:rsidR="00355D52" w:rsidRDefault="00355D52" w:rsidP="006672C8">
            <w:pPr>
              <w:pStyle w:val="Bezodstpw"/>
              <w:jc w:val="center"/>
            </w:pPr>
            <w:r>
              <w:t>244,10 zł.</w:t>
            </w:r>
          </w:p>
        </w:tc>
        <w:tc>
          <w:tcPr>
            <w:tcW w:w="2303" w:type="dxa"/>
          </w:tcPr>
          <w:p w:rsidR="00355D52" w:rsidRDefault="00355D52" w:rsidP="006672C8">
            <w:pPr>
              <w:pStyle w:val="Bezodstpw"/>
              <w:jc w:val="center"/>
            </w:pPr>
            <w:r>
              <w:t>279,80 zł.</w:t>
            </w:r>
          </w:p>
        </w:tc>
        <w:tc>
          <w:tcPr>
            <w:tcW w:w="1134" w:type="dxa"/>
          </w:tcPr>
          <w:p w:rsidR="00355D52" w:rsidRDefault="00355D52" w:rsidP="006672C8">
            <w:pPr>
              <w:pStyle w:val="Bezodstpw"/>
              <w:jc w:val="center"/>
            </w:pPr>
            <w:r>
              <w:t>+14,6 %</w:t>
            </w:r>
          </w:p>
        </w:tc>
      </w:tr>
      <w:tr w:rsidR="00355D52" w:rsidRPr="008F668F" w:rsidTr="006672C8">
        <w:tc>
          <w:tcPr>
            <w:tcW w:w="3402" w:type="dxa"/>
          </w:tcPr>
          <w:p w:rsidR="00355D52" w:rsidRPr="008F668F" w:rsidRDefault="00355D52" w:rsidP="006672C8">
            <w:pPr>
              <w:pStyle w:val="Bezodstpw"/>
              <w:jc w:val="center"/>
              <w:rPr>
                <w:b/>
                <w:color w:val="FF0000"/>
              </w:rPr>
            </w:pPr>
            <w:r w:rsidRPr="008F668F">
              <w:rPr>
                <w:b/>
                <w:color w:val="FF0000"/>
              </w:rPr>
              <w:t>Średnio</w:t>
            </w:r>
          </w:p>
        </w:tc>
        <w:tc>
          <w:tcPr>
            <w:tcW w:w="2302" w:type="dxa"/>
            <w:tcBorders>
              <w:right w:val="nil"/>
            </w:tcBorders>
          </w:tcPr>
          <w:p w:rsidR="00355D52" w:rsidRPr="008F668F" w:rsidRDefault="00355D52" w:rsidP="006672C8">
            <w:pPr>
              <w:pStyle w:val="Bezodstpw"/>
              <w:jc w:val="center"/>
              <w:rPr>
                <w:b/>
                <w:color w:val="FF0000"/>
              </w:rPr>
            </w:pPr>
          </w:p>
        </w:tc>
        <w:tc>
          <w:tcPr>
            <w:tcW w:w="2303" w:type="dxa"/>
            <w:tcBorders>
              <w:left w:val="nil"/>
            </w:tcBorders>
          </w:tcPr>
          <w:p w:rsidR="00355D52" w:rsidRPr="008F668F" w:rsidRDefault="00355D52" w:rsidP="006672C8">
            <w:pPr>
              <w:pStyle w:val="Bezodstpw"/>
              <w:jc w:val="center"/>
              <w:rPr>
                <w:b/>
                <w:color w:val="FF0000"/>
              </w:rPr>
            </w:pPr>
          </w:p>
        </w:tc>
        <w:tc>
          <w:tcPr>
            <w:tcW w:w="1134" w:type="dxa"/>
          </w:tcPr>
          <w:p w:rsidR="00355D52" w:rsidRPr="008F668F" w:rsidRDefault="00355D52" w:rsidP="006672C8">
            <w:pPr>
              <w:pStyle w:val="Bezodstpw"/>
              <w:jc w:val="center"/>
              <w:rPr>
                <w:b/>
                <w:color w:val="FF0000"/>
              </w:rPr>
            </w:pPr>
            <w:r>
              <w:rPr>
                <w:b/>
                <w:color w:val="FF0000"/>
              </w:rPr>
              <w:t>+14,6 %</w:t>
            </w:r>
          </w:p>
        </w:tc>
      </w:tr>
      <w:tr w:rsidR="00355D52" w:rsidTr="006672C8">
        <w:tc>
          <w:tcPr>
            <w:tcW w:w="3402" w:type="dxa"/>
          </w:tcPr>
          <w:p w:rsidR="00355D52" w:rsidRDefault="00355D52" w:rsidP="006672C8">
            <w:pPr>
              <w:pStyle w:val="Bezodstpw"/>
              <w:jc w:val="center"/>
            </w:pPr>
            <w:r>
              <w:t>WIG 20</w:t>
            </w:r>
          </w:p>
        </w:tc>
        <w:tc>
          <w:tcPr>
            <w:tcW w:w="2302" w:type="dxa"/>
          </w:tcPr>
          <w:p w:rsidR="00355D52" w:rsidRDefault="00355D52" w:rsidP="006672C8">
            <w:pPr>
              <w:pStyle w:val="Bezodstpw"/>
              <w:jc w:val="center"/>
            </w:pPr>
            <w:r>
              <w:t xml:space="preserve">2 444,06 pkt. </w:t>
            </w:r>
          </w:p>
        </w:tc>
        <w:tc>
          <w:tcPr>
            <w:tcW w:w="2303" w:type="dxa"/>
          </w:tcPr>
          <w:p w:rsidR="00355D52" w:rsidRDefault="00355D52" w:rsidP="006672C8">
            <w:pPr>
              <w:pStyle w:val="Bezodstpw"/>
              <w:jc w:val="center"/>
            </w:pPr>
            <w:r>
              <w:t>2 417,45 pkt.</w:t>
            </w:r>
          </w:p>
        </w:tc>
        <w:tc>
          <w:tcPr>
            <w:tcW w:w="1134" w:type="dxa"/>
          </w:tcPr>
          <w:p w:rsidR="00355D52" w:rsidRDefault="00355D52" w:rsidP="006672C8">
            <w:pPr>
              <w:pStyle w:val="Bezodstpw"/>
              <w:jc w:val="center"/>
            </w:pPr>
            <w:r>
              <w:t xml:space="preserve">  -1,1 %</w:t>
            </w:r>
          </w:p>
        </w:tc>
      </w:tr>
    </w:tbl>
    <w:p w:rsidR="00355D52" w:rsidRDefault="00355D52" w:rsidP="00355D52">
      <w:pPr>
        <w:pStyle w:val="Bezodstpw"/>
        <w:jc w:val="both"/>
        <w:rPr>
          <w:b/>
          <w:color w:val="FF0000"/>
        </w:rPr>
      </w:pPr>
    </w:p>
    <w:p w:rsidR="00355D52" w:rsidRDefault="00355D52" w:rsidP="00355D52">
      <w:pPr>
        <w:pStyle w:val="Bezodstpw"/>
        <w:jc w:val="both"/>
      </w:pPr>
      <w:r>
        <w:t xml:space="preserve">Tabela: Procentowa zmiana ceny akcji spółki, której akcje zostały wymienione w szóstym numerze ,,Raportu Tygodniowego” z 20 października 2014 roku w rubryce ,,Wykres do przemyślenia” w okresie od 17 września do </w:t>
      </w:r>
      <w:r w:rsidR="00C870BA">
        <w:t>7 listopada</w:t>
      </w:r>
      <w:r>
        <w:t xml:space="preserve"> 2014 roku oraz procentowa zmiana indeksu WIG 20 w tym okresie. </w:t>
      </w:r>
    </w:p>
    <w:tbl>
      <w:tblPr>
        <w:tblStyle w:val="Tabela-Siatka"/>
        <w:tblW w:w="0" w:type="auto"/>
        <w:tblLook w:val="04A0"/>
      </w:tblPr>
      <w:tblGrid>
        <w:gridCol w:w="3402"/>
        <w:gridCol w:w="2302"/>
        <w:gridCol w:w="2303"/>
        <w:gridCol w:w="1134"/>
      </w:tblGrid>
      <w:tr w:rsidR="00355D52" w:rsidTr="006672C8">
        <w:tc>
          <w:tcPr>
            <w:tcW w:w="3402" w:type="dxa"/>
          </w:tcPr>
          <w:p w:rsidR="00355D52" w:rsidRDefault="00355D52" w:rsidP="006672C8">
            <w:pPr>
              <w:pStyle w:val="Bezodstpw"/>
              <w:jc w:val="center"/>
            </w:pPr>
            <w:r>
              <w:t>Instrument finansowy</w:t>
            </w:r>
          </w:p>
        </w:tc>
        <w:tc>
          <w:tcPr>
            <w:tcW w:w="2302" w:type="dxa"/>
          </w:tcPr>
          <w:p w:rsidR="00355D52" w:rsidRDefault="00355D52" w:rsidP="006672C8">
            <w:pPr>
              <w:pStyle w:val="Bezodstpw"/>
              <w:jc w:val="center"/>
            </w:pPr>
            <w:r>
              <w:t>Poziom – 17.10.2014</w:t>
            </w:r>
          </w:p>
        </w:tc>
        <w:tc>
          <w:tcPr>
            <w:tcW w:w="2303" w:type="dxa"/>
          </w:tcPr>
          <w:p w:rsidR="00355D52" w:rsidRDefault="00355D52" w:rsidP="006672C8">
            <w:pPr>
              <w:pStyle w:val="Bezodstpw"/>
              <w:jc w:val="center"/>
            </w:pPr>
            <w:r>
              <w:t>Poziom – 07.11.2014</w:t>
            </w:r>
          </w:p>
        </w:tc>
        <w:tc>
          <w:tcPr>
            <w:tcW w:w="1134" w:type="dxa"/>
          </w:tcPr>
          <w:p w:rsidR="00355D52" w:rsidRDefault="00355D52" w:rsidP="006672C8">
            <w:pPr>
              <w:pStyle w:val="Bezodstpw"/>
              <w:jc w:val="center"/>
            </w:pPr>
            <w:r>
              <w:t>Zmiana (w %)</w:t>
            </w:r>
          </w:p>
        </w:tc>
      </w:tr>
      <w:tr w:rsidR="00355D52" w:rsidTr="006672C8">
        <w:tc>
          <w:tcPr>
            <w:tcW w:w="3402" w:type="dxa"/>
          </w:tcPr>
          <w:p w:rsidR="00355D52" w:rsidRDefault="00355D52" w:rsidP="006672C8">
            <w:pPr>
              <w:pStyle w:val="Bezodstpw"/>
              <w:jc w:val="center"/>
            </w:pPr>
            <w:r>
              <w:t xml:space="preserve">Akcja spółki </w:t>
            </w:r>
            <w:proofErr w:type="spellStart"/>
            <w:r>
              <w:t>Tauron</w:t>
            </w:r>
            <w:proofErr w:type="spellEnd"/>
            <w:r>
              <w:t xml:space="preserve"> Polska Energia</w:t>
            </w:r>
          </w:p>
        </w:tc>
        <w:tc>
          <w:tcPr>
            <w:tcW w:w="2302" w:type="dxa"/>
          </w:tcPr>
          <w:p w:rsidR="00355D52" w:rsidRDefault="00355D52" w:rsidP="006672C8">
            <w:pPr>
              <w:pStyle w:val="Bezodstpw"/>
              <w:jc w:val="center"/>
            </w:pPr>
            <w:r>
              <w:t>5,21 zł.</w:t>
            </w:r>
          </w:p>
        </w:tc>
        <w:tc>
          <w:tcPr>
            <w:tcW w:w="2303" w:type="dxa"/>
          </w:tcPr>
          <w:p w:rsidR="00355D52" w:rsidRDefault="00355D52" w:rsidP="006672C8">
            <w:pPr>
              <w:pStyle w:val="Bezodstpw"/>
              <w:jc w:val="center"/>
            </w:pPr>
            <w:r>
              <w:t xml:space="preserve">5,25 zł. </w:t>
            </w:r>
          </w:p>
        </w:tc>
        <w:tc>
          <w:tcPr>
            <w:tcW w:w="1134" w:type="dxa"/>
          </w:tcPr>
          <w:p w:rsidR="00355D52" w:rsidRDefault="00355D52" w:rsidP="006672C8">
            <w:pPr>
              <w:pStyle w:val="Bezodstpw"/>
              <w:jc w:val="center"/>
            </w:pPr>
            <w:r>
              <w:t xml:space="preserve">  +0,8 %</w:t>
            </w:r>
          </w:p>
        </w:tc>
      </w:tr>
      <w:tr w:rsidR="00355D52" w:rsidRPr="008F668F" w:rsidTr="006672C8">
        <w:tc>
          <w:tcPr>
            <w:tcW w:w="3402" w:type="dxa"/>
          </w:tcPr>
          <w:p w:rsidR="00355D52" w:rsidRPr="008F668F" w:rsidRDefault="00355D52" w:rsidP="006672C8">
            <w:pPr>
              <w:pStyle w:val="Bezodstpw"/>
              <w:jc w:val="center"/>
              <w:rPr>
                <w:b/>
                <w:color w:val="FF0000"/>
              </w:rPr>
            </w:pPr>
            <w:r w:rsidRPr="008F668F">
              <w:rPr>
                <w:b/>
                <w:color w:val="FF0000"/>
              </w:rPr>
              <w:t>Średnio</w:t>
            </w:r>
          </w:p>
        </w:tc>
        <w:tc>
          <w:tcPr>
            <w:tcW w:w="2302" w:type="dxa"/>
            <w:tcBorders>
              <w:right w:val="nil"/>
            </w:tcBorders>
          </w:tcPr>
          <w:p w:rsidR="00355D52" w:rsidRPr="008F668F" w:rsidRDefault="00355D52" w:rsidP="006672C8">
            <w:pPr>
              <w:pStyle w:val="Bezodstpw"/>
              <w:jc w:val="center"/>
              <w:rPr>
                <w:b/>
                <w:color w:val="FF0000"/>
              </w:rPr>
            </w:pPr>
          </w:p>
        </w:tc>
        <w:tc>
          <w:tcPr>
            <w:tcW w:w="2303" w:type="dxa"/>
            <w:tcBorders>
              <w:left w:val="nil"/>
            </w:tcBorders>
          </w:tcPr>
          <w:p w:rsidR="00355D52" w:rsidRPr="008F668F" w:rsidRDefault="00355D52" w:rsidP="006672C8">
            <w:pPr>
              <w:pStyle w:val="Bezodstpw"/>
              <w:jc w:val="center"/>
              <w:rPr>
                <w:b/>
                <w:color w:val="FF0000"/>
              </w:rPr>
            </w:pPr>
          </w:p>
        </w:tc>
        <w:tc>
          <w:tcPr>
            <w:tcW w:w="1134" w:type="dxa"/>
          </w:tcPr>
          <w:p w:rsidR="00355D52" w:rsidRPr="008F668F" w:rsidRDefault="00355D52" w:rsidP="006672C8">
            <w:pPr>
              <w:pStyle w:val="Bezodstpw"/>
              <w:jc w:val="center"/>
              <w:rPr>
                <w:b/>
                <w:color w:val="FF0000"/>
              </w:rPr>
            </w:pPr>
            <w:r>
              <w:rPr>
                <w:b/>
                <w:color w:val="FF0000"/>
              </w:rPr>
              <w:t xml:space="preserve">  +0,8 %</w:t>
            </w:r>
          </w:p>
        </w:tc>
      </w:tr>
      <w:tr w:rsidR="00355D52" w:rsidTr="006672C8">
        <w:tc>
          <w:tcPr>
            <w:tcW w:w="3402" w:type="dxa"/>
          </w:tcPr>
          <w:p w:rsidR="00355D52" w:rsidRDefault="00355D52" w:rsidP="006672C8">
            <w:pPr>
              <w:pStyle w:val="Bezodstpw"/>
              <w:jc w:val="center"/>
            </w:pPr>
            <w:r>
              <w:t>WIG 20</w:t>
            </w:r>
          </w:p>
        </w:tc>
        <w:tc>
          <w:tcPr>
            <w:tcW w:w="2302" w:type="dxa"/>
          </w:tcPr>
          <w:p w:rsidR="00355D52" w:rsidRDefault="00355D52" w:rsidP="006672C8">
            <w:pPr>
              <w:pStyle w:val="Bezodstpw"/>
              <w:jc w:val="center"/>
            </w:pPr>
            <w:r>
              <w:t xml:space="preserve">2 401,13 pkt. </w:t>
            </w:r>
          </w:p>
        </w:tc>
        <w:tc>
          <w:tcPr>
            <w:tcW w:w="2303" w:type="dxa"/>
          </w:tcPr>
          <w:p w:rsidR="00355D52" w:rsidRDefault="00355D52" w:rsidP="006672C8">
            <w:pPr>
              <w:pStyle w:val="Bezodstpw"/>
              <w:jc w:val="center"/>
            </w:pPr>
            <w:r>
              <w:t>2 417,45 pkt.</w:t>
            </w:r>
          </w:p>
        </w:tc>
        <w:tc>
          <w:tcPr>
            <w:tcW w:w="1134" w:type="dxa"/>
          </w:tcPr>
          <w:p w:rsidR="00355D52" w:rsidRDefault="00355D52" w:rsidP="006672C8">
            <w:pPr>
              <w:pStyle w:val="Bezodstpw"/>
              <w:jc w:val="center"/>
            </w:pPr>
            <w:r>
              <w:t xml:space="preserve">  +0,7 %</w:t>
            </w:r>
          </w:p>
        </w:tc>
      </w:tr>
    </w:tbl>
    <w:p w:rsidR="00355D52" w:rsidRDefault="00355D52" w:rsidP="00355D52">
      <w:pPr>
        <w:pStyle w:val="Bezodstpw"/>
        <w:jc w:val="both"/>
      </w:pPr>
      <w:r>
        <w:t xml:space="preserve">Tabela: Procentowa zmiana ceny akcji spółki, której akcje zostały umieszczone 22 października na stronie internetowej </w:t>
      </w:r>
      <w:hyperlink r:id="rId18" w:history="1">
        <w:r w:rsidRPr="003C5ED1">
          <w:rPr>
            <w:rStyle w:val="Hipercze"/>
          </w:rPr>
          <w:t>www.analizy-rynkowe.pl</w:t>
        </w:r>
      </w:hyperlink>
      <w:r>
        <w:t xml:space="preserve"> w rubryce  ,,Wykres do przemyślenia” w okresie od 21 października do </w:t>
      </w:r>
      <w:r w:rsidR="00C870BA">
        <w:t>7 listopada</w:t>
      </w:r>
      <w:r>
        <w:t xml:space="preserve"> 2014 roku oraz procentowa zmiana indeksu WIG 20 w tym okresie. </w:t>
      </w:r>
    </w:p>
    <w:p w:rsidR="00355D52" w:rsidRDefault="00355D52" w:rsidP="00355D52">
      <w:pPr>
        <w:pStyle w:val="Bezodstpw"/>
        <w:jc w:val="both"/>
      </w:pPr>
    </w:p>
    <w:tbl>
      <w:tblPr>
        <w:tblStyle w:val="Tabela-Siatka"/>
        <w:tblW w:w="0" w:type="auto"/>
        <w:tblLook w:val="04A0"/>
      </w:tblPr>
      <w:tblGrid>
        <w:gridCol w:w="3402"/>
        <w:gridCol w:w="2302"/>
        <w:gridCol w:w="2303"/>
        <w:gridCol w:w="1134"/>
      </w:tblGrid>
      <w:tr w:rsidR="00355D52" w:rsidTr="006672C8">
        <w:tc>
          <w:tcPr>
            <w:tcW w:w="3402" w:type="dxa"/>
          </w:tcPr>
          <w:p w:rsidR="00355D52" w:rsidRDefault="00355D52" w:rsidP="006672C8">
            <w:pPr>
              <w:pStyle w:val="Bezodstpw"/>
              <w:jc w:val="center"/>
            </w:pPr>
            <w:r>
              <w:t>Instrument finansowy</w:t>
            </w:r>
          </w:p>
        </w:tc>
        <w:tc>
          <w:tcPr>
            <w:tcW w:w="2302" w:type="dxa"/>
          </w:tcPr>
          <w:p w:rsidR="00355D52" w:rsidRDefault="00355D52" w:rsidP="006672C8">
            <w:pPr>
              <w:pStyle w:val="Bezodstpw"/>
              <w:jc w:val="center"/>
            </w:pPr>
            <w:r>
              <w:t>Poziom – 21.10.2014</w:t>
            </w:r>
          </w:p>
        </w:tc>
        <w:tc>
          <w:tcPr>
            <w:tcW w:w="2303" w:type="dxa"/>
          </w:tcPr>
          <w:p w:rsidR="00355D52" w:rsidRDefault="00355D52" w:rsidP="006672C8">
            <w:pPr>
              <w:pStyle w:val="Bezodstpw"/>
              <w:jc w:val="center"/>
            </w:pPr>
            <w:r>
              <w:t>Poziom – 07.11.2014</w:t>
            </w:r>
          </w:p>
        </w:tc>
        <w:tc>
          <w:tcPr>
            <w:tcW w:w="1134" w:type="dxa"/>
          </w:tcPr>
          <w:p w:rsidR="00355D52" w:rsidRDefault="00355D52" w:rsidP="006672C8">
            <w:pPr>
              <w:pStyle w:val="Bezodstpw"/>
              <w:jc w:val="center"/>
            </w:pPr>
            <w:r>
              <w:t>Zmiana (w %)</w:t>
            </w:r>
          </w:p>
        </w:tc>
      </w:tr>
      <w:tr w:rsidR="00355D52" w:rsidTr="006672C8">
        <w:tc>
          <w:tcPr>
            <w:tcW w:w="3402" w:type="dxa"/>
          </w:tcPr>
          <w:p w:rsidR="00355D52" w:rsidRDefault="00355D52" w:rsidP="006672C8">
            <w:pPr>
              <w:pStyle w:val="Bezodstpw"/>
              <w:jc w:val="center"/>
            </w:pPr>
            <w:r>
              <w:t xml:space="preserve">Akcja spółki </w:t>
            </w:r>
            <w:proofErr w:type="spellStart"/>
            <w:r>
              <w:t>Elektrotim</w:t>
            </w:r>
            <w:proofErr w:type="spellEnd"/>
            <w:r>
              <w:t xml:space="preserve"> </w:t>
            </w:r>
          </w:p>
        </w:tc>
        <w:tc>
          <w:tcPr>
            <w:tcW w:w="2302" w:type="dxa"/>
            <w:tcBorders>
              <w:bottom w:val="single" w:sz="4" w:space="0" w:color="auto"/>
            </w:tcBorders>
          </w:tcPr>
          <w:p w:rsidR="00355D52" w:rsidRDefault="00355D52" w:rsidP="006672C8">
            <w:pPr>
              <w:pStyle w:val="Bezodstpw"/>
              <w:jc w:val="center"/>
            </w:pPr>
            <w:r>
              <w:t>8,70 zł.</w:t>
            </w:r>
          </w:p>
        </w:tc>
        <w:tc>
          <w:tcPr>
            <w:tcW w:w="2303" w:type="dxa"/>
            <w:tcBorders>
              <w:bottom w:val="single" w:sz="4" w:space="0" w:color="auto"/>
            </w:tcBorders>
          </w:tcPr>
          <w:p w:rsidR="00355D52" w:rsidRDefault="00355D52" w:rsidP="006672C8">
            <w:pPr>
              <w:pStyle w:val="Bezodstpw"/>
              <w:jc w:val="center"/>
            </w:pPr>
            <w:r>
              <w:t>9,14 zł.</w:t>
            </w:r>
          </w:p>
        </w:tc>
        <w:tc>
          <w:tcPr>
            <w:tcW w:w="1134" w:type="dxa"/>
          </w:tcPr>
          <w:p w:rsidR="00355D52" w:rsidRDefault="00355D52" w:rsidP="006672C8">
            <w:pPr>
              <w:pStyle w:val="Bezodstpw"/>
              <w:jc w:val="center"/>
            </w:pPr>
            <w:r>
              <w:t>+ 5,1 %</w:t>
            </w:r>
          </w:p>
        </w:tc>
      </w:tr>
      <w:tr w:rsidR="00355D52" w:rsidRPr="008F668F" w:rsidTr="006672C8">
        <w:tc>
          <w:tcPr>
            <w:tcW w:w="3402" w:type="dxa"/>
          </w:tcPr>
          <w:p w:rsidR="00355D52" w:rsidRPr="008F668F" w:rsidRDefault="00355D52" w:rsidP="006672C8">
            <w:pPr>
              <w:pStyle w:val="Bezodstpw"/>
              <w:jc w:val="center"/>
              <w:rPr>
                <w:b/>
                <w:color w:val="FF0000"/>
              </w:rPr>
            </w:pPr>
            <w:r>
              <w:t>Akcja spółki Relpol</w:t>
            </w:r>
          </w:p>
        </w:tc>
        <w:tc>
          <w:tcPr>
            <w:tcW w:w="2302" w:type="dxa"/>
            <w:tcBorders>
              <w:right w:val="single" w:sz="4" w:space="0" w:color="auto"/>
            </w:tcBorders>
          </w:tcPr>
          <w:p w:rsidR="00355D52" w:rsidRPr="00A556F3" w:rsidRDefault="00355D52" w:rsidP="006672C8">
            <w:pPr>
              <w:pStyle w:val="Bezodstpw"/>
              <w:jc w:val="center"/>
              <w:rPr>
                <w:color w:val="000000" w:themeColor="text1"/>
              </w:rPr>
            </w:pPr>
            <w:r w:rsidRPr="00A556F3">
              <w:rPr>
                <w:color w:val="000000" w:themeColor="text1"/>
              </w:rPr>
              <w:t xml:space="preserve">6,93 zł. </w:t>
            </w:r>
          </w:p>
        </w:tc>
        <w:tc>
          <w:tcPr>
            <w:tcW w:w="2303" w:type="dxa"/>
            <w:tcBorders>
              <w:left w:val="single" w:sz="4" w:space="0" w:color="auto"/>
            </w:tcBorders>
          </w:tcPr>
          <w:p w:rsidR="00355D52" w:rsidRPr="00A556F3" w:rsidRDefault="00355D52" w:rsidP="006672C8">
            <w:pPr>
              <w:pStyle w:val="Bezodstpw"/>
              <w:jc w:val="center"/>
              <w:rPr>
                <w:color w:val="000000" w:themeColor="text1"/>
              </w:rPr>
            </w:pPr>
            <w:r>
              <w:rPr>
                <w:color w:val="000000" w:themeColor="text1"/>
              </w:rPr>
              <w:t xml:space="preserve">6,98 zł. </w:t>
            </w:r>
          </w:p>
        </w:tc>
        <w:tc>
          <w:tcPr>
            <w:tcW w:w="1134" w:type="dxa"/>
          </w:tcPr>
          <w:p w:rsidR="00355D52" w:rsidRPr="00A556F3" w:rsidRDefault="00355D52" w:rsidP="006672C8">
            <w:pPr>
              <w:pStyle w:val="Bezodstpw"/>
              <w:jc w:val="center"/>
              <w:rPr>
                <w:color w:val="000000" w:themeColor="text1"/>
              </w:rPr>
            </w:pPr>
            <w:r>
              <w:rPr>
                <w:color w:val="000000" w:themeColor="text1"/>
              </w:rPr>
              <w:t>+0,1</w:t>
            </w:r>
            <w:r w:rsidRPr="00A556F3">
              <w:rPr>
                <w:color w:val="000000" w:themeColor="text1"/>
              </w:rPr>
              <w:t xml:space="preserve"> %</w:t>
            </w:r>
          </w:p>
        </w:tc>
      </w:tr>
      <w:tr w:rsidR="00355D52" w:rsidTr="006672C8">
        <w:tc>
          <w:tcPr>
            <w:tcW w:w="3402" w:type="dxa"/>
          </w:tcPr>
          <w:p w:rsidR="00355D52" w:rsidRPr="00A556F3" w:rsidRDefault="00355D52" w:rsidP="006672C8">
            <w:pPr>
              <w:pStyle w:val="Bezodstpw"/>
              <w:jc w:val="center"/>
              <w:rPr>
                <w:b/>
                <w:color w:val="FF0000"/>
              </w:rPr>
            </w:pPr>
            <w:r w:rsidRPr="00A556F3">
              <w:rPr>
                <w:b/>
                <w:color w:val="FF0000"/>
              </w:rPr>
              <w:t>Średnio</w:t>
            </w:r>
          </w:p>
        </w:tc>
        <w:tc>
          <w:tcPr>
            <w:tcW w:w="2302" w:type="dxa"/>
          </w:tcPr>
          <w:p w:rsidR="00355D52" w:rsidRDefault="00355D52" w:rsidP="006672C8">
            <w:pPr>
              <w:pStyle w:val="Bezodstpw"/>
              <w:jc w:val="center"/>
            </w:pPr>
          </w:p>
        </w:tc>
        <w:tc>
          <w:tcPr>
            <w:tcW w:w="2303" w:type="dxa"/>
          </w:tcPr>
          <w:p w:rsidR="00355D52" w:rsidRDefault="00355D52" w:rsidP="006672C8">
            <w:pPr>
              <w:pStyle w:val="Bezodstpw"/>
              <w:jc w:val="center"/>
            </w:pPr>
          </w:p>
        </w:tc>
        <w:tc>
          <w:tcPr>
            <w:tcW w:w="1134" w:type="dxa"/>
          </w:tcPr>
          <w:p w:rsidR="00355D52" w:rsidRPr="00581996" w:rsidRDefault="00355D52" w:rsidP="006672C8">
            <w:pPr>
              <w:pStyle w:val="Bezodstpw"/>
              <w:jc w:val="center"/>
              <w:rPr>
                <w:b/>
                <w:color w:val="FF0000"/>
              </w:rPr>
            </w:pPr>
            <w:r w:rsidRPr="00581996">
              <w:rPr>
                <w:b/>
                <w:color w:val="FF0000"/>
              </w:rPr>
              <w:t xml:space="preserve">+ </w:t>
            </w:r>
            <w:r>
              <w:rPr>
                <w:b/>
                <w:color w:val="FF0000"/>
              </w:rPr>
              <w:t>2</w:t>
            </w:r>
            <w:r w:rsidRPr="00581996">
              <w:rPr>
                <w:b/>
                <w:color w:val="FF0000"/>
              </w:rPr>
              <w:t>,</w:t>
            </w:r>
            <w:r>
              <w:rPr>
                <w:b/>
                <w:color w:val="FF0000"/>
              </w:rPr>
              <w:t>9</w:t>
            </w:r>
            <w:r w:rsidRPr="00581996">
              <w:rPr>
                <w:b/>
                <w:color w:val="FF0000"/>
              </w:rPr>
              <w:t xml:space="preserve"> % </w:t>
            </w:r>
          </w:p>
        </w:tc>
      </w:tr>
      <w:tr w:rsidR="00355D52" w:rsidTr="006672C8">
        <w:tc>
          <w:tcPr>
            <w:tcW w:w="3402" w:type="dxa"/>
          </w:tcPr>
          <w:p w:rsidR="00355D52" w:rsidRDefault="00355D52" w:rsidP="006672C8">
            <w:pPr>
              <w:pStyle w:val="Bezodstpw"/>
              <w:jc w:val="center"/>
            </w:pPr>
            <w:r>
              <w:t>WIG 20</w:t>
            </w:r>
          </w:p>
        </w:tc>
        <w:tc>
          <w:tcPr>
            <w:tcW w:w="2302" w:type="dxa"/>
          </w:tcPr>
          <w:p w:rsidR="00355D52" w:rsidRDefault="00355D52" w:rsidP="006672C8">
            <w:pPr>
              <w:pStyle w:val="Bezodstpw"/>
              <w:jc w:val="center"/>
            </w:pPr>
            <w:r>
              <w:t xml:space="preserve">2 423,29,77 pkt. </w:t>
            </w:r>
          </w:p>
        </w:tc>
        <w:tc>
          <w:tcPr>
            <w:tcW w:w="2303" w:type="dxa"/>
          </w:tcPr>
          <w:p w:rsidR="00355D52" w:rsidRDefault="00355D52" w:rsidP="006672C8">
            <w:pPr>
              <w:pStyle w:val="Bezodstpw"/>
              <w:jc w:val="center"/>
            </w:pPr>
            <w:r>
              <w:t>2 417,45 pkt.</w:t>
            </w:r>
          </w:p>
        </w:tc>
        <w:tc>
          <w:tcPr>
            <w:tcW w:w="1134" w:type="dxa"/>
          </w:tcPr>
          <w:p w:rsidR="00355D52" w:rsidRDefault="00355D52" w:rsidP="006672C8">
            <w:pPr>
              <w:pStyle w:val="Bezodstpw"/>
              <w:jc w:val="center"/>
            </w:pPr>
            <w:r>
              <w:t xml:space="preserve"> -0,2 % </w:t>
            </w:r>
          </w:p>
        </w:tc>
      </w:tr>
    </w:tbl>
    <w:p w:rsidR="00355D52" w:rsidRDefault="00355D52" w:rsidP="00355D52">
      <w:pPr>
        <w:pStyle w:val="Bezodstpw"/>
        <w:jc w:val="both"/>
      </w:pPr>
      <w:r>
        <w:lastRenderedPageBreak/>
        <w:t xml:space="preserve">Tabela: Procentowa zmiana ceny akcji spółki, której akcje zostały wymienione w siódmym numerze ,,Raportu Tygodniowego” z 27 października 2014 roku w rubryce ,,Wykres do przemyślenia” w okresie od 24 </w:t>
      </w:r>
      <w:r w:rsidR="00C870BA">
        <w:t xml:space="preserve">października </w:t>
      </w:r>
      <w:r>
        <w:t xml:space="preserve">do </w:t>
      </w:r>
      <w:r w:rsidR="00C870BA">
        <w:t>7 listopada</w:t>
      </w:r>
      <w:r>
        <w:t xml:space="preserve"> 2014 roku oraz procentowa zmiana indeksu WIG 20 w tym okresie. </w:t>
      </w:r>
    </w:p>
    <w:tbl>
      <w:tblPr>
        <w:tblStyle w:val="Tabela-Siatka"/>
        <w:tblW w:w="0" w:type="auto"/>
        <w:tblLook w:val="04A0"/>
      </w:tblPr>
      <w:tblGrid>
        <w:gridCol w:w="3402"/>
        <w:gridCol w:w="2302"/>
        <w:gridCol w:w="2303"/>
        <w:gridCol w:w="1134"/>
      </w:tblGrid>
      <w:tr w:rsidR="00355D52" w:rsidTr="006672C8">
        <w:tc>
          <w:tcPr>
            <w:tcW w:w="3402" w:type="dxa"/>
          </w:tcPr>
          <w:p w:rsidR="00355D52" w:rsidRDefault="00355D52" w:rsidP="006672C8">
            <w:pPr>
              <w:pStyle w:val="Bezodstpw"/>
              <w:jc w:val="center"/>
            </w:pPr>
            <w:r>
              <w:t>Instrument finansowy</w:t>
            </w:r>
          </w:p>
        </w:tc>
        <w:tc>
          <w:tcPr>
            <w:tcW w:w="2302" w:type="dxa"/>
          </w:tcPr>
          <w:p w:rsidR="00355D52" w:rsidRDefault="00355D52" w:rsidP="006672C8">
            <w:pPr>
              <w:pStyle w:val="Bezodstpw"/>
              <w:jc w:val="center"/>
            </w:pPr>
            <w:r>
              <w:t>Poziom – 24.10.2014</w:t>
            </w:r>
          </w:p>
        </w:tc>
        <w:tc>
          <w:tcPr>
            <w:tcW w:w="2303" w:type="dxa"/>
          </w:tcPr>
          <w:p w:rsidR="00355D52" w:rsidRDefault="00355D52" w:rsidP="006672C8">
            <w:pPr>
              <w:pStyle w:val="Bezodstpw"/>
              <w:jc w:val="center"/>
            </w:pPr>
            <w:r>
              <w:t>Poziom – 07.11.2014</w:t>
            </w:r>
          </w:p>
        </w:tc>
        <w:tc>
          <w:tcPr>
            <w:tcW w:w="1134" w:type="dxa"/>
          </w:tcPr>
          <w:p w:rsidR="00355D52" w:rsidRDefault="00355D52" w:rsidP="006672C8">
            <w:pPr>
              <w:pStyle w:val="Bezodstpw"/>
              <w:jc w:val="center"/>
            </w:pPr>
            <w:r>
              <w:t>Zmiana (w %)</w:t>
            </w:r>
          </w:p>
        </w:tc>
      </w:tr>
      <w:tr w:rsidR="00355D52" w:rsidTr="006672C8">
        <w:tc>
          <w:tcPr>
            <w:tcW w:w="3402" w:type="dxa"/>
          </w:tcPr>
          <w:p w:rsidR="00355D52" w:rsidRDefault="00355D52" w:rsidP="006672C8">
            <w:pPr>
              <w:pStyle w:val="Bezodstpw"/>
              <w:jc w:val="center"/>
            </w:pPr>
            <w:r>
              <w:t xml:space="preserve">Akcja spółki </w:t>
            </w:r>
            <w:proofErr w:type="spellStart"/>
            <w:r>
              <w:t>Tesgas</w:t>
            </w:r>
            <w:proofErr w:type="spellEnd"/>
            <w:r>
              <w:t xml:space="preserve"> </w:t>
            </w:r>
          </w:p>
        </w:tc>
        <w:tc>
          <w:tcPr>
            <w:tcW w:w="2302" w:type="dxa"/>
          </w:tcPr>
          <w:p w:rsidR="00355D52" w:rsidRDefault="00355D52" w:rsidP="006672C8">
            <w:pPr>
              <w:pStyle w:val="Bezodstpw"/>
              <w:jc w:val="center"/>
            </w:pPr>
            <w:r>
              <w:t>4,32 zł.</w:t>
            </w:r>
          </w:p>
        </w:tc>
        <w:tc>
          <w:tcPr>
            <w:tcW w:w="2303" w:type="dxa"/>
          </w:tcPr>
          <w:p w:rsidR="00355D52" w:rsidRDefault="00355D52" w:rsidP="006672C8">
            <w:pPr>
              <w:pStyle w:val="Bezodstpw"/>
              <w:jc w:val="center"/>
            </w:pPr>
            <w:r>
              <w:t xml:space="preserve">4,31 zł. </w:t>
            </w:r>
          </w:p>
        </w:tc>
        <w:tc>
          <w:tcPr>
            <w:tcW w:w="1134" w:type="dxa"/>
          </w:tcPr>
          <w:p w:rsidR="00355D52" w:rsidRDefault="00355D52" w:rsidP="006672C8">
            <w:pPr>
              <w:pStyle w:val="Bezodstpw"/>
              <w:jc w:val="center"/>
            </w:pPr>
            <w:r>
              <w:t xml:space="preserve">  -0,2 %</w:t>
            </w:r>
          </w:p>
        </w:tc>
      </w:tr>
      <w:tr w:rsidR="00355D52" w:rsidRPr="008F668F" w:rsidTr="006672C8">
        <w:tc>
          <w:tcPr>
            <w:tcW w:w="3402" w:type="dxa"/>
          </w:tcPr>
          <w:p w:rsidR="00355D52" w:rsidRPr="008F668F" w:rsidRDefault="00355D52" w:rsidP="006672C8">
            <w:pPr>
              <w:pStyle w:val="Bezodstpw"/>
              <w:jc w:val="center"/>
              <w:rPr>
                <w:b/>
                <w:color w:val="FF0000"/>
              </w:rPr>
            </w:pPr>
            <w:r w:rsidRPr="008F668F">
              <w:rPr>
                <w:b/>
                <w:color w:val="FF0000"/>
              </w:rPr>
              <w:t>Średnio</w:t>
            </w:r>
          </w:p>
        </w:tc>
        <w:tc>
          <w:tcPr>
            <w:tcW w:w="2302" w:type="dxa"/>
            <w:tcBorders>
              <w:right w:val="nil"/>
            </w:tcBorders>
          </w:tcPr>
          <w:p w:rsidR="00355D52" w:rsidRPr="008F668F" w:rsidRDefault="00355D52" w:rsidP="006672C8">
            <w:pPr>
              <w:pStyle w:val="Bezodstpw"/>
              <w:jc w:val="center"/>
              <w:rPr>
                <w:b/>
                <w:color w:val="FF0000"/>
              </w:rPr>
            </w:pPr>
          </w:p>
        </w:tc>
        <w:tc>
          <w:tcPr>
            <w:tcW w:w="2303" w:type="dxa"/>
            <w:tcBorders>
              <w:left w:val="nil"/>
            </w:tcBorders>
          </w:tcPr>
          <w:p w:rsidR="00355D52" w:rsidRPr="008F668F" w:rsidRDefault="00355D52" w:rsidP="006672C8">
            <w:pPr>
              <w:pStyle w:val="Bezodstpw"/>
              <w:jc w:val="center"/>
              <w:rPr>
                <w:b/>
                <w:color w:val="FF0000"/>
              </w:rPr>
            </w:pPr>
          </w:p>
        </w:tc>
        <w:tc>
          <w:tcPr>
            <w:tcW w:w="1134" w:type="dxa"/>
          </w:tcPr>
          <w:p w:rsidR="00355D52" w:rsidRPr="008F668F" w:rsidRDefault="00355D52" w:rsidP="006672C8">
            <w:pPr>
              <w:pStyle w:val="Bezodstpw"/>
              <w:jc w:val="center"/>
              <w:rPr>
                <w:b/>
                <w:color w:val="FF0000"/>
              </w:rPr>
            </w:pPr>
            <w:r>
              <w:rPr>
                <w:b/>
                <w:color w:val="FF0000"/>
              </w:rPr>
              <w:t xml:space="preserve">  -0,2 %</w:t>
            </w:r>
          </w:p>
        </w:tc>
      </w:tr>
      <w:tr w:rsidR="00355D52" w:rsidTr="006672C8">
        <w:tc>
          <w:tcPr>
            <w:tcW w:w="3402" w:type="dxa"/>
          </w:tcPr>
          <w:p w:rsidR="00355D52" w:rsidRDefault="00355D52" w:rsidP="006672C8">
            <w:pPr>
              <w:pStyle w:val="Bezodstpw"/>
              <w:jc w:val="center"/>
            </w:pPr>
            <w:r>
              <w:t>WIG 20</w:t>
            </w:r>
          </w:p>
        </w:tc>
        <w:tc>
          <w:tcPr>
            <w:tcW w:w="2302" w:type="dxa"/>
          </w:tcPr>
          <w:p w:rsidR="00355D52" w:rsidRDefault="00355D52" w:rsidP="006672C8">
            <w:pPr>
              <w:pStyle w:val="Bezodstpw"/>
              <w:jc w:val="center"/>
            </w:pPr>
            <w:r>
              <w:t xml:space="preserve">2 401,13 pkt. </w:t>
            </w:r>
          </w:p>
        </w:tc>
        <w:tc>
          <w:tcPr>
            <w:tcW w:w="2303" w:type="dxa"/>
          </w:tcPr>
          <w:p w:rsidR="00355D52" w:rsidRDefault="00355D52" w:rsidP="006672C8">
            <w:pPr>
              <w:pStyle w:val="Bezodstpw"/>
              <w:jc w:val="center"/>
            </w:pPr>
            <w:r>
              <w:t>2 417,45 pkt.</w:t>
            </w:r>
          </w:p>
        </w:tc>
        <w:tc>
          <w:tcPr>
            <w:tcW w:w="1134" w:type="dxa"/>
          </w:tcPr>
          <w:p w:rsidR="00355D52" w:rsidRDefault="00355D52" w:rsidP="006672C8">
            <w:pPr>
              <w:pStyle w:val="Bezodstpw"/>
              <w:jc w:val="center"/>
            </w:pPr>
            <w:r>
              <w:t xml:space="preserve">  -0,4 %</w:t>
            </w:r>
          </w:p>
        </w:tc>
      </w:tr>
    </w:tbl>
    <w:p w:rsidR="00355D52" w:rsidRDefault="00355D52" w:rsidP="00355D52">
      <w:pPr>
        <w:pStyle w:val="Bezodstpw"/>
        <w:jc w:val="both"/>
      </w:pPr>
    </w:p>
    <w:p w:rsidR="00355D52" w:rsidRDefault="00355D52" w:rsidP="00355D52">
      <w:pPr>
        <w:pStyle w:val="Bezodstpw"/>
        <w:jc w:val="both"/>
      </w:pPr>
      <w:r>
        <w:t xml:space="preserve">Tabela: Procentowa zmiana ceny akcji spółki, której akcje zostały wymienione w numerze ,,Raportu Tygodniowego” z 3 listopada 2014 roku w rubryce ,,Wykres do przemyślenia” w okresie od 31 października 2014 roku do 7 listopada 2014 roku oraz procentowa zmiana indeksu WIG 20 w tym okresie. </w:t>
      </w:r>
    </w:p>
    <w:tbl>
      <w:tblPr>
        <w:tblStyle w:val="Tabela-Siatka"/>
        <w:tblW w:w="0" w:type="auto"/>
        <w:tblLook w:val="04A0"/>
      </w:tblPr>
      <w:tblGrid>
        <w:gridCol w:w="3402"/>
        <w:gridCol w:w="2302"/>
        <w:gridCol w:w="2303"/>
        <w:gridCol w:w="1134"/>
      </w:tblGrid>
      <w:tr w:rsidR="00355D52" w:rsidTr="006672C8">
        <w:tc>
          <w:tcPr>
            <w:tcW w:w="3402" w:type="dxa"/>
          </w:tcPr>
          <w:p w:rsidR="00355D52" w:rsidRDefault="00355D52" w:rsidP="006672C8">
            <w:pPr>
              <w:pStyle w:val="Bezodstpw"/>
              <w:jc w:val="center"/>
            </w:pPr>
            <w:r>
              <w:t>Instrument finansowy</w:t>
            </w:r>
          </w:p>
        </w:tc>
        <w:tc>
          <w:tcPr>
            <w:tcW w:w="2302" w:type="dxa"/>
          </w:tcPr>
          <w:p w:rsidR="00355D52" w:rsidRDefault="00355D52" w:rsidP="006672C8">
            <w:pPr>
              <w:pStyle w:val="Bezodstpw"/>
              <w:jc w:val="center"/>
            </w:pPr>
            <w:r>
              <w:t>Poziom – 31.10.2014</w:t>
            </w:r>
          </w:p>
        </w:tc>
        <w:tc>
          <w:tcPr>
            <w:tcW w:w="2303" w:type="dxa"/>
          </w:tcPr>
          <w:p w:rsidR="00355D52" w:rsidRDefault="00355D52" w:rsidP="006672C8">
            <w:pPr>
              <w:pStyle w:val="Bezodstpw"/>
              <w:jc w:val="center"/>
            </w:pPr>
            <w:r>
              <w:t>Poziom – 07.11.2014</w:t>
            </w:r>
          </w:p>
        </w:tc>
        <w:tc>
          <w:tcPr>
            <w:tcW w:w="1134" w:type="dxa"/>
          </w:tcPr>
          <w:p w:rsidR="00355D52" w:rsidRDefault="00355D52" w:rsidP="006672C8">
            <w:pPr>
              <w:pStyle w:val="Bezodstpw"/>
              <w:jc w:val="center"/>
            </w:pPr>
            <w:r>
              <w:t>Zmiana (w %)</w:t>
            </w:r>
          </w:p>
        </w:tc>
      </w:tr>
      <w:tr w:rsidR="00355D52" w:rsidTr="006672C8">
        <w:tc>
          <w:tcPr>
            <w:tcW w:w="3402" w:type="dxa"/>
          </w:tcPr>
          <w:p w:rsidR="00355D52" w:rsidRDefault="00355D52" w:rsidP="006672C8">
            <w:pPr>
              <w:pStyle w:val="Bezodstpw"/>
              <w:jc w:val="center"/>
            </w:pPr>
            <w:r>
              <w:t>Akcja spółki Enea</w:t>
            </w:r>
          </w:p>
        </w:tc>
        <w:tc>
          <w:tcPr>
            <w:tcW w:w="2302" w:type="dxa"/>
          </w:tcPr>
          <w:p w:rsidR="00355D52" w:rsidRDefault="00355D52" w:rsidP="006672C8">
            <w:pPr>
              <w:pStyle w:val="Bezodstpw"/>
              <w:jc w:val="center"/>
            </w:pPr>
            <w:r>
              <w:t>16,00 zł.</w:t>
            </w:r>
          </w:p>
        </w:tc>
        <w:tc>
          <w:tcPr>
            <w:tcW w:w="2303" w:type="dxa"/>
          </w:tcPr>
          <w:p w:rsidR="00355D52" w:rsidRDefault="00355D52" w:rsidP="006672C8">
            <w:pPr>
              <w:pStyle w:val="Bezodstpw"/>
              <w:jc w:val="center"/>
            </w:pPr>
            <w:r>
              <w:t xml:space="preserve">16,25 zł. </w:t>
            </w:r>
          </w:p>
        </w:tc>
        <w:tc>
          <w:tcPr>
            <w:tcW w:w="1134" w:type="dxa"/>
          </w:tcPr>
          <w:p w:rsidR="00355D52" w:rsidRDefault="00355D52" w:rsidP="006672C8">
            <w:pPr>
              <w:pStyle w:val="Bezodstpw"/>
              <w:jc w:val="center"/>
            </w:pPr>
            <w:r>
              <w:t xml:space="preserve">  +1,6 %</w:t>
            </w:r>
          </w:p>
        </w:tc>
      </w:tr>
      <w:tr w:rsidR="00355D52" w:rsidRPr="008F668F" w:rsidTr="006672C8">
        <w:tc>
          <w:tcPr>
            <w:tcW w:w="3402" w:type="dxa"/>
          </w:tcPr>
          <w:p w:rsidR="00355D52" w:rsidRPr="008F668F" w:rsidRDefault="00355D52" w:rsidP="006672C8">
            <w:pPr>
              <w:pStyle w:val="Bezodstpw"/>
              <w:jc w:val="center"/>
              <w:rPr>
                <w:b/>
                <w:color w:val="FF0000"/>
              </w:rPr>
            </w:pPr>
            <w:r w:rsidRPr="008F668F">
              <w:rPr>
                <w:b/>
                <w:color w:val="FF0000"/>
              </w:rPr>
              <w:t>Średnio</w:t>
            </w:r>
          </w:p>
        </w:tc>
        <w:tc>
          <w:tcPr>
            <w:tcW w:w="2302" w:type="dxa"/>
            <w:tcBorders>
              <w:right w:val="nil"/>
            </w:tcBorders>
          </w:tcPr>
          <w:p w:rsidR="00355D52" w:rsidRPr="008F668F" w:rsidRDefault="00355D52" w:rsidP="006672C8">
            <w:pPr>
              <w:pStyle w:val="Bezodstpw"/>
              <w:jc w:val="center"/>
              <w:rPr>
                <w:b/>
                <w:color w:val="FF0000"/>
              </w:rPr>
            </w:pPr>
          </w:p>
        </w:tc>
        <w:tc>
          <w:tcPr>
            <w:tcW w:w="2303" w:type="dxa"/>
            <w:tcBorders>
              <w:left w:val="nil"/>
            </w:tcBorders>
          </w:tcPr>
          <w:p w:rsidR="00355D52" w:rsidRPr="008F668F" w:rsidRDefault="00355D52" w:rsidP="006672C8">
            <w:pPr>
              <w:pStyle w:val="Bezodstpw"/>
              <w:jc w:val="center"/>
              <w:rPr>
                <w:b/>
                <w:color w:val="FF0000"/>
              </w:rPr>
            </w:pPr>
          </w:p>
        </w:tc>
        <w:tc>
          <w:tcPr>
            <w:tcW w:w="1134" w:type="dxa"/>
          </w:tcPr>
          <w:p w:rsidR="00355D52" w:rsidRPr="008F668F" w:rsidRDefault="00355D52" w:rsidP="006672C8">
            <w:pPr>
              <w:pStyle w:val="Bezodstpw"/>
              <w:jc w:val="center"/>
              <w:rPr>
                <w:b/>
                <w:color w:val="FF0000"/>
              </w:rPr>
            </w:pPr>
            <w:r>
              <w:rPr>
                <w:b/>
                <w:color w:val="FF0000"/>
              </w:rPr>
              <w:t xml:space="preserve">  +1,6 %</w:t>
            </w:r>
          </w:p>
        </w:tc>
      </w:tr>
      <w:tr w:rsidR="00355D52" w:rsidTr="006672C8">
        <w:tc>
          <w:tcPr>
            <w:tcW w:w="3402" w:type="dxa"/>
          </w:tcPr>
          <w:p w:rsidR="00355D52" w:rsidRDefault="00355D52" w:rsidP="006672C8">
            <w:pPr>
              <w:pStyle w:val="Bezodstpw"/>
              <w:jc w:val="center"/>
            </w:pPr>
            <w:r>
              <w:t>WIG 20</w:t>
            </w:r>
          </w:p>
        </w:tc>
        <w:tc>
          <w:tcPr>
            <w:tcW w:w="2302" w:type="dxa"/>
          </w:tcPr>
          <w:p w:rsidR="00355D52" w:rsidRDefault="00355D52" w:rsidP="006672C8">
            <w:pPr>
              <w:pStyle w:val="Bezodstpw"/>
              <w:jc w:val="center"/>
            </w:pPr>
            <w:r>
              <w:t xml:space="preserve">2 463,68 pkt. </w:t>
            </w:r>
          </w:p>
        </w:tc>
        <w:tc>
          <w:tcPr>
            <w:tcW w:w="2303" w:type="dxa"/>
          </w:tcPr>
          <w:p w:rsidR="00355D52" w:rsidRDefault="00355D52" w:rsidP="006672C8">
            <w:pPr>
              <w:pStyle w:val="Bezodstpw"/>
              <w:jc w:val="center"/>
            </w:pPr>
            <w:r>
              <w:t>2 417,45 pkt.</w:t>
            </w:r>
          </w:p>
        </w:tc>
        <w:tc>
          <w:tcPr>
            <w:tcW w:w="1134" w:type="dxa"/>
          </w:tcPr>
          <w:p w:rsidR="00355D52" w:rsidRDefault="00355D52" w:rsidP="006672C8">
            <w:pPr>
              <w:pStyle w:val="Bezodstpw"/>
              <w:jc w:val="center"/>
            </w:pPr>
            <w:r>
              <w:t xml:space="preserve">  -1,9 %</w:t>
            </w:r>
          </w:p>
        </w:tc>
      </w:tr>
    </w:tbl>
    <w:p w:rsidR="00355D52" w:rsidRDefault="00355D52" w:rsidP="00355D52">
      <w:pPr>
        <w:pStyle w:val="Bezodstpw"/>
        <w:jc w:val="both"/>
      </w:pPr>
    </w:p>
    <w:p w:rsidR="00355D52" w:rsidRDefault="00355D52" w:rsidP="00355D52">
      <w:pPr>
        <w:pStyle w:val="Bezodstpw"/>
        <w:jc w:val="both"/>
      </w:pPr>
      <w:r>
        <w:t xml:space="preserve">Warto zauważyć, że </w:t>
      </w:r>
      <w:r w:rsidRPr="003D7CD1">
        <w:rPr>
          <w:b/>
        </w:rPr>
        <w:t>spośród 1</w:t>
      </w:r>
      <w:r>
        <w:rPr>
          <w:b/>
        </w:rPr>
        <w:t>7</w:t>
      </w:r>
      <w:r w:rsidRPr="003D7CD1">
        <w:rPr>
          <w:b/>
        </w:rPr>
        <w:t xml:space="preserve"> spółek, których akcje zakwalifikowane zostały do rubryki ,,Wykres do przemyślenia”</w:t>
      </w:r>
      <w:r>
        <w:t xml:space="preserve"> (gdyż wybiły się już z formacji podwójnego dna) </w:t>
      </w:r>
      <w:r w:rsidRPr="003D7CD1">
        <w:rPr>
          <w:b/>
        </w:rPr>
        <w:t>kursy akcji 1</w:t>
      </w:r>
      <w:r>
        <w:rPr>
          <w:b/>
        </w:rPr>
        <w:t>6</w:t>
      </w:r>
      <w:r w:rsidRPr="003D7CD1">
        <w:rPr>
          <w:b/>
        </w:rPr>
        <w:t xml:space="preserve"> spółek</w:t>
      </w:r>
      <w:r>
        <w:t xml:space="preserve"> od momentu owego zakwalifikowania do tej rubryki do dnia 7 listopada 2014 roku zachowywały się </w:t>
      </w:r>
      <w:r w:rsidRPr="003D7CD1">
        <w:rPr>
          <w:b/>
          <w:u w:val="single"/>
        </w:rPr>
        <w:t>lepiej</w:t>
      </w:r>
      <w:r>
        <w:t xml:space="preserve"> od indeksu WIG20, </w:t>
      </w:r>
      <w:r w:rsidRPr="003D7CD1">
        <w:rPr>
          <w:b/>
        </w:rPr>
        <w:t xml:space="preserve">a </w:t>
      </w:r>
      <w:r>
        <w:rPr>
          <w:b/>
        </w:rPr>
        <w:t>1</w:t>
      </w:r>
      <w:r w:rsidRPr="003D7CD1">
        <w:rPr>
          <w:b/>
        </w:rPr>
        <w:t xml:space="preserve"> </w:t>
      </w:r>
      <w:r w:rsidRPr="003D7CD1">
        <w:rPr>
          <w:b/>
          <w:u w:val="single"/>
        </w:rPr>
        <w:t>gorzej.</w:t>
      </w:r>
      <w:r>
        <w:t xml:space="preserve"> To pokazuje, że kursy akcji po wybiciu z formacji podwójnego zazwyczaj zachowywały się relatywnie mocno (szczególnie Rafako, Capital Partners oraz </w:t>
      </w:r>
      <w:proofErr w:type="spellStart"/>
      <w:r>
        <w:t>Imm</w:t>
      </w:r>
      <w:r w:rsidR="00C870BA">
        <w:t>obile</w:t>
      </w:r>
      <w:proofErr w:type="spellEnd"/>
      <w:r w:rsidR="00C870BA">
        <w:t>), aczkolwiek był przykład</w:t>
      </w:r>
      <w:r>
        <w:t xml:space="preserve"> relatywnej słabości (</w:t>
      </w:r>
      <w:proofErr w:type="spellStart"/>
      <w:r>
        <w:t>Sygnity</w:t>
      </w:r>
      <w:proofErr w:type="spellEnd"/>
      <w:r>
        <w:t>)</w:t>
      </w:r>
    </w:p>
    <w:p w:rsidR="00355D52" w:rsidRDefault="00355D52" w:rsidP="00355D52">
      <w:pPr>
        <w:pStyle w:val="Bezodstpw"/>
        <w:jc w:val="both"/>
      </w:pPr>
    </w:p>
    <w:p w:rsidR="00355D52" w:rsidRPr="004B4606" w:rsidRDefault="00355D52" w:rsidP="00355D52">
      <w:pPr>
        <w:pStyle w:val="Bezodstpw"/>
        <w:jc w:val="both"/>
        <w:rPr>
          <w:b/>
          <w:u w:val="single"/>
        </w:rPr>
      </w:pPr>
      <w:r w:rsidRPr="004B4606">
        <w:rPr>
          <w:b/>
          <w:u w:val="single"/>
        </w:rPr>
        <w:t>Ciekawostka techniczna – Przemysł elektromaszynowy / WIG 20</w:t>
      </w:r>
    </w:p>
    <w:p w:rsidR="00355D52" w:rsidRDefault="00355D52" w:rsidP="00355D52">
      <w:pPr>
        <w:pStyle w:val="Bezodstpw"/>
        <w:jc w:val="both"/>
      </w:pPr>
    </w:p>
    <w:p w:rsidR="00355D52" w:rsidRDefault="00355D52" w:rsidP="00355D52">
      <w:pPr>
        <w:pStyle w:val="Bezodstpw"/>
        <w:jc w:val="both"/>
      </w:pPr>
      <w:r>
        <w:t xml:space="preserve">Dotychczas w rubryce ,,Wykres do przemyślenia” znalazły się akcje trzech spółek reprezentujących branżę elektromaszynową: </w:t>
      </w:r>
      <w:r w:rsidRPr="00DB5948">
        <w:rPr>
          <w:b/>
        </w:rPr>
        <w:t>Lena, Rafako oraz Relpol.</w:t>
      </w:r>
    </w:p>
    <w:p w:rsidR="00355D52" w:rsidRDefault="00355D52" w:rsidP="00355D52">
      <w:pPr>
        <w:pStyle w:val="Bezodstpw"/>
        <w:jc w:val="both"/>
      </w:pPr>
    </w:p>
    <w:p w:rsidR="00355D52" w:rsidRDefault="00355D52" w:rsidP="00355D52">
      <w:pPr>
        <w:pStyle w:val="Bezodstpw"/>
        <w:jc w:val="both"/>
      </w:pPr>
      <w:r>
        <w:t xml:space="preserve">Warto zauważyć, że na wykresie siły względnej indeksu przemysłu elektromaszynowego w stosunku do indeksu WIG 20 doszło do przebicia spadkowej linii trendu </w:t>
      </w:r>
      <w:r w:rsidR="00C870BA">
        <w:t>p</w:t>
      </w:r>
      <w:r>
        <w:t xml:space="preserve">o uprzednim wejściu (na wykresie stworzonym w oparciu o dane miesięczne) oscylatora stochastycznego do strefy wartości ujemnych. </w:t>
      </w:r>
    </w:p>
    <w:p w:rsidR="00355D52" w:rsidRDefault="00355D52" w:rsidP="00355D52">
      <w:pPr>
        <w:pStyle w:val="Bezodstpw"/>
        <w:jc w:val="both"/>
      </w:pPr>
    </w:p>
    <w:p w:rsidR="00355D52" w:rsidRDefault="00355D52" w:rsidP="00355D52">
      <w:pPr>
        <w:pStyle w:val="Bezodstpw"/>
        <w:jc w:val="both"/>
      </w:pPr>
      <w:r w:rsidRPr="004B4606">
        <w:rPr>
          <w:noProof/>
        </w:rPr>
        <w:drawing>
          <wp:inline distT="0" distB="0" distL="0" distR="0">
            <wp:extent cx="3588158" cy="2160000"/>
            <wp:effectExtent l="19050" t="0" r="0" b="0"/>
            <wp:docPr id="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588158" cy="2160000"/>
                    </a:xfrm>
                    <a:prstGeom prst="rect">
                      <a:avLst/>
                    </a:prstGeom>
                    <a:noFill/>
                  </pic:spPr>
                </pic:pic>
              </a:graphicData>
            </a:graphic>
          </wp:inline>
        </w:drawing>
      </w:r>
    </w:p>
    <w:p w:rsidR="00355D52" w:rsidRDefault="00355D52" w:rsidP="00355D52">
      <w:pPr>
        <w:pStyle w:val="Bezodstpw"/>
        <w:jc w:val="both"/>
      </w:pPr>
    </w:p>
    <w:p w:rsidR="00355D52" w:rsidRDefault="00355D52" w:rsidP="00355D52">
      <w:pPr>
        <w:pStyle w:val="Bezodstpw"/>
        <w:jc w:val="both"/>
      </w:pPr>
      <w:r>
        <w:t xml:space="preserve">Jednocześnie wykres tej siły względnej zakończył </w:t>
      </w:r>
      <w:r w:rsidRPr="0000562D">
        <w:rPr>
          <w:b/>
          <w:u w:val="single"/>
        </w:rPr>
        <w:t>spadki w okolicach bardzo silnego wsparcia</w:t>
      </w:r>
      <w:r>
        <w:t xml:space="preserve"> z grudnia 2011 roku, co stwarza szansę na to, że w perspektywie średnioterminowej (czyli w </w:t>
      </w:r>
      <w:r>
        <w:lastRenderedPageBreak/>
        <w:t xml:space="preserve">perspektywie kilku najbliższych miesięcy) kursy akcji tych spółek mogą się zachowywać lepiej od indeksu WIG 20. </w:t>
      </w:r>
    </w:p>
    <w:p w:rsidR="00355D52" w:rsidRDefault="00355D52" w:rsidP="00355D52">
      <w:pPr>
        <w:pStyle w:val="Bezodstpw"/>
        <w:jc w:val="both"/>
      </w:pPr>
    </w:p>
    <w:p w:rsidR="008E6716" w:rsidRDefault="008E6716" w:rsidP="008E6716">
      <w:pPr>
        <w:pStyle w:val="Bezodstpw"/>
        <w:pBdr>
          <w:top w:val="single" w:sz="4" w:space="1" w:color="auto"/>
          <w:left w:val="single" w:sz="4" w:space="4" w:color="auto"/>
          <w:bottom w:val="single" w:sz="4" w:space="1" w:color="auto"/>
          <w:right w:val="single" w:sz="4" w:space="4" w:color="auto"/>
        </w:pBdr>
        <w:jc w:val="center"/>
      </w:pPr>
      <w:r>
        <w:t>Branża elektromaszynowa – pożytki z eksportu</w:t>
      </w:r>
    </w:p>
    <w:p w:rsidR="008E6716" w:rsidRDefault="008E6716" w:rsidP="00355D52">
      <w:pPr>
        <w:pStyle w:val="Bezodstpw"/>
        <w:jc w:val="both"/>
      </w:pPr>
    </w:p>
    <w:p w:rsidR="00355D52" w:rsidRDefault="00355D52" w:rsidP="00355D52">
      <w:pPr>
        <w:pStyle w:val="Bezodstpw"/>
        <w:jc w:val="both"/>
      </w:pPr>
      <w:r>
        <w:t xml:space="preserve">Warto zauważyć, że spółki z branży elektromaszynowej należą do </w:t>
      </w:r>
      <w:r w:rsidRPr="00A4001B">
        <w:rPr>
          <w:b/>
          <w:color w:val="FF0000"/>
          <w:u w:val="single"/>
        </w:rPr>
        <w:t xml:space="preserve">grupy czołowych polskich eksporterów </w:t>
      </w:r>
      <w:r w:rsidRPr="00C45718">
        <w:rPr>
          <w:b/>
          <w:color w:val="000000" w:themeColor="text1"/>
          <w:u w:val="single"/>
        </w:rPr>
        <w:t>i osłabienie kursu złotego, jakie miało miejsce w tym roku powinno pomóc im w poprawie wyników finansowych</w:t>
      </w:r>
      <w:r>
        <w:t xml:space="preserve">. Możliwe, że z fundamentalnego punktu widzenia właśnie to będzie sprzyjać wzrostom siły relatywnej indeksu przemysłu elektromaszynowego w stosunku do indeksu  WIG 20. W tym kontekście warto zaprezentować kilka informacji o trzech spółkach z branży elektromaszynowej, których akcje znalazły się dotychczas w rubryce </w:t>
      </w:r>
      <w:r w:rsidRPr="00C45718">
        <w:rPr>
          <w:b/>
        </w:rPr>
        <w:t>,,Wykres do przemyślenia”</w:t>
      </w:r>
      <w:r>
        <w:t xml:space="preserve">, gdyż kursy ich akcji wybiły się z formacji podwójnego dna. </w:t>
      </w:r>
    </w:p>
    <w:p w:rsidR="00355D52" w:rsidRDefault="00355D52" w:rsidP="00355D52">
      <w:pPr>
        <w:pStyle w:val="Bezodstpw"/>
        <w:jc w:val="both"/>
      </w:pPr>
    </w:p>
    <w:p w:rsidR="00355D52" w:rsidRDefault="00355D52" w:rsidP="00355D52">
      <w:pPr>
        <w:pStyle w:val="Bezodstpw"/>
        <w:jc w:val="both"/>
      </w:pPr>
      <w:r w:rsidRPr="006753BC">
        <w:rPr>
          <w:b/>
        </w:rPr>
        <w:t>LENA:</w:t>
      </w:r>
      <w:r>
        <w:t xml:space="preserve"> </w:t>
      </w:r>
      <w:r w:rsidRPr="006753BC">
        <w:t>Rozwijając eksport do 38 państw świata, Lena Lighting S.A. osiągnęła pozycję niekwestionowanego lidera wśród polskich eksporterów profesjonalnego oświetlenia inwestycyjnego z 15% udziałem w eksporcie całkowitym.</w:t>
      </w:r>
    </w:p>
    <w:p w:rsidR="00355D52" w:rsidRDefault="00355D52" w:rsidP="00355D52">
      <w:pPr>
        <w:pStyle w:val="Bezodstpw"/>
        <w:jc w:val="both"/>
      </w:pPr>
    </w:p>
    <w:p w:rsidR="00A4001B" w:rsidRDefault="00E60454" w:rsidP="00355D52">
      <w:pPr>
        <w:pStyle w:val="Bezodstpw"/>
        <w:jc w:val="both"/>
      </w:pPr>
      <w:hyperlink r:id="rId20" w:history="1">
        <w:r w:rsidR="00A4001B" w:rsidRPr="00D245F2">
          <w:rPr>
            <w:rStyle w:val="Hipercze"/>
          </w:rPr>
          <w:t>http://stooq.pl/q/p/?s=len</w:t>
        </w:r>
      </w:hyperlink>
    </w:p>
    <w:p w:rsidR="00A4001B" w:rsidRDefault="00A4001B" w:rsidP="00355D52">
      <w:pPr>
        <w:pStyle w:val="Bezodstpw"/>
        <w:jc w:val="both"/>
      </w:pPr>
    </w:p>
    <w:p w:rsidR="00355D52" w:rsidRDefault="00355D52" w:rsidP="00355D52">
      <w:pPr>
        <w:pStyle w:val="Bezodstpw"/>
        <w:jc w:val="both"/>
      </w:pPr>
      <w:r w:rsidRPr="006753BC">
        <w:rPr>
          <w:b/>
        </w:rPr>
        <w:t xml:space="preserve">RAFAKO: </w:t>
      </w:r>
      <w:r w:rsidRPr="006753BC">
        <w:t xml:space="preserve">Firma posiada referencje w szeregu krajów Europy i Azji, w tym w Chinach, Turcji, Indiach, </w:t>
      </w:r>
      <w:r w:rsidR="00A4001B">
        <w:t xml:space="preserve">b. </w:t>
      </w:r>
      <w:r w:rsidRPr="006753BC">
        <w:t>Jugosławii, Niemczech, Francji, Szwajcarii, Belgii, Czechach i w Skandynawii.</w:t>
      </w:r>
    </w:p>
    <w:p w:rsidR="00A4001B" w:rsidRDefault="00A4001B" w:rsidP="00355D52">
      <w:pPr>
        <w:pStyle w:val="Bezodstpw"/>
        <w:jc w:val="both"/>
      </w:pPr>
    </w:p>
    <w:p w:rsidR="00A4001B" w:rsidRDefault="00E60454" w:rsidP="00355D52">
      <w:pPr>
        <w:pStyle w:val="Bezodstpw"/>
        <w:jc w:val="both"/>
      </w:pPr>
      <w:hyperlink r:id="rId21" w:history="1">
        <w:r w:rsidR="00A4001B" w:rsidRPr="00D245F2">
          <w:rPr>
            <w:rStyle w:val="Hipercze"/>
          </w:rPr>
          <w:t>http://stooq.pl/q/p/?s=rfk</w:t>
        </w:r>
      </w:hyperlink>
    </w:p>
    <w:p w:rsidR="00355D52" w:rsidRDefault="00355D52" w:rsidP="00355D52">
      <w:pPr>
        <w:pStyle w:val="Bezodstpw"/>
        <w:jc w:val="both"/>
      </w:pPr>
    </w:p>
    <w:p w:rsidR="00355D52" w:rsidRDefault="00355D52" w:rsidP="00355D52">
      <w:pPr>
        <w:pStyle w:val="Bezodstpw"/>
        <w:jc w:val="both"/>
      </w:pPr>
      <w:r w:rsidRPr="006753BC">
        <w:rPr>
          <w:b/>
        </w:rPr>
        <w:t xml:space="preserve">RELPOL: </w:t>
      </w:r>
      <w:r w:rsidRPr="006753BC">
        <w:t>60% produkcji stanowi eksport do 43 krajów</w:t>
      </w:r>
    </w:p>
    <w:p w:rsidR="00355D52" w:rsidRDefault="00355D52" w:rsidP="00355D52">
      <w:pPr>
        <w:pStyle w:val="Bezodstpw"/>
        <w:jc w:val="both"/>
      </w:pPr>
    </w:p>
    <w:p w:rsidR="00A4001B" w:rsidRDefault="00E60454" w:rsidP="00355D52">
      <w:pPr>
        <w:pStyle w:val="Bezodstpw"/>
        <w:jc w:val="both"/>
      </w:pPr>
      <w:hyperlink r:id="rId22" w:history="1">
        <w:r w:rsidR="00A4001B" w:rsidRPr="00D245F2">
          <w:rPr>
            <w:rStyle w:val="Hipercze"/>
          </w:rPr>
          <w:t>http://stooq.pl/q/p/?s=rlp</w:t>
        </w:r>
      </w:hyperlink>
    </w:p>
    <w:p w:rsidR="00A4001B" w:rsidRDefault="00A4001B" w:rsidP="00355D52">
      <w:pPr>
        <w:pStyle w:val="Bezodstpw"/>
        <w:jc w:val="both"/>
      </w:pPr>
    </w:p>
    <w:p w:rsidR="00355D52" w:rsidRPr="00C45718" w:rsidRDefault="00355D52" w:rsidP="00355D52">
      <w:pPr>
        <w:pStyle w:val="Bezodstpw"/>
        <w:jc w:val="both"/>
        <w:rPr>
          <w:b/>
        </w:rPr>
      </w:pPr>
      <w:r>
        <w:t xml:space="preserve">Warto zauważyć, że z danych Ministerstwa Gospodarki wynika, że w I półroczu tego roku w przemyśle w naszym kraju </w:t>
      </w:r>
      <w:r w:rsidRPr="00C45718">
        <w:rPr>
          <w:b/>
        </w:rPr>
        <w:t>najwyższe do</w:t>
      </w:r>
      <w:r w:rsidR="00C870BA">
        <w:rPr>
          <w:b/>
        </w:rPr>
        <w:t>datnie saldo towarowe zanotowano</w:t>
      </w:r>
      <w:r w:rsidRPr="00C45718">
        <w:rPr>
          <w:b/>
        </w:rPr>
        <w:t xml:space="preserve"> właśnie w sektorze elektromaszynowym.</w:t>
      </w:r>
    </w:p>
    <w:p w:rsidR="00355D52" w:rsidRDefault="00355D52" w:rsidP="00355D52">
      <w:pPr>
        <w:pStyle w:val="Bezodstpw"/>
        <w:jc w:val="both"/>
      </w:pPr>
    </w:p>
    <w:p w:rsidR="00355D52" w:rsidRDefault="00E60454" w:rsidP="00355D52">
      <w:pPr>
        <w:pStyle w:val="Bezodstpw"/>
        <w:jc w:val="both"/>
      </w:pPr>
      <w:hyperlink r:id="rId23" w:history="1">
        <w:r w:rsidR="00355D52" w:rsidRPr="00744162">
          <w:rPr>
            <w:rStyle w:val="Hipercze"/>
          </w:rPr>
          <w:t>http://www.mg.gov.pl/files/upload/8437/Ocena%20HZ%20po%20I%20p%C3%B3%C5%82roczu%202014_20140819_w%20ost.pdf</w:t>
        </w:r>
      </w:hyperlink>
    </w:p>
    <w:p w:rsidR="00355D52" w:rsidRDefault="00355D52" w:rsidP="00355D52">
      <w:pPr>
        <w:pStyle w:val="Bezodstpw"/>
        <w:jc w:val="both"/>
      </w:pPr>
    </w:p>
    <w:p w:rsidR="00355D52" w:rsidRDefault="00355D52" w:rsidP="00355D52">
      <w:pPr>
        <w:pStyle w:val="Bezodstpw"/>
        <w:jc w:val="both"/>
      </w:pPr>
      <w:r>
        <w:t>(str.18-19)</w:t>
      </w:r>
    </w:p>
    <w:p w:rsidR="00355D52" w:rsidRDefault="00355D52" w:rsidP="00355D52">
      <w:pPr>
        <w:pStyle w:val="Bezodstpw"/>
        <w:jc w:val="both"/>
      </w:pPr>
    </w:p>
    <w:p w:rsidR="00C45718" w:rsidRDefault="00C45718" w:rsidP="00355D52">
      <w:pPr>
        <w:pStyle w:val="Bezodstpw"/>
        <w:jc w:val="both"/>
      </w:pPr>
      <w:r w:rsidRPr="00C45718">
        <w:rPr>
          <w:b/>
        </w:rPr>
        <w:t>Relpol</w:t>
      </w:r>
      <w:r>
        <w:t xml:space="preserve"> zaprezentował już (dobre !) wyniki finansowe</w:t>
      </w:r>
      <w:r w:rsidR="00C870BA">
        <w:t xml:space="preserve"> za III kwartał 2014 roku.</w:t>
      </w:r>
    </w:p>
    <w:p w:rsidR="00C45718" w:rsidRDefault="00C45718" w:rsidP="00355D52">
      <w:pPr>
        <w:pStyle w:val="Bezodstpw"/>
        <w:jc w:val="both"/>
      </w:pPr>
    </w:p>
    <w:p w:rsidR="00C45718" w:rsidRDefault="00E60454" w:rsidP="00355D52">
      <w:pPr>
        <w:pStyle w:val="Bezodstpw"/>
        <w:jc w:val="both"/>
      </w:pPr>
      <w:hyperlink r:id="rId24" w:history="1">
        <w:r w:rsidR="00C45718" w:rsidRPr="00D245F2">
          <w:rPr>
            <w:rStyle w:val="Hipercze"/>
          </w:rPr>
          <w:t>http://mojeinwestycje.interia.pl/gie/prof/spolki/finanse?wlid=98</w:t>
        </w:r>
      </w:hyperlink>
    </w:p>
    <w:p w:rsidR="00C45718" w:rsidRDefault="00C45718" w:rsidP="00355D52">
      <w:pPr>
        <w:pStyle w:val="Bezodstpw"/>
        <w:jc w:val="both"/>
      </w:pPr>
    </w:p>
    <w:p w:rsidR="00C45718" w:rsidRDefault="00C45718" w:rsidP="00355D52">
      <w:pPr>
        <w:pStyle w:val="Bezodstpw"/>
        <w:jc w:val="both"/>
      </w:pPr>
      <w:r w:rsidRPr="00C45718">
        <w:rPr>
          <w:b/>
        </w:rPr>
        <w:t>Lena</w:t>
      </w:r>
      <w:r>
        <w:t xml:space="preserve"> zaprezentuje wyniki finansowe 14 listopada </w:t>
      </w:r>
    </w:p>
    <w:p w:rsidR="00C45718" w:rsidRDefault="00C45718" w:rsidP="00355D52">
      <w:pPr>
        <w:pStyle w:val="Bezodstpw"/>
        <w:jc w:val="both"/>
      </w:pPr>
    </w:p>
    <w:p w:rsidR="00C45718" w:rsidRDefault="00E60454" w:rsidP="00355D52">
      <w:pPr>
        <w:pStyle w:val="Bezodstpw"/>
        <w:jc w:val="both"/>
      </w:pPr>
      <w:hyperlink r:id="rId25" w:history="1">
        <w:r w:rsidR="00C45718" w:rsidRPr="00D245F2">
          <w:rPr>
            <w:rStyle w:val="Hipercze"/>
          </w:rPr>
          <w:t>http://www.bankier.pl/wiadomosc/LENA-LIGHTING-Terminy-przesylania-raportow-okresowych-w-2014roku-3041944.html</w:t>
        </w:r>
      </w:hyperlink>
    </w:p>
    <w:p w:rsidR="00C45718" w:rsidRDefault="00C45718" w:rsidP="00355D52">
      <w:pPr>
        <w:pStyle w:val="Bezodstpw"/>
        <w:jc w:val="both"/>
      </w:pPr>
    </w:p>
    <w:p w:rsidR="00C45718" w:rsidRDefault="00C45718" w:rsidP="00355D52">
      <w:pPr>
        <w:pStyle w:val="Bezodstpw"/>
        <w:jc w:val="both"/>
      </w:pPr>
      <w:r>
        <w:t xml:space="preserve">a </w:t>
      </w:r>
      <w:r w:rsidRPr="00C45718">
        <w:rPr>
          <w:b/>
        </w:rPr>
        <w:t>Rafako</w:t>
      </w:r>
      <w:r>
        <w:t xml:space="preserve"> także 14 listopada </w:t>
      </w:r>
    </w:p>
    <w:p w:rsidR="00C45718" w:rsidRDefault="00C45718" w:rsidP="00355D52">
      <w:pPr>
        <w:pStyle w:val="Bezodstpw"/>
        <w:jc w:val="both"/>
      </w:pPr>
    </w:p>
    <w:p w:rsidR="00C45718" w:rsidRDefault="00E60454" w:rsidP="00355D52">
      <w:pPr>
        <w:pStyle w:val="Bezodstpw"/>
        <w:jc w:val="both"/>
      </w:pPr>
      <w:hyperlink r:id="rId26" w:history="1">
        <w:r w:rsidR="00C45718" w:rsidRPr="00D245F2">
          <w:rPr>
            <w:rStyle w:val="Hipercze"/>
          </w:rPr>
          <w:t>http://www.bankier.pl/wiadomosc/RAFAKO-Stale-daty-przekazywania-raportow-okresowych-w-2014-roku-3049885.html</w:t>
        </w:r>
      </w:hyperlink>
    </w:p>
    <w:p w:rsidR="00C45718" w:rsidRDefault="00C45718" w:rsidP="00355D52">
      <w:pPr>
        <w:pStyle w:val="Bezodstpw"/>
        <w:jc w:val="both"/>
      </w:pPr>
    </w:p>
    <w:p w:rsidR="008E6716" w:rsidRDefault="008E6716" w:rsidP="008E6716">
      <w:pPr>
        <w:pStyle w:val="Bezodstpw"/>
        <w:jc w:val="both"/>
        <w:rPr>
          <w:b/>
        </w:rPr>
      </w:pPr>
      <w:r w:rsidRPr="00684436">
        <w:rPr>
          <w:b/>
        </w:rPr>
        <w:lastRenderedPageBreak/>
        <w:t xml:space="preserve">Wnioski końcowe </w:t>
      </w:r>
    </w:p>
    <w:p w:rsidR="008E6716" w:rsidRDefault="008E6716" w:rsidP="008E6716">
      <w:pPr>
        <w:pStyle w:val="Bezodstpw"/>
        <w:jc w:val="both"/>
        <w:rPr>
          <w:b/>
        </w:rPr>
      </w:pPr>
    </w:p>
    <w:p w:rsidR="008E6716" w:rsidRDefault="008E6716" w:rsidP="008E6716">
      <w:pPr>
        <w:pStyle w:val="Bezodstpw"/>
        <w:numPr>
          <w:ilvl w:val="0"/>
          <w:numId w:val="1"/>
        </w:numPr>
        <w:jc w:val="both"/>
      </w:pPr>
      <w:r w:rsidRPr="00FB3F9D">
        <w:rPr>
          <w:b/>
        </w:rPr>
        <w:t>Kurs dolara (w złotych)</w:t>
      </w:r>
      <w:r w:rsidRPr="00ED5598">
        <w:t xml:space="preserve"> </w:t>
      </w:r>
      <w:r>
        <w:t xml:space="preserve">osiągnął poziom </w:t>
      </w:r>
      <w:r w:rsidRPr="00FB3F9D">
        <w:rPr>
          <w:b/>
        </w:rPr>
        <w:t>długoterminowej spadkowej linii trendu</w:t>
      </w:r>
      <w:r w:rsidRPr="00ED5598">
        <w:t xml:space="preserve"> poprowadzonej przez szczyty z lutego 2009 roku oraz czerwca 2012 roku. Linia ta stanowi bardzo ważny opór. </w:t>
      </w:r>
      <w:r>
        <w:t xml:space="preserve">W tej sytuacji </w:t>
      </w:r>
      <w:r w:rsidRPr="00863762">
        <w:rPr>
          <w:b/>
          <w:u w:val="single"/>
        </w:rPr>
        <w:t>w najbliższych tygodniach można oczekiwać spadków kursu dolara amerykańskiego (w złotych).</w:t>
      </w:r>
      <w:r>
        <w:rPr>
          <w:b/>
          <w:u w:val="single"/>
        </w:rPr>
        <w:t xml:space="preserve"> </w:t>
      </w:r>
      <w:r w:rsidRPr="00ED5598">
        <w:t xml:space="preserve">Z kolei </w:t>
      </w:r>
      <w:r w:rsidRPr="00FB3F9D">
        <w:rPr>
          <w:b/>
        </w:rPr>
        <w:t>kurs euro (w złotych)</w:t>
      </w:r>
      <w:r w:rsidRPr="00ED5598">
        <w:t xml:space="preserve"> znajduje się </w:t>
      </w:r>
      <w:r w:rsidRPr="00FB3F9D">
        <w:rPr>
          <w:b/>
        </w:rPr>
        <w:t xml:space="preserve">poniżej długoterminowej spadkowej linii trendu </w:t>
      </w:r>
      <w:r w:rsidRPr="00ED5598">
        <w:t xml:space="preserve">poprowadzonej przez szczyty z lutego 2009 roku oraz grudnia 2011 roku. Linia ta stanowi bardzo ważny opór. W chwili obecnej przebiega ona na poziomie </w:t>
      </w:r>
      <w:r w:rsidRPr="00FB3F9D">
        <w:rPr>
          <w:b/>
          <w:color w:val="FF0000"/>
        </w:rPr>
        <w:t>4,26</w:t>
      </w:r>
      <w:r>
        <w:rPr>
          <w:b/>
          <w:color w:val="FF0000"/>
        </w:rPr>
        <w:t>3</w:t>
      </w:r>
      <w:r w:rsidRPr="00FB3F9D">
        <w:rPr>
          <w:b/>
          <w:color w:val="FF0000"/>
        </w:rPr>
        <w:t>0</w:t>
      </w:r>
      <w:r w:rsidRPr="00ED5598">
        <w:t xml:space="preserve">.  </w:t>
      </w:r>
    </w:p>
    <w:p w:rsidR="008E6716" w:rsidRDefault="008E6716" w:rsidP="008E6716">
      <w:pPr>
        <w:pStyle w:val="Bezodstpw"/>
        <w:ind w:left="720"/>
        <w:jc w:val="both"/>
      </w:pPr>
    </w:p>
    <w:p w:rsidR="008E6716" w:rsidRDefault="008E6716" w:rsidP="008E6716">
      <w:pPr>
        <w:pStyle w:val="Bezodstpw"/>
        <w:numPr>
          <w:ilvl w:val="0"/>
          <w:numId w:val="1"/>
        </w:numPr>
        <w:jc w:val="both"/>
      </w:pPr>
      <w:r w:rsidRPr="00982E77">
        <w:t>Analizując wykres indeksu WIG 20 w horyzoncie długoterminowym można dostrzec trwający kilkanaście miesięcy okres konsolidacji. Sądzę, że jesteśmy przed bardzo silnym wybiciem z konsolidacji. Uważam, że szereg argumentów przemawia za tym, że będzie to silne wybicie w górę.</w:t>
      </w:r>
      <w:r>
        <w:t xml:space="preserve"> </w:t>
      </w:r>
      <w:r w:rsidRPr="00ED5598">
        <w:t xml:space="preserve">Przemawiają za tym: </w:t>
      </w:r>
      <w:r>
        <w:t xml:space="preserve">rozpoczęcie na początku listopada </w:t>
      </w:r>
      <w:r w:rsidRPr="00DF48BB">
        <w:rPr>
          <w:b/>
          <w:color w:val="FF0000"/>
        </w:rPr>
        <w:t>najbardziej korzystnej dla posiadaczy akcji fazy amerykańskiego cyklu prezydenckiego</w:t>
      </w:r>
      <w:r w:rsidRPr="00DF48BB">
        <w:rPr>
          <w:color w:val="FF0000"/>
        </w:rPr>
        <w:t>,</w:t>
      </w:r>
      <w:r w:rsidRPr="00ED5598">
        <w:t xml:space="preserve"> brak przewartościowania polskich akcji z punktu widzenia wskaźnika C/WK, łagodna polityka pieniężna w wielu krajach, spadek cen surowców, który wraz z umocnienie dolara w euro działa antyinflacyjnie i sprzyja temu, aby amerykański bank centralny wciąż utrzymywał stopy procentowe na bardzo niskim poziomie. </w:t>
      </w:r>
    </w:p>
    <w:p w:rsidR="008E6716" w:rsidRDefault="008E6716" w:rsidP="008E6716">
      <w:pPr>
        <w:pStyle w:val="Bezodstpw"/>
        <w:ind w:left="720"/>
        <w:jc w:val="both"/>
      </w:pPr>
    </w:p>
    <w:p w:rsidR="008E6716" w:rsidRDefault="00C870BA" w:rsidP="008E6716">
      <w:pPr>
        <w:pStyle w:val="Bezodstpw"/>
        <w:numPr>
          <w:ilvl w:val="0"/>
          <w:numId w:val="1"/>
        </w:numPr>
        <w:jc w:val="both"/>
      </w:pPr>
      <w:r>
        <w:t xml:space="preserve">W końcu października </w:t>
      </w:r>
      <w:r w:rsidR="008E6716">
        <w:t xml:space="preserve">doszło do dwóch pozytywnych wydarzeń: </w:t>
      </w:r>
      <w:r w:rsidR="008E6716" w:rsidRPr="008E6716">
        <w:rPr>
          <w:b/>
          <w:color w:val="FF0000"/>
        </w:rPr>
        <w:t>przebicia rocznego szczytu przez indeks japoński NIKKEI 225</w:t>
      </w:r>
      <w:r w:rsidR="008E6716">
        <w:t xml:space="preserve"> (będącego skutkiem zapowiedzi zwiększenia skali ilościowego luzowania polityki pieniężnej przez tamtejszy bank centralny i pojawienie się informacji o wzroście udziału japońskich akcji w aktywach Rządowego Funduszu Emerytalnego z 12 % do 25 %) oraz </w:t>
      </w:r>
      <w:r w:rsidR="008E6716" w:rsidRPr="008E6716">
        <w:rPr>
          <w:b/>
          <w:color w:val="FF0000"/>
        </w:rPr>
        <w:t xml:space="preserve">przebicia historycznego szczytu przez amerykański indeks </w:t>
      </w:r>
      <w:proofErr w:type="spellStart"/>
      <w:r w:rsidR="008E6716" w:rsidRPr="008E6716">
        <w:rPr>
          <w:b/>
          <w:color w:val="FF0000"/>
        </w:rPr>
        <w:t>S&amp;P</w:t>
      </w:r>
      <w:proofErr w:type="spellEnd"/>
      <w:r w:rsidR="008E6716" w:rsidRPr="008E6716">
        <w:rPr>
          <w:b/>
          <w:color w:val="FF0000"/>
        </w:rPr>
        <w:t xml:space="preserve"> 500</w:t>
      </w:r>
      <w:r w:rsidR="008E6716">
        <w:t xml:space="preserve">, dzięki czego doszło do </w:t>
      </w:r>
      <w:r w:rsidR="008E6716" w:rsidRPr="008E6716">
        <w:rPr>
          <w:b/>
          <w:u w:val="single"/>
        </w:rPr>
        <w:t>,,spalenia” formacji podwójnego szczytu</w:t>
      </w:r>
      <w:r w:rsidR="008E6716">
        <w:t xml:space="preserve"> na wykresie tego indeksu, co jeden z najwybitniejszych współczesnych praktyków rynku kapitałowego Thomas Bulkowski interpretuje jako silny sygnał kupna</w:t>
      </w:r>
    </w:p>
    <w:p w:rsidR="008E6716" w:rsidRDefault="008E6716" w:rsidP="008E6716">
      <w:pPr>
        <w:pStyle w:val="Bezodstpw"/>
        <w:ind w:left="720"/>
        <w:jc w:val="both"/>
      </w:pPr>
    </w:p>
    <w:p w:rsidR="008E6716" w:rsidRDefault="008E6716" w:rsidP="008E6716">
      <w:pPr>
        <w:pStyle w:val="Bezodstpw"/>
        <w:numPr>
          <w:ilvl w:val="0"/>
          <w:numId w:val="1"/>
        </w:numPr>
        <w:jc w:val="both"/>
      </w:pPr>
      <w:r w:rsidRPr="008E6716">
        <w:rPr>
          <w:b/>
          <w:color w:val="FF0000"/>
        </w:rPr>
        <w:t>Indeks surowcowy CRB</w:t>
      </w:r>
      <w:r>
        <w:t xml:space="preserve"> </w:t>
      </w:r>
      <w:r w:rsidRPr="008E6716">
        <w:rPr>
          <w:b/>
          <w:u w:val="single"/>
        </w:rPr>
        <w:t>zbliżył się do wzrostowej linii trendu</w:t>
      </w:r>
      <w:r>
        <w:t xml:space="preserve"> poprowadzonej przez </w:t>
      </w:r>
      <w:proofErr w:type="spellStart"/>
      <w:r>
        <w:t>przez</w:t>
      </w:r>
      <w:proofErr w:type="spellEnd"/>
      <w:r>
        <w:t xml:space="preserve"> dołki  z lutego 1999 roku oraz marca 2009 roku. Jednocześnie indeks ten znalazł się </w:t>
      </w:r>
      <w:r w:rsidRPr="008E6716">
        <w:rPr>
          <w:b/>
          <w:u w:val="single"/>
        </w:rPr>
        <w:t>w okolicach bardzo silnego wsparcia</w:t>
      </w:r>
      <w:r>
        <w:t xml:space="preserve"> z czerwca 2012 roku. Z tego powodu </w:t>
      </w:r>
      <w:r w:rsidRPr="008E6716">
        <w:rPr>
          <w:b/>
          <w:color w:val="FF0000"/>
        </w:rPr>
        <w:t>można oczekiwać wzrostów cen surowców w najbliższych miesiącach</w:t>
      </w:r>
      <w:r>
        <w:t>, co powinno sprzyjać wzrostom indeksów na rynkach wschodzących, w tym i na polskim rynku akcji</w:t>
      </w:r>
    </w:p>
    <w:p w:rsidR="008E6716" w:rsidRDefault="008E6716" w:rsidP="008E6716">
      <w:pPr>
        <w:pStyle w:val="Bezodstpw"/>
        <w:ind w:left="720"/>
        <w:jc w:val="both"/>
      </w:pPr>
    </w:p>
    <w:p w:rsidR="008E6716" w:rsidRDefault="008E6716" w:rsidP="008E6716">
      <w:pPr>
        <w:pStyle w:val="Bezodstpw"/>
        <w:jc w:val="both"/>
      </w:pPr>
      <w:r>
        <w:t xml:space="preserve">Opracował: </w:t>
      </w:r>
      <w:r w:rsidRPr="00AA453E">
        <w:t>Sławomir Kłusek</w:t>
      </w:r>
      <w:r>
        <w:t>, 10 listopada 2014 r.</w:t>
      </w:r>
    </w:p>
    <w:p w:rsidR="008E6716" w:rsidRDefault="008E6716" w:rsidP="008E6716">
      <w:pPr>
        <w:pStyle w:val="Bezodstpw"/>
        <w:ind w:left="720"/>
        <w:jc w:val="both"/>
      </w:pPr>
    </w:p>
    <w:p w:rsidR="008E6716" w:rsidRDefault="008E6716" w:rsidP="008E6716">
      <w:pPr>
        <w:pStyle w:val="Bezodstpw"/>
        <w:jc w:val="both"/>
      </w:pPr>
      <w:r>
        <w:t xml:space="preserve">Powyższy raport stanowi wyłącznie wyraz osobistych opinii autora. </w:t>
      </w:r>
    </w:p>
    <w:p w:rsidR="008E6716" w:rsidRDefault="008E6716" w:rsidP="008E6716">
      <w:pPr>
        <w:pStyle w:val="Bezodstpw"/>
        <w:jc w:val="both"/>
      </w:pPr>
    </w:p>
    <w:p w:rsidR="008E6716" w:rsidRDefault="008E6716" w:rsidP="008E6716">
      <w:pPr>
        <w:pStyle w:val="Bezodstpw"/>
        <w:jc w:val="both"/>
      </w:pPr>
      <w:r>
        <w:t xml:space="preserve">Treści zawarte na stronie internetowej </w:t>
      </w:r>
      <w:hyperlink r:id="rId27" w:history="1">
        <w:r w:rsidRPr="00093965">
          <w:rPr>
            <w:rStyle w:val="Hipercze"/>
          </w:rPr>
          <w:t>www.analizy-rynkowe.pl</w:t>
        </w:r>
      </w:hyperlink>
      <w:r>
        <w:t xml:space="preserve"> </w:t>
      </w:r>
      <w:r w:rsidRPr="00875D60">
        <w:t>nie stanowi</w:t>
      </w:r>
      <w:r>
        <w:t>ą</w:t>
      </w:r>
      <w:r w:rsidRPr="00875D60">
        <w:t xml:space="preserve"> "rekomendacji" w rozumieniu przepisów Rozporządzenia Ministra Finansów z dnia 19 października 2005 r. w sprawie informacji stanowiących rekomendacje dotyczące instrumentów finansowych, lub ich emitentów (</w:t>
      </w:r>
      <w:proofErr w:type="spellStart"/>
      <w:r w:rsidRPr="00875D60">
        <w:t>Dz.U</w:t>
      </w:r>
      <w:proofErr w:type="spellEnd"/>
      <w:r w:rsidRPr="00875D60">
        <w:t>. z 2005 r. Nr 206, poz. 1715).</w:t>
      </w:r>
    </w:p>
    <w:p w:rsidR="008E6716" w:rsidRDefault="008E6716" w:rsidP="008E6716">
      <w:pPr>
        <w:pStyle w:val="Bezodstpw"/>
        <w:jc w:val="both"/>
      </w:pPr>
    </w:p>
    <w:p w:rsidR="008E6716" w:rsidRDefault="008E6716" w:rsidP="008E6716">
      <w:pPr>
        <w:pStyle w:val="Bezodstpw"/>
        <w:jc w:val="both"/>
      </w:pPr>
      <w:r>
        <w:t xml:space="preserve">Autor nie ponosi odpowiedzialności za jakiekolwiek decyzje inwestycyjne podjęte na podstawie treści zawartych na stronie internetowej </w:t>
      </w:r>
      <w:hyperlink r:id="rId28" w:history="1">
        <w:r w:rsidRPr="00093965">
          <w:rPr>
            <w:rStyle w:val="Hipercze"/>
          </w:rPr>
          <w:t>www.analizy-rynkowe.pl</w:t>
        </w:r>
      </w:hyperlink>
    </w:p>
    <w:sectPr w:rsidR="008E6716" w:rsidSect="006672C8">
      <w:footerReference w:type="default" r:id="rId2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AF7" w:rsidRDefault="00AA7AF7" w:rsidP="00066F10">
      <w:pPr>
        <w:spacing w:after="0" w:line="240" w:lineRule="auto"/>
      </w:pPr>
      <w:r>
        <w:separator/>
      </w:r>
    </w:p>
  </w:endnote>
  <w:endnote w:type="continuationSeparator" w:id="0">
    <w:p w:rsidR="00AA7AF7" w:rsidRDefault="00AA7AF7" w:rsidP="00066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zcionka tekstu podstawoweg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094"/>
      <w:docPartObj>
        <w:docPartGallery w:val="Page Numbers (Bottom of Page)"/>
        <w:docPartUnique/>
      </w:docPartObj>
    </w:sdtPr>
    <w:sdtContent>
      <w:p w:rsidR="003260DC" w:rsidRDefault="003260DC">
        <w:pPr>
          <w:pStyle w:val="Stopka"/>
          <w:jc w:val="center"/>
        </w:pPr>
        <w:fldSimple w:instr="PAGE   \* MERGEFORMAT">
          <w:r w:rsidR="00C870BA">
            <w:rPr>
              <w:noProof/>
            </w:rPr>
            <w:t>10</w:t>
          </w:r>
        </w:fldSimple>
      </w:p>
    </w:sdtContent>
  </w:sdt>
  <w:p w:rsidR="003260DC" w:rsidRDefault="003260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AF7" w:rsidRDefault="00AA7AF7" w:rsidP="00066F10">
      <w:pPr>
        <w:spacing w:after="0" w:line="240" w:lineRule="auto"/>
      </w:pPr>
      <w:r>
        <w:separator/>
      </w:r>
    </w:p>
  </w:footnote>
  <w:footnote w:type="continuationSeparator" w:id="0">
    <w:p w:rsidR="00AA7AF7" w:rsidRDefault="00AA7AF7" w:rsidP="00066F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46BCC"/>
    <w:multiLevelType w:val="hybridMultilevel"/>
    <w:tmpl w:val="FCEEFAA6"/>
    <w:lvl w:ilvl="0" w:tplc="1F881E40">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6893AAB"/>
    <w:multiLevelType w:val="hybridMultilevel"/>
    <w:tmpl w:val="CA48B87A"/>
    <w:lvl w:ilvl="0" w:tplc="5AD895C2">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55D52"/>
    <w:rsid w:val="00015CF0"/>
    <w:rsid w:val="000263D1"/>
    <w:rsid w:val="00031382"/>
    <w:rsid w:val="00066F10"/>
    <w:rsid w:val="000A1836"/>
    <w:rsid w:val="00147F79"/>
    <w:rsid w:val="001655C1"/>
    <w:rsid w:val="003260DC"/>
    <w:rsid w:val="00355D52"/>
    <w:rsid w:val="00407E9E"/>
    <w:rsid w:val="00411EC5"/>
    <w:rsid w:val="005E607F"/>
    <w:rsid w:val="006672C8"/>
    <w:rsid w:val="00702DC9"/>
    <w:rsid w:val="00770843"/>
    <w:rsid w:val="007C5E4C"/>
    <w:rsid w:val="00830998"/>
    <w:rsid w:val="00863762"/>
    <w:rsid w:val="00865685"/>
    <w:rsid w:val="008E6716"/>
    <w:rsid w:val="00953D31"/>
    <w:rsid w:val="009A15DA"/>
    <w:rsid w:val="009F2F32"/>
    <w:rsid w:val="00A4001B"/>
    <w:rsid w:val="00AA7AF7"/>
    <w:rsid w:val="00B410F4"/>
    <w:rsid w:val="00B71302"/>
    <w:rsid w:val="00B82D97"/>
    <w:rsid w:val="00BA6DC6"/>
    <w:rsid w:val="00BF1889"/>
    <w:rsid w:val="00C45718"/>
    <w:rsid w:val="00C75DC3"/>
    <w:rsid w:val="00C870BA"/>
    <w:rsid w:val="00C93875"/>
    <w:rsid w:val="00D115A5"/>
    <w:rsid w:val="00D178D2"/>
    <w:rsid w:val="00E60454"/>
    <w:rsid w:val="00EC1858"/>
    <w:rsid w:val="00F523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D52"/>
    <w:rPr>
      <w:rFonts w:eastAsiaTheme="minorEastAsia"/>
      <w:lang w:eastAsia="pl-PL"/>
    </w:rPr>
  </w:style>
  <w:style w:type="paragraph" w:styleId="Nagwek1">
    <w:name w:val="heading 1"/>
    <w:basedOn w:val="Normalny"/>
    <w:next w:val="Normalny"/>
    <w:link w:val="Nagwek1Znak"/>
    <w:qFormat/>
    <w:rsid w:val="00355D52"/>
    <w:pPr>
      <w:keepNext/>
      <w:spacing w:after="0" w:line="240" w:lineRule="auto"/>
      <w:outlineLvl w:val="0"/>
    </w:pPr>
    <w:rPr>
      <w:rFonts w:ascii="Times New Roman" w:eastAsia="Times New Roman" w:hAnsi="Times New Roman" w:cs="Times New Roman"/>
      <w:sz w:val="48"/>
      <w:szCs w:val="24"/>
    </w:rPr>
  </w:style>
  <w:style w:type="paragraph" w:styleId="Nagwek2">
    <w:name w:val="heading 2"/>
    <w:basedOn w:val="Normalny"/>
    <w:next w:val="Normalny"/>
    <w:link w:val="Nagwek2Znak"/>
    <w:qFormat/>
    <w:rsid w:val="00355D52"/>
    <w:pPr>
      <w:keepNext/>
      <w:spacing w:after="0" w:line="240" w:lineRule="auto"/>
      <w:jc w:val="center"/>
      <w:outlineLvl w:val="1"/>
    </w:pPr>
    <w:rPr>
      <w:rFonts w:ascii="Times New Roman" w:eastAsia="Times New Roman" w:hAnsi="Times New Roman" w:cs="Times New Roman"/>
      <w:sz w:val="4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5D52"/>
    <w:rPr>
      <w:rFonts w:ascii="Times New Roman" w:eastAsia="Times New Roman" w:hAnsi="Times New Roman" w:cs="Times New Roman"/>
      <w:sz w:val="48"/>
      <w:szCs w:val="24"/>
      <w:lang w:eastAsia="pl-PL"/>
    </w:rPr>
  </w:style>
  <w:style w:type="character" w:customStyle="1" w:styleId="Nagwek2Znak">
    <w:name w:val="Nagłówek 2 Znak"/>
    <w:basedOn w:val="Domylnaczcionkaakapitu"/>
    <w:link w:val="Nagwek2"/>
    <w:rsid w:val="00355D52"/>
    <w:rPr>
      <w:rFonts w:ascii="Times New Roman" w:eastAsia="Times New Roman" w:hAnsi="Times New Roman" w:cs="Times New Roman"/>
      <w:sz w:val="48"/>
      <w:szCs w:val="24"/>
      <w:lang w:eastAsia="pl-PL"/>
    </w:rPr>
  </w:style>
  <w:style w:type="paragraph" w:styleId="Bezodstpw">
    <w:name w:val="No Spacing"/>
    <w:uiPriority w:val="1"/>
    <w:qFormat/>
    <w:rsid w:val="00355D52"/>
    <w:pPr>
      <w:spacing w:after="0" w:line="240" w:lineRule="auto"/>
    </w:pPr>
    <w:rPr>
      <w:rFonts w:eastAsiaTheme="minorEastAsia"/>
      <w:lang w:eastAsia="pl-PL"/>
    </w:rPr>
  </w:style>
  <w:style w:type="paragraph" w:styleId="Stopka">
    <w:name w:val="footer"/>
    <w:basedOn w:val="Normalny"/>
    <w:link w:val="StopkaZnak"/>
    <w:uiPriority w:val="99"/>
    <w:unhideWhenUsed/>
    <w:rsid w:val="00355D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D52"/>
    <w:rPr>
      <w:rFonts w:eastAsiaTheme="minorEastAsia"/>
      <w:lang w:eastAsia="pl-PL"/>
    </w:rPr>
  </w:style>
  <w:style w:type="character" w:styleId="Hipercze">
    <w:name w:val="Hyperlink"/>
    <w:basedOn w:val="Domylnaczcionkaakapitu"/>
    <w:uiPriority w:val="99"/>
    <w:unhideWhenUsed/>
    <w:rsid w:val="00355D52"/>
    <w:rPr>
      <w:color w:val="0000FF" w:themeColor="hyperlink"/>
      <w:u w:val="single"/>
    </w:rPr>
  </w:style>
  <w:style w:type="table" w:styleId="Tabela-Siatka">
    <w:name w:val="Table Grid"/>
    <w:basedOn w:val="Standardowy"/>
    <w:uiPriority w:val="59"/>
    <w:rsid w:val="00355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55D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5D52"/>
    <w:rPr>
      <w:rFonts w:ascii="Tahoma" w:eastAsiaTheme="minorEastAsia" w:hAnsi="Tahoma" w:cs="Tahoma"/>
      <w:sz w:val="16"/>
      <w:szCs w:val="16"/>
      <w:lang w:eastAsia="pl-PL"/>
    </w:rPr>
  </w:style>
  <w:style w:type="paragraph" w:styleId="Akapitzlist">
    <w:name w:val="List Paragraph"/>
    <w:basedOn w:val="Normalny"/>
    <w:uiPriority w:val="34"/>
    <w:qFormat/>
    <w:rsid w:val="008E67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comparic.pl/silny-pozytywny-impuls-z-japonii-dla-posiadaczy-polskich-akcji/" TargetMode="External"/><Relationship Id="rId18" Type="http://schemas.openxmlformats.org/officeDocument/2006/relationships/hyperlink" Target="http://www.analizy-rynkowe.pl" TargetMode="External"/><Relationship Id="rId26" Type="http://schemas.openxmlformats.org/officeDocument/2006/relationships/hyperlink" Target="http://www.bankier.pl/wiadomosc/RAFAKO-Stale-daty-przekazywania-raportow-okresowych-w-2014-roku-3049885.html" TargetMode="External"/><Relationship Id="rId3" Type="http://schemas.openxmlformats.org/officeDocument/2006/relationships/styles" Target="styles.xml"/><Relationship Id="rId21" Type="http://schemas.openxmlformats.org/officeDocument/2006/relationships/hyperlink" Target="http://stooq.pl/q/p/?s=rfk" TargetMode="External"/><Relationship Id="rId7" Type="http://schemas.openxmlformats.org/officeDocument/2006/relationships/endnotes" Target="endnotes.xml"/><Relationship Id="rId12" Type="http://schemas.openxmlformats.org/officeDocument/2006/relationships/hyperlink" Target="http://stooq.pl/q/?s=hg.f&amp;c=1d&amp;t=l&amp;a=lg&amp;b=0" TargetMode="External"/><Relationship Id="rId17" Type="http://schemas.openxmlformats.org/officeDocument/2006/relationships/hyperlink" Target="http://www.analizy-rynkowe.pl" TargetMode="External"/><Relationship Id="rId25" Type="http://schemas.openxmlformats.org/officeDocument/2006/relationships/hyperlink" Target="http://www.bankier.pl/wiadomosc/LENA-LIGHTING-Terminy-przesylania-raportow-okresowych-w-2014roku-3041944.html" TargetMode="External"/><Relationship Id="rId2" Type="http://schemas.openxmlformats.org/officeDocument/2006/relationships/numbering" Target="numbering.xml"/><Relationship Id="rId16" Type="http://schemas.openxmlformats.org/officeDocument/2006/relationships/hyperlink" Target="http://www.analizy-rynkowe.pl" TargetMode="External"/><Relationship Id="rId20" Type="http://schemas.openxmlformats.org/officeDocument/2006/relationships/hyperlink" Target="http://stooq.pl/q/p/?s=l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mojeinwestycje.interia.pl/gie/prof/spolki/finanse?wlid=98" TargetMode="Externa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hyperlink" Target="http://www.mg.gov.pl/files/upload/8437/Ocena%20HZ%20po%20I%20p%C3%B3%C5%82roczu%202014_20140819_w%20ost.pdf" TargetMode="External"/><Relationship Id="rId28" Type="http://schemas.openxmlformats.org/officeDocument/2006/relationships/hyperlink" Target="http://www.analizy-rynkowe.pl" TargetMode="External"/><Relationship Id="rId10" Type="http://schemas.openxmlformats.org/officeDocument/2006/relationships/image" Target="media/image3.gif"/><Relationship Id="rId19" Type="http://schemas.openxmlformats.org/officeDocument/2006/relationships/image" Target="media/image7.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gif"/><Relationship Id="rId22" Type="http://schemas.openxmlformats.org/officeDocument/2006/relationships/hyperlink" Target="http://stooq.pl/q/p/?s=rlp" TargetMode="External"/><Relationship Id="rId27" Type="http://schemas.openxmlformats.org/officeDocument/2006/relationships/hyperlink" Target="http://www.analizy-rynkow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D74E9-C985-45D2-89CD-5F4CEA79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3523</Words>
  <Characters>21143</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3</cp:revision>
  <dcterms:created xsi:type="dcterms:W3CDTF">2014-11-09T04:18:00Z</dcterms:created>
  <dcterms:modified xsi:type="dcterms:W3CDTF">2014-11-09T04:35:00Z</dcterms:modified>
</cp:coreProperties>
</file>